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63.jpeg" ContentType="image/jpeg"/>
  <Override PartName="/word/media/image64.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65.jpeg" ContentType="image/jpeg"/>
  <Override PartName="/word/media/image90.jpeg" ContentType="image/jpeg"/>
  <Override PartName="/word/media/image110.jpeg" ContentType="image/jpeg"/>
  <Override PartName="/word/media/image93.jpeg" ContentType="image/jpeg"/>
  <Override PartName="/word/media/image121.jpeg" ContentType="image/jpeg"/>
  <Override PartName="/word/media/image115.jpeg" ContentType="image/jpeg"/>
  <Override PartName="/word/media/image96.jpeg" ContentType="image/jpeg"/>
  <Override PartName="/word/media/image113.jpeg" ContentType="image/jpeg"/>
  <Override PartName="/word/media/image69.jpeg" ContentType="image/jpeg"/>
  <Override PartName="/word/media/image114.jpeg" ContentType="image/jpeg"/>
  <Override PartName="/word/media/image68.jpeg" ContentType="image/jpeg"/>
  <Override PartName="/word/media/image94.jpeg" ContentType="image/jpeg"/>
  <Override PartName="/word/media/image91.jpeg" ContentType="image/jpeg"/>
  <Override PartName="/word/media/image111.jpeg" ContentType="image/jpeg"/>
  <Override PartName="/word/media/image70.jpeg" ContentType="image/jpeg"/>
  <Override PartName="/word/media/image99.jpeg" ContentType="image/jpeg"/>
  <Override PartName="/word/media/image20.jpeg" ContentType="image/jpeg"/>
  <Override PartName="/word/media/image116.jpeg" ContentType="image/jpeg"/>
  <Override PartName="/word/media/image67.jpeg" ContentType="image/jpeg"/>
  <Override PartName="/word/media/image92.jpeg" ContentType="image/jpeg"/>
  <Override PartName="/word/media/image112.jpeg" ContentType="image/jpeg"/>
  <Override PartName="/word/media/image95.jpeg" ContentType="image/jpeg"/>
  <Override PartName="/word/media/image66.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21.jpeg" ContentType="image/jpeg"/>
  <Override PartName="/word/media/image117.jpeg" ContentType="image/jpeg"/>
  <Override PartName="/word/media/image100.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120.jpeg" ContentType="image/jpeg"/>
  <Override PartName="/word/media/image22.jpeg" ContentType="image/jpeg"/>
  <Override PartName="/word/media/image118.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23.jpeg" ContentType="image/jpeg"/>
  <Override PartName="/word/media/image119.jpeg" ContentType="image/jpeg"/>
  <Override PartName="/word/media/image102.jpeg" ContentType="image/jpeg"/>
  <Override PartName="/word/media/image8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7355dpre14a.htm"/>
      <w:bookmarkStart w:id="1" w:name="ksd37355dpre14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245"/>
        <w:gridCol w:w="60"/>
        <w:gridCol w:w="6950"/>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b/>
              </w:rPr>
            </w:pPr>
            <w:r>
              <w:rPr>
                <w:b/>
              </w:rPr>
              <w:t xml:space="preserve">Confidential, for Use of the Commission Only (as permitted by Rule </w:t>
            </w:r>
          </w:p>
          <w:p>
            <w:pPr>
              <w:pStyle w:val="TableContents"/>
              <w:bidi w:val="0"/>
              <w:spacing w:before="0" w:after="0"/>
              <w:jc w:val="left"/>
              <w:rPr>
                <w:b/>
              </w:rPr>
            </w:pPr>
            <w:r>
              <w:rPr>
                <w:b/>
              </w:rPr>
              <w:t>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pPr>
            <w:r>
              <w:rPr/>
              <w:t xml:space="preserve">Soliciting Material Under </w:t>
            </w:r>
          </w:p>
          <w:p>
            <w:pPr>
              <w:pStyle w:val="TableContents"/>
              <w:bidi w:val="0"/>
              <w:spacing w:before="0" w:after="0"/>
              <w:jc w:val="left"/>
              <w:rPr/>
            </w:pPr>
            <w:r>
              <w:rPr/>
              <w:t>§240.14a-12</w:t>
            </w:r>
          </w:p>
        </w:tc>
      </w:tr>
    </w:tbl>
    <w:p>
      <w:pPr>
        <w:pStyle w:val="TextBody"/>
        <w:bidi w:val="0"/>
        <w:spacing w:before="240" w:after="0"/>
        <w:jc w:val="center"/>
        <w:rPr>
          <w:rFonts w:ascii="Times New Roman" w:hAnsi="Times New Roman"/>
          <w:b/>
          <w:sz w:val="44"/>
        </w:rPr>
      </w:pPr>
      <w:r>
        <w:rPr>
          <w:rFonts w:ascii="Times New Roman" w:hAnsi="Times New Roman"/>
          <w:b/>
          <w:sz w:val="44"/>
        </w:rPr>
        <w:t xml:space="preserve">Kelly Services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8049" w:type="dxa"/>
        <w:jc w:val="left"/>
        <w:tblInd w:w="0" w:type="dxa"/>
        <w:tblLayout w:type="fixed"/>
        <w:tblCellMar>
          <w:top w:w="0" w:type="dxa"/>
          <w:left w:w="0" w:type="dxa"/>
          <w:bottom w:w="0" w:type="dxa"/>
          <w:right w:w="0" w:type="dxa"/>
        </w:tblCellMar>
      </w:tblPr>
      <w:tblGrid>
        <w:gridCol w:w="245"/>
        <w:gridCol w:w="60"/>
        <w:gridCol w:w="2115"/>
        <w:gridCol w:w="2115"/>
        <w:gridCol w:w="3514"/>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0"/>
              <w:jc w:val="left"/>
              <w:rPr/>
            </w:pPr>
            <w:r>
              <w:rPr/>
              <w:t xml:space="preserve">Fee computed on table in exhibit required by Item 25(b) per Exchange Act Rules </w:t>
            </w:r>
          </w:p>
          <w:p>
            <w:pPr>
              <w:pStyle w:val="TableContents"/>
              <w:bidi w:val="0"/>
              <w:spacing w:before="0" w:after="0"/>
              <w:jc w:val="left"/>
              <w:rPr/>
            </w:pPr>
            <w:r>
              <w:rPr/>
              <w:t>14a-6(i)(1)</w:t>
            </w:r>
          </w:p>
          <w:p>
            <w:pPr>
              <w:pStyle w:val="TableContents"/>
              <w:bidi w:val="0"/>
              <w:spacing w:before="0" w:after="0"/>
              <w:jc w:val="left"/>
              <w:rPr/>
            </w:pPr>
            <w:r>
              <w:rPr/>
              <w:t xml:space="preserve">and </w:t>
            </w:r>
          </w:p>
          <w:p>
            <w:pPr>
              <w:pStyle w:val="TableContents"/>
              <w:bidi w:val="0"/>
              <w:spacing w:before="0" w:after="0"/>
              <w:jc w:val="left"/>
              <w:rPr/>
            </w:pPr>
            <w:r>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pPr>
      <w:r>
        <w:rPr/>
        <w:drawing>
          <wp:inline distT="0" distB="0" distL="0" distR="0">
            <wp:extent cx="7315200" cy="9448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315200" cy="9448800"/>
                    </a:xfrm>
                    <a:prstGeom prst="rect">
                      <a:avLst/>
                    </a:prstGeom>
                  </pic:spPr>
                </pic:pic>
              </a:graphicData>
            </a:graphic>
          </wp:inline>
        </w:drawing>
      </w:r>
      <w:r>
        <w:rPr/>
        <w:t xml:space="preserve"> </w:t>
      </w:r>
      <w:r>
        <w:br w:type="page"/>
      </w:r>
    </w:p>
    <w:p>
      <w:pPr>
        <w:pStyle w:val="HorizontalLine"/>
        <w:bidi w:val="0"/>
        <w:jc w:val="left"/>
        <w:rPr/>
      </w:pPr>
      <w:r>
        <w:rPr/>
      </w:r>
    </w:p>
    <w:p>
      <w:pPr>
        <w:pStyle w:val="TextBody"/>
        <w:bidi w:val="0"/>
        <w:spacing w:before="0" w:after="0"/>
        <w:jc w:val="left"/>
        <w:rPr/>
      </w:pPr>
      <w:r>
        <w:rPr/>
        <w:t> </w:t>
      </w:r>
    </w:p>
    <w:tbl>
      <w:tblPr>
        <w:tblW w:w="4597" w:type="dxa"/>
        <w:jc w:val="left"/>
        <w:tblInd w:w="0" w:type="dxa"/>
        <w:tblLayout w:type="fixed"/>
        <w:tblCellMar>
          <w:top w:w="0" w:type="dxa"/>
          <w:left w:w="0" w:type="dxa"/>
          <w:bottom w:w="0" w:type="dxa"/>
          <w:right w:w="0" w:type="dxa"/>
        </w:tblCellMar>
      </w:tblPr>
      <w:tblGrid>
        <w:gridCol w:w="2147"/>
        <w:gridCol w:w="120"/>
        <w:gridCol w:w="2330"/>
      </w:tblGrid>
      <w:tr>
        <w:trPr/>
        <w:tc>
          <w:tcPr>
            <w:tcW w:w="21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r>
      <w:tr>
        <w:trPr/>
        <w:tc>
          <w:tcPr>
            <w:tcW w:w="2147" w:type="dxa"/>
            <w:tcBorders>
              <w:right w:val="single" w:sz="6" w:space="0" w:color="33302B"/>
            </w:tcBorders>
            <w:tcMar>
              <w:right w:w="28" w:type="dxa"/>
            </w:tcMar>
            <w:vAlign w:val="center"/>
          </w:tcPr>
          <w:p>
            <w:pPr>
              <w:pStyle w:val="TableContents"/>
              <w:bidi w:val="0"/>
              <w:spacing w:before="0" w:after="283"/>
              <w:jc w:val="left"/>
              <w:rPr/>
            </w:pPr>
            <w:r>
              <w:rPr/>
              <w:drawing>
                <wp:inline distT="0" distB="0" distL="0" distR="0">
                  <wp:extent cx="998220" cy="4775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98220" cy="47752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b/>
              </w:rPr>
            </w:pPr>
            <w:r>
              <w:rPr>
                <w:b/>
              </w:rPr>
              <w:t>Letter to Shareholders</w:t>
            </w:r>
          </w:p>
        </w:tc>
      </w:tr>
    </w:tbl>
    <w:p>
      <w:pPr>
        <w:pStyle w:val="TextBody"/>
        <w:bidi w:val="0"/>
        <w:spacing w:before="400" w:after="0"/>
        <w:jc w:val="left"/>
        <w:rPr>
          <w:rFonts w:ascii="arial" w:hAnsi="arial"/>
          <w:sz w:val="20"/>
        </w:rPr>
      </w:pPr>
      <w:r>
        <w:rPr>
          <w:rFonts w:ascii="arial" w:hAnsi="arial"/>
          <w:sz w:val="20"/>
        </w:rPr>
        <w:t xml:space="preserve">April 13, 2026 </w:t>
      </w:r>
    </w:p>
    <w:p>
      <w:pPr>
        <w:pStyle w:val="TextBody"/>
        <w:bidi w:val="0"/>
        <w:spacing w:before="280" w:after="0"/>
        <w:jc w:val="left"/>
        <w:rPr>
          <w:rFonts w:ascii="arial" w:hAnsi="arial"/>
          <w:b/>
          <w:sz w:val="30"/>
        </w:rPr>
      </w:pPr>
      <w:r>
        <w:rPr>
          <w:rFonts w:ascii="arial" w:hAnsi="arial"/>
          <w:b/>
          <w:sz w:val="30"/>
        </w:rPr>
        <w:t xml:space="preserve">Dear Shareholders: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3110230" cy="6446520"/>
                <wp:effectExtent l="0" t="0" r="0" b="0"/>
                <wp:wrapSquare wrapText="right"/>
                <wp:docPr id="3" name="Frame1"/>
                <a:graphic xmlns:a="http://schemas.openxmlformats.org/drawingml/2006/main">
                  <a:graphicData uri="http://schemas.microsoft.com/office/word/2010/wordprocessingShape">
                    <wps:wsp>
                      <wps:cNvSpPr txBox="1"/>
                      <wps:spPr>
                        <a:xfrm>
                          <a:off x="0" y="0"/>
                          <a:ext cx="3110230" cy="6446520"/>
                        </a:xfrm>
                        <a:prstGeom prst="rect"/>
                        <a:solidFill>
                          <a:srgbClr val="FFFFFF"/>
                        </a:solidFill>
                      </wps:spPr>
                      <wps:txbx>
                        <w:txbxContent>
                          <w:p>
                            <w:pPr>
                              <w:pStyle w:val="TextBody"/>
                              <w:bidi w:val="0"/>
                              <w:spacing w:before="0" w:after="0"/>
                              <w:jc w:val="left"/>
                              <w:rPr>
                                <w:rFonts w:ascii="arial" w:hAnsi="arial"/>
                                <w:sz w:val="18"/>
                              </w:rPr>
                            </w:pPr>
                            <w:r>
                              <w:rPr>
                                <w:rFonts w:ascii="arial" w:hAnsi="arial"/>
                                <w:sz w:val="18"/>
                              </w:rPr>
                              <w:t xml:space="preserve">2025 was a year of transition for Kelly as the Company navigated a dynamic macroeconomic environment and an evolving global and domestic policy landscape. Against this backdrop, we took decisive action to stabilize and strengthen the business, accelerate technology modernization, and position Kelly for growth. 2025 also marked the beginning of a new era of leadership at Kelly as the Company successfully completed a planned CEO succession process. Throughout the year, the Kelly team demonstrated unwavering focus and agility, opportunistically seeking out and capturing demand, driving structural efficiencies, and laying the groundwork for an exciting chapter ahead. </w:t>
                            </w:r>
                          </w:p>
                          <w:p>
                            <w:pPr>
                              <w:pStyle w:val="TextBody"/>
                              <w:bidi w:val="0"/>
                              <w:spacing w:before="160" w:after="0"/>
                              <w:jc w:val="left"/>
                              <w:rPr>
                                <w:rFonts w:ascii="arial" w:hAnsi="arial"/>
                                <w:b/>
                                <w:sz w:val="20"/>
                              </w:rPr>
                            </w:pPr>
                            <w:r>
                              <w:rPr>
                                <w:rFonts w:ascii="arial" w:hAnsi="arial"/>
                                <w:b/>
                                <w:sz w:val="20"/>
                              </w:rPr>
                              <w:t xml:space="preserve">Stabilizing and Strengthening the Business </w:t>
                            </w:r>
                          </w:p>
                          <w:p>
                            <w:pPr>
                              <w:pStyle w:val="TextBody"/>
                              <w:bidi w:val="0"/>
                              <w:spacing w:before="80" w:after="0"/>
                              <w:jc w:val="left"/>
                              <w:rPr>
                                <w:rFonts w:ascii="arial" w:hAnsi="arial"/>
                                <w:sz w:val="18"/>
                              </w:rPr>
                            </w:pPr>
                            <w:r>
                              <w:rPr>
                                <w:rFonts w:ascii="arial" w:hAnsi="arial"/>
                                <w:sz w:val="18"/>
                              </w:rPr>
                              <w:t xml:space="preserve">In 2025, Kelly focused on driving growth in more resilient markets. Kelly Education delivered year-over-year revenue growth, driven by continued fill rate improvement and solid demand for our market-leading K-12 staffing and pediatric therapy specialties. In the third quarter, Education achieved a portfolio-wide 90% fill rate for the first time, a testament to the operational excellence and deep customer relationships that have made this business one of the best organic growth stories in our industry. </w:t>
                            </w:r>
                          </w:p>
                          <w:p>
                            <w:pPr>
                              <w:pStyle w:val="TextBody"/>
                              <w:bidi w:val="0"/>
                              <w:spacing w:before="80" w:after="0"/>
                              <w:jc w:val="left"/>
                              <w:rPr>
                                <w:rFonts w:ascii="arial" w:hAnsi="arial"/>
                                <w:sz w:val="18"/>
                              </w:rPr>
                            </w:pPr>
                            <w:r>
                              <w:rPr>
                                <w:rFonts w:ascii="arial" w:hAnsi="arial"/>
                                <w:sz w:val="18"/>
                              </w:rPr>
                              <w:t xml:space="preserve">We stabilized the underlying performance of our Science Engineering and Telecom and Enterprise Talent Management businesses as we navigated discrete demand reductions from the federal government and three large customers. Within SET, both our telecom and engineering specialties grew over the prior full-year period, with telecom achieving double-digit growth on robust demand from large carriers. Within ETM, outcome-based solutions, excluding contact center, and payroll process outsourcing also grew on a full-year basis, while our Managed Services Provider specialty gained momentum through new customer wins. Across both segments, we continued to align resources with demand and drove structural efficiencies in our operating model. </w:t>
                            </w:r>
                          </w:p>
                          <w:p>
                            <w:pPr>
                              <w:pStyle w:val="TextBody"/>
                              <w:bidi w:val="0"/>
                              <w:spacing w:before="80" w:after="0"/>
                              <w:jc w:val="left"/>
                              <w:rPr>
                                <w:rFonts w:ascii="arial" w:hAnsi="arial"/>
                                <w:sz w:val="18"/>
                              </w:rPr>
                            </w:pPr>
                            <w:r>
                              <w:rPr>
                                <w:rFonts w:ascii="arial" w:hAnsi="arial"/>
                                <w:sz w:val="18"/>
                              </w:rPr>
                              <w:t xml:space="preserve">Kelly’s scale and capabilities continued to earn recognition from the industry. Everest Group named Kelly both a Leader and Star Performer in each of its Contingent Talent and Strategic Solutions PEAK Matrices, marking the first time a company has achieved this feat, and recognized Kelly as a Leader and Star Performer in RPO. In addition, HRO Today named Kelly the number one global provider of total workforce solutions, encompassing MSP, RPO, and Staffing. These accolades reflect the breadth and depth of our differentiated offerings and the trust that the world’s leading employers place in Kelly to meet their workforce needs.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07.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sz w:val="18"/>
                        </w:rPr>
                      </w:pPr>
                      <w:r>
                        <w:rPr>
                          <w:rFonts w:ascii="arial" w:hAnsi="arial"/>
                          <w:sz w:val="18"/>
                        </w:rPr>
                        <w:t xml:space="preserve">2025 was a year of transition for Kelly as the Company navigated a dynamic macroeconomic environment and an evolving global and domestic policy landscape. Against this backdrop, we took decisive action to stabilize and strengthen the business, accelerate technology modernization, and position Kelly for growth. 2025 also marked the beginning of a new era of leadership at Kelly as the Company successfully completed a planned CEO succession process. Throughout the year, the Kelly team demonstrated unwavering focus and agility, opportunistically seeking out and capturing demand, driving structural efficiencies, and laying the groundwork for an exciting chapter ahead. </w:t>
                      </w:r>
                    </w:p>
                    <w:p>
                      <w:pPr>
                        <w:pStyle w:val="TextBody"/>
                        <w:bidi w:val="0"/>
                        <w:spacing w:before="160" w:after="0"/>
                        <w:jc w:val="left"/>
                        <w:rPr>
                          <w:rFonts w:ascii="arial" w:hAnsi="arial"/>
                          <w:b/>
                          <w:sz w:val="20"/>
                        </w:rPr>
                      </w:pPr>
                      <w:r>
                        <w:rPr>
                          <w:rFonts w:ascii="arial" w:hAnsi="arial"/>
                          <w:b/>
                          <w:sz w:val="20"/>
                        </w:rPr>
                        <w:t xml:space="preserve">Stabilizing and Strengthening the Business </w:t>
                      </w:r>
                    </w:p>
                    <w:p>
                      <w:pPr>
                        <w:pStyle w:val="TextBody"/>
                        <w:bidi w:val="0"/>
                        <w:spacing w:before="80" w:after="0"/>
                        <w:jc w:val="left"/>
                        <w:rPr>
                          <w:rFonts w:ascii="arial" w:hAnsi="arial"/>
                          <w:sz w:val="18"/>
                        </w:rPr>
                      </w:pPr>
                      <w:r>
                        <w:rPr>
                          <w:rFonts w:ascii="arial" w:hAnsi="arial"/>
                          <w:sz w:val="18"/>
                        </w:rPr>
                        <w:t xml:space="preserve">In 2025, Kelly focused on driving growth in more resilient markets. Kelly Education delivered year-over-year revenue growth, driven by continued fill rate improvement and solid demand for our market-leading K-12 staffing and pediatric therapy specialties. In the third quarter, Education achieved a portfolio-wide 90% fill rate for the first time, a testament to the operational excellence and deep customer relationships that have made this business one of the best organic growth stories in our industry. </w:t>
                      </w:r>
                    </w:p>
                    <w:p>
                      <w:pPr>
                        <w:pStyle w:val="TextBody"/>
                        <w:bidi w:val="0"/>
                        <w:spacing w:before="80" w:after="0"/>
                        <w:jc w:val="left"/>
                        <w:rPr>
                          <w:rFonts w:ascii="arial" w:hAnsi="arial"/>
                          <w:sz w:val="18"/>
                        </w:rPr>
                      </w:pPr>
                      <w:r>
                        <w:rPr>
                          <w:rFonts w:ascii="arial" w:hAnsi="arial"/>
                          <w:sz w:val="18"/>
                        </w:rPr>
                        <w:t xml:space="preserve">We stabilized the underlying performance of our Science Engineering and Telecom and Enterprise Talent Management businesses as we navigated discrete demand reductions from the federal government and three large customers. Within SET, both our telecom and engineering specialties grew over the prior full-year period, with telecom achieving double-digit growth on robust demand from large carriers. Within ETM, outcome-based solutions, excluding contact center, and payroll process outsourcing also grew on a full-year basis, while our Managed Services Provider specialty gained momentum through new customer wins. Across both segments, we continued to align resources with demand and drove structural efficiencies in our operating model. </w:t>
                      </w:r>
                    </w:p>
                    <w:p>
                      <w:pPr>
                        <w:pStyle w:val="TextBody"/>
                        <w:bidi w:val="0"/>
                        <w:spacing w:before="80" w:after="0"/>
                        <w:jc w:val="left"/>
                        <w:rPr>
                          <w:rFonts w:ascii="arial" w:hAnsi="arial"/>
                          <w:sz w:val="18"/>
                        </w:rPr>
                      </w:pPr>
                      <w:r>
                        <w:rPr>
                          <w:rFonts w:ascii="arial" w:hAnsi="arial"/>
                          <w:sz w:val="18"/>
                        </w:rPr>
                        <w:t xml:space="preserve">Kelly’s scale and capabilities continued to earn recognition from the industry. Everest Group named Kelly both a Leader and Star Performer in each of its Contingent Talent and Strategic Solutions PEAK Matrices, marking the first time a company has achieved this feat, and recognized Kelly as a Leader and Star Performer in RPO. In addition, HRO Today named Kelly the number one global provider of total workforce solutions, encompassing MSP, RPO, and Staffing. These accolades reflect the breadth and depth of our differentiated offerings and the trust that the world’s leading employers place in Kelly to meet their workforce needs. </w:t>
                      </w:r>
                    </w:p>
                  </w:txbxContent>
                </v:textbox>
                <w10:wrap type="square" side="right"/>
              </v:rect>
            </w:pict>
          </mc:Fallback>
        </mc:AlternateContent>
      </w:r>
      <w:r>
        <mc:AlternateContent>
          <mc:Choice Requires="wps">
            <w:drawing>
              <wp:anchor behindDoc="0" distT="0" distB="0" distL="0" distR="0" simplePos="0" locked="0" layoutInCell="1" allowOverlap="1" relativeHeight="222">
                <wp:simplePos x="0" y="0"/>
                <wp:positionH relativeFrom="column">
                  <wp:align>left</wp:align>
                </wp:positionH>
                <wp:positionV relativeFrom="line">
                  <wp:posOffset>635</wp:posOffset>
                </wp:positionV>
                <wp:extent cx="3175000" cy="6774815"/>
                <wp:effectExtent l="0" t="0" r="0" b="0"/>
                <wp:wrapSquare wrapText="right"/>
                <wp:docPr id="4" name="Frame2"/>
                <a:graphic xmlns:a="http://schemas.openxmlformats.org/drawingml/2006/main">
                  <a:graphicData uri="http://schemas.microsoft.com/office/word/2010/wordprocessingShape">
                    <wps:wsp>
                      <wps:cNvSpPr txBox="1"/>
                      <wps:spPr>
                        <a:xfrm>
                          <a:off x="0" y="0"/>
                          <a:ext cx="3175000" cy="6774815"/>
                        </a:xfrm>
                        <a:prstGeom prst="rect"/>
                        <a:solidFill>
                          <a:srgbClr val="FFFFFF"/>
                        </a:solidFill>
                      </wps:spPr>
                      <wps:txbx>
                        <w:txbxContent>
                          <w:p>
                            <w:pPr>
                              <w:pStyle w:val="TextBody"/>
                              <w:bidi w:val="0"/>
                              <w:spacing w:before="0" w:after="0"/>
                              <w:jc w:val="left"/>
                              <w:rPr>
                                <w:rFonts w:ascii="arial" w:hAnsi="arial"/>
                                <w:b/>
                                <w:sz w:val="20"/>
                              </w:rPr>
                            </w:pPr>
                            <w:r>
                              <w:rPr>
                                <w:rFonts w:ascii="arial" w:hAnsi="arial"/>
                                <w:b/>
                                <w:sz w:val="20"/>
                              </w:rPr>
                              <w:t xml:space="preserve">Accelerating Technology Modernization </w:t>
                            </w:r>
                          </w:p>
                          <w:p>
                            <w:pPr>
                              <w:pStyle w:val="TextBody"/>
                              <w:bidi w:val="0"/>
                              <w:spacing w:before="80" w:after="0"/>
                              <w:jc w:val="left"/>
                              <w:rPr>
                                <w:rFonts w:ascii="arial" w:hAnsi="arial"/>
                                <w:sz w:val="18"/>
                              </w:rPr>
                            </w:pPr>
                            <w:r>
                              <w:rPr>
                                <w:rFonts w:ascii="arial" w:hAnsi="arial"/>
                                <w:sz w:val="18"/>
                              </w:rPr>
                              <w:t xml:space="preserve">We reached a significant milestone in our technology modernization initiative in 2025, completing the cutover of our SET acquisitions to the unified, best-in-class technology platform Kelly acquired through the acquisition of Motion Recruitment Partners. This marks the first phase of a multi-phase strategy to move our enterprise from a fragmented mix of legacy front-, middle-, and back-office technologies to a modern, integrated platform. With our SET acquisitions fully operational within the platform, the business is now benefiting from deeper data and insights, AI and automation at scale, and enhanced productivity. These benefits will extend across SET and the enterprise as we execute our phased approach. </w:t>
                            </w:r>
                          </w:p>
                          <w:p>
                            <w:pPr>
                              <w:pStyle w:val="TextBody"/>
                              <w:bidi w:val="0"/>
                              <w:spacing w:before="80" w:after="0"/>
                              <w:jc w:val="left"/>
                              <w:rPr>
                                <w:rFonts w:ascii="arial" w:hAnsi="arial"/>
                                <w:sz w:val="18"/>
                              </w:rPr>
                            </w:pPr>
                            <w:r>
                              <w:rPr>
                                <w:rFonts w:ascii="arial" w:hAnsi="arial"/>
                                <w:sz w:val="18"/>
                              </w:rPr>
                              <w:t xml:space="preserve">We accelerated the integration of human-centric AI across the enterprise as well. In the fourth quarter, we launched Grace Boost, a proprietary internal AI platform deployed to every Kelly employee. The platform integrates generative AI into the applications our people use every day to enhance productivity and streamline workflows. We also deployed a scalable and configurable AI recruiting solution that leverages the combined power of people and technology to deliver faster, more cost-effective results for large employers. These practical applications reflect Kelly’s commitment to putting AI directly into the hands of our employees and customers to solve real business challenges. </w:t>
                            </w:r>
                          </w:p>
                          <w:p>
                            <w:pPr>
                              <w:pStyle w:val="TextBody"/>
                              <w:bidi w:val="0"/>
                              <w:spacing w:before="160" w:after="0"/>
                              <w:jc w:val="left"/>
                              <w:rPr>
                                <w:rFonts w:ascii="arial" w:hAnsi="arial"/>
                                <w:b/>
                                <w:sz w:val="20"/>
                              </w:rPr>
                            </w:pPr>
                            <w:r>
                              <w:rPr>
                                <w:rFonts w:ascii="arial" w:hAnsi="arial"/>
                                <w:b/>
                                <w:sz w:val="20"/>
                              </w:rPr>
                              <w:t xml:space="preserve">Positioning for Growth in 2026 and Beyond </w:t>
                            </w:r>
                          </w:p>
                          <w:p>
                            <w:pPr>
                              <w:pStyle w:val="TextBody"/>
                              <w:bidi w:val="0"/>
                              <w:spacing w:before="80" w:after="0"/>
                              <w:jc w:val="left"/>
                              <w:rPr>
                                <w:rFonts w:ascii="arial" w:hAnsi="arial"/>
                                <w:sz w:val="18"/>
                              </w:rPr>
                            </w:pPr>
                            <w:r>
                              <w:rPr>
                                <w:rFonts w:ascii="arial" w:hAnsi="arial"/>
                                <w:sz w:val="18"/>
                              </w:rPr>
                              <w:t xml:space="preserve">As we enter 2026, we are taking deliberate steps to position Kelly to capitalize on the growth opportunities ahead. Following a successful CEO transition, we are continuing to evolve our leadership team through key appointments. In February, Pat McCall joined Kelly as Chief Growth Officer, bringing 30 years of sales and operations experience and a proven track record of accelerating profitable growth at leading global staffing firms. And in March, Joel Leege was appointed President of SET bringing nearly three decades of experience in specialty staffing and solutions, and a track record of driving above-market growth. Together, Kelly’s refreshed management team is aligned and energized to accelerate progress on our growth strategy. </w:t>
                            </w:r>
                          </w:p>
                          <w:p>
                            <w:pPr>
                              <w:pStyle w:val="TextBody"/>
                              <w:bidi w:val="0"/>
                              <w:spacing w:before="80" w:after="0"/>
                              <w:jc w:val="left"/>
                              <w:rPr>
                                <w:rFonts w:ascii="arial" w:hAnsi="arial"/>
                                <w:sz w:val="18"/>
                              </w:rPr>
                            </w:pPr>
                            <w:r>
                              <w:rPr>
                                <w:rFonts w:ascii="arial" w:hAnsi="arial"/>
                                <w:sz w:val="18"/>
                              </w:rPr>
                              <w:t xml:space="preserve">Kelly’s Board of Directors also continues to evolve while remaining steadfast in its commitment to sound governance. On January 30, 2026, Kelly entered into a letter of agreement with Hunt Equity Opportunities, LLC (“Hunt”) related to its purchase of the controlling stake of the Company’s Class B common stock previously held by the Terence E. Adderley Revocable Trust K. As part of the agreement, the Board was reconstituted to consist of four new Directors designated by Hunt, including the Chairman of the Board; Kelly’s CEO; and three Directors serving on the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33.4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sz w:val="20"/>
                        </w:rPr>
                      </w:pPr>
                      <w:r>
                        <w:rPr>
                          <w:rFonts w:ascii="arial" w:hAnsi="arial"/>
                          <w:b/>
                          <w:sz w:val="20"/>
                        </w:rPr>
                        <w:t xml:space="preserve">Accelerating Technology Modernization </w:t>
                      </w:r>
                    </w:p>
                    <w:p>
                      <w:pPr>
                        <w:pStyle w:val="TextBody"/>
                        <w:bidi w:val="0"/>
                        <w:spacing w:before="80" w:after="0"/>
                        <w:jc w:val="left"/>
                        <w:rPr>
                          <w:rFonts w:ascii="arial" w:hAnsi="arial"/>
                          <w:sz w:val="18"/>
                        </w:rPr>
                      </w:pPr>
                      <w:r>
                        <w:rPr>
                          <w:rFonts w:ascii="arial" w:hAnsi="arial"/>
                          <w:sz w:val="18"/>
                        </w:rPr>
                        <w:t xml:space="preserve">We reached a significant milestone in our technology modernization initiative in 2025, completing the cutover of our SET acquisitions to the unified, best-in-class technology platform Kelly acquired through the acquisition of Motion Recruitment Partners. This marks the first phase of a multi-phase strategy to move our enterprise from a fragmented mix of legacy front-, middle-, and back-office technologies to a modern, integrated platform. With our SET acquisitions fully operational within the platform, the business is now benefiting from deeper data and insights, AI and automation at scale, and enhanced productivity. These benefits will extend across SET and the enterprise as we execute our phased approach. </w:t>
                      </w:r>
                    </w:p>
                    <w:p>
                      <w:pPr>
                        <w:pStyle w:val="TextBody"/>
                        <w:bidi w:val="0"/>
                        <w:spacing w:before="80" w:after="0"/>
                        <w:jc w:val="left"/>
                        <w:rPr>
                          <w:rFonts w:ascii="arial" w:hAnsi="arial"/>
                          <w:sz w:val="18"/>
                        </w:rPr>
                      </w:pPr>
                      <w:r>
                        <w:rPr>
                          <w:rFonts w:ascii="arial" w:hAnsi="arial"/>
                          <w:sz w:val="18"/>
                        </w:rPr>
                        <w:t xml:space="preserve">We accelerated the integration of human-centric AI across the enterprise as well. In the fourth quarter, we launched Grace Boost, a proprietary internal AI platform deployed to every Kelly employee. The platform integrates generative AI into the applications our people use every day to enhance productivity and streamline workflows. We also deployed a scalable and configurable AI recruiting solution that leverages the combined power of people and technology to deliver faster, more cost-effective results for large employers. These practical applications reflect Kelly’s commitment to putting AI directly into the hands of our employees and customers to solve real business challenges. </w:t>
                      </w:r>
                    </w:p>
                    <w:p>
                      <w:pPr>
                        <w:pStyle w:val="TextBody"/>
                        <w:bidi w:val="0"/>
                        <w:spacing w:before="160" w:after="0"/>
                        <w:jc w:val="left"/>
                        <w:rPr>
                          <w:rFonts w:ascii="arial" w:hAnsi="arial"/>
                          <w:b/>
                          <w:sz w:val="20"/>
                        </w:rPr>
                      </w:pPr>
                      <w:r>
                        <w:rPr>
                          <w:rFonts w:ascii="arial" w:hAnsi="arial"/>
                          <w:b/>
                          <w:sz w:val="20"/>
                        </w:rPr>
                        <w:t xml:space="preserve">Positioning for Growth in 2026 and Beyond </w:t>
                      </w:r>
                    </w:p>
                    <w:p>
                      <w:pPr>
                        <w:pStyle w:val="TextBody"/>
                        <w:bidi w:val="0"/>
                        <w:spacing w:before="80" w:after="0"/>
                        <w:jc w:val="left"/>
                        <w:rPr>
                          <w:rFonts w:ascii="arial" w:hAnsi="arial"/>
                          <w:sz w:val="18"/>
                        </w:rPr>
                      </w:pPr>
                      <w:r>
                        <w:rPr>
                          <w:rFonts w:ascii="arial" w:hAnsi="arial"/>
                          <w:sz w:val="18"/>
                        </w:rPr>
                        <w:t xml:space="preserve">As we enter 2026, we are taking deliberate steps to position Kelly to capitalize on the growth opportunities ahead. Following a successful CEO transition, we are continuing to evolve our leadership team through key appointments. In February, Pat McCall joined Kelly as Chief Growth Officer, bringing 30 years of sales and operations experience and a proven track record of accelerating profitable growth at leading global staffing firms. And in March, Joel Leege was appointed President of SET bringing nearly three decades of experience in specialty staffing and solutions, and a track record of driving above-market growth. Together, Kelly’s refreshed management team is aligned and energized to accelerate progress on our growth strategy. </w:t>
                      </w:r>
                    </w:p>
                    <w:p>
                      <w:pPr>
                        <w:pStyle w:val="TextBody"/>
                        <w:bidi w:val="0"/>
                        <w:spacing w:before="80" w:after="0"/>
                        <w:jc w:val="left"/>
                        <w:rPr>
                          <w:rFonts w:ascii="arial" w:hAnsi="arial"/>
                          <w:sz w:val="18"/>
                        </w:rPr>
                      </w:pPr>
                      <w:r>
                        <w:rPr>
                          <w:rFonts w:ascii="arial" w:hAnsi="arial"/>
                          <w:sz w:val="18"/>
                        </w:rPr>
                        <w:t xml:space="preserve">Kelly’s Board of Directors also continues to evolve while remaining steadfast in its commitment to sound governance. On January 30, 2026, Kelly entered into a letter of agreement with Hunt Equity Opportunities, LLC (“Hunt”) related to its purchase of the controlling stake of the Company’s Class B common stock previously held by the Terence E. Adderley Revocable Trust K. As part of the agreement, the Board was reconstituted to consist of four new Directors designated by Hunt, including the Chairman of the Board; Kelly’s CEO; and three Directors serving on the </w:t>
                      </w:r>
                    </w:p>
                  </w:txbxContent>
                </v:textbox>
                <w10:wrap type="square" side="right"/>
              </v:rect>
            </w:pict>
          </mc:Fallback>
        </mc:AlternateContent>
      </w:r>
    </w:p>
    <w:p>
      <w:pPr>
        <w:pStyle w:val="TextBody"/>
        <w:bidi w:val="0"/>
        <w:spacing w:before="0" w:after="0"/>
        <w:jc w:val="left"/>
        <w:rPr/>
      </w:pPr>
      <w:r>
        <w:rPr/>
        <w:t> </w:t>
      </w:r>
    </w:p>
    <w:tbl>
      <w:tblPr>
        <w:tblW w:w="1744" w:type="dxa"/>
        <w:jc w:val="left"/>
        <w:tblInd w:w="0" w:type="dxa"/>
        <w:tblLayout w:type="fixed"/>
        <w:tblCellMar>
          <w:top w:w="0" w:type="dxa"/>
          <w:left w:w="0" w:type="dxa"/>
          <w:bottom w:w="0" w:type="dxa"/>
          <w:right w:w="0" w:type="dxa"/>
        </w:tblCellMar>
      </w:tblPr>
      <w:tblGrid>
        <w:gridCol w:w="1349"/>
        <w:gridCol w:w="120"/>
        <w:gridCol w:w="60"/>
        <w:gridCol w:w="14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653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453390" cy="216535"/>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3110230" cy="7555865"/>
                <wp:effectExtent l="0" t="0" r="0" b="0"/>
                <wp:wrapSquare wrapText="right"/>
                <wp:docPr id="6" name="Frame3"/>
                <a:graphic xmlns:a="http://schemas.openxmlformats.org/drawingml/2006/main">
                  <a:graphicData uri="http://schemas.microsoft.com/office/word/2010/wordprocessingShape">
                    <wps:wsp>
                      <wps:cNvSpPr txBox="1"/>
                      <wps:spPr>
                        <a:xfrm>
                          <a:off x="0" y="0"/>
                          <a:ext cx="3110230" cy="7555865"/>
                        </a:xfrm>
                        <a:prstGeom prst="rect"/>
                        <a:solidFill>
                          <a:srgbClr val="FFFFFF"/>
                        </a:solidFill>
                      </wps:spPr>
                      <wps:txbx>
                        <w:txbxContent>
                          <w:p>
                            <w:pPr>
                              <w:pStyle w:val="TextBody"/>
                              <w:bidi w:val="0"/>
                              <w:spacing w:before="0" w:after="0"/>
                              <w:jc w:val="left"/>
                              <w:rPr>
                                <w:rFonts w:ascii="arial" w:hAnsi="arial"/>
                                <w:sz w:val="18"/>
                              </w:rPr>
                            </w:pPr>
                            <w:r>
                              <w:rPr>
                                <w:rFonts w:ascii="arial" w:hAnsi="arial"/>
                                <w:sz w:val="18"/>
                              </w:rPr>
                              <w:t xml:space="preserve">Board as of the letter agreement date. In connection with these changes, Terrence B. Larkin, Gerald S. Adolph, George S. Corona, InaMarie F. Johnson, and Peter W. Quigley resigned from the Board. We thank them for their dedicated service and contributions to Kelly—particularly Mr. Quigley following a distinguished 23-year career with the Company, including the last five as President and CEO. </w:t>
                            </w:r>
                          </w:p>
                          <w:p>
                            <w:pPr>
                              <w:pStyle w:val="TextBody"/>
                              <w:bidi w:val="0"/>
                              <w:spacing w:before="80" w:after="0"/>
                              <w:jc w:val="left"/>
                              <w:rPr>
                                <w:rFonts w:ascii="arial" w:hAnsi="arial"/>
                                <w:sz w:val="18"/>
                              </w:rPr>
                            </w:pPr>
                            <w:r>
                              <w:rPr>
                                <w:rFonts w:ascii="arial" w:hAnsi="arial"/>
                                <w:sz w:val="18"/>
                              </w:rPr>
                              <w:t xml:space="preserve">Looking ahead, we have clear organic growth drivers and a pathway to top-line growth and margin expansion in the second half of 2026. In Education, our pipeline of net-new K-12 opportunities remains strong. In SET, we are sharpening our focus on high-growth areas including data centers, AI, and cybersecurity. In ETM, significant new MSP and enterprise staffing wins are coming online, including one of the largest MSP contracts in Kelly’s history. As the discrete demand reductions that impacted our results in 2025 begin to anniversary, we expect the path to improved year-over-year performance to become clearer. Our strategic initiatives to enhance how we go to market as one Kelly enterprise, modernize our technology, and recenter our culture around customer centricity, visibility, and accountability are designed to ensure we capitalize on that inflection. </w:t>
                            </w:r>
                          </w:p>
                          <w:p>
                            <w:pPr>
                              <w:pStyle w:val="TextBody"/>
                              <w:bidi w:val="0"/>
                              <w:spacing w:before="80" w:after="0"/>
                              <w:jc w:val="left"/>
                              <w:rPr>
                                <w:rFonts w:ascii="arial" w:hAnsi="arial"/>
                                <w:sz w:val="18"/>
                              </w:rPr>
                            </w:pPr>
                            <w:r>
                              <w:rPr>
                                <w:rFonts w:ascii="arial" w:hAnsi="arial"/>
                                <w:sz w:val="18"/>
                              </w:rPr>
                              <w:t xml:space="preserve">Later this year, we will celebrate 80 years of Kelly’s leadership in workforce strategy and solutions. This milestone is a testament to the endurance of our mission to connect people to work in ways that enrich their lives. It also reflects our capacity to transform how we go to market and meet our customers’ evolving needs as the pace of change continues to accelerate. As we prepare to mark this occasion, we have never been more optimistic about Kelly’s future. We move forward with confidence in our strategy, underpinned by a strong balance sheet, healthy cash generation, and a balanced approach to capital allocation. The investments we are making in our people, portfolio, and technology are positioning Kelly to drive profitable growth and to realize the Company’s full potential. </w:t>
                            </w:r>
                          </w:p>
                          <w:p>
                            <w:pPr>
                              <w:pStyle w:val="TextBody"/>
                              <w:bidi w:val="0"/>
                              <w:spacing w:before="80" w:after="0"/>
                              <w:jc w:val="left"/>
                              <w:rPr>
                                <w:rFonts w:ascii="arial" w:hAnsi="arial"/>
                                <w:sz w:val="18"/>
                              </w:rPr>
                            </w:pPr>
                            <w:r>
                              <w:rPr>
                                <w:rFonts w:ascii="arial" w:hAnsi="arial"/>
                                <w:sz w:val="18"/>
                              </w:rPr>
                              <w:t xml:space="preserve">We thank you for your support and trust at this important moment on Kelly’s journey. As we build on our momentum, we look forward to delivering on the promise of 2026 and accelerating progress on our journey to create long-term value for all our stakeholders. </w:t>
                            </w:r>
                          </w:p>
                          <w:p>
                            <w:pPr>
                              <w:pStyle w:val="TextBody"/>
                              <w:bidi w:val="0"/>
                              <w:spacing w:before="80" w:after="0"/>
                              <w:jc w:val="left"/>
                              <w:rPr>
                                <w:rFonts w:ascii="arial" w:hAnsi="arial"/>
                                <w:sz w:val="18"/>
                              </w:rPr>
                            </w:pPr>
                            <w:r>
                              <w:rPr>
                                <w:rFonts w:ascii="arial" w:hAnsi="arial"/>
                                <w:sz w:val="18"/>
                              </w:rPr>
                              <w:t xml:space="preserve">With appreciation, </w:t>
                            </w:r>
                          </w:p>
                          <w:p>
                            <w:pPr>
                              <w:pStyle w:val="TextBody"/>
                              <w:bidi w:val="0"/>
                              <w:spacing w:before="0" w:after="0"/>
                              <w:jc w:val="left"/>
                              <w:rPr/>
                            </w:pPr>
                            <w:r>
                              <w:rPr/>
                              <w:t> </w:t>
                            </w:r>
                          </w:p>
                          <w:p>
                            <w:pPr>
                              <w:pStyle w:val="TextBody"/>
                              <w:bidi w:val="0"/>
                              <w:spacing w:before="0" w:after="0"/>
                              <w:jc w:val="left"/>
                              <w:rPr/>
                            </w:pPr>
                            <w:r>
                              <w:rPr/>
                              <w:t> </w:t>
                            </w:r>
                          </w:p>
                          <w:tbl>
                            <w:tblPr>
                              <w:tblW w:w="3998" w:type="dxa"/>
                              <w:jc w:val="left"/>
                              <w:tblInd w:w="0" w:type="dxa"/>
                              <w:tblLayout w:type="fixed"/>
                              <w:tblCellMar>
                                <w:top w:w="0" w:type="dxa"/>
                                <w:left w:w="0" w:type="dxa"/>
                                <w:bottom w:w="0" w:type="dxa"/>
                                <w:right w:w="0" w:type="dxa"/>
                              </w:tblCellMar>
                            </w:tblPr>
                            <w:tblGrid>
                              <w:gridCol w:w="1880"/>
                              <w:gridCol w:w="60"/>
                              <w:gridCol w:w="23"/>
                              <w:gridCol w:w="60"/>
                              <w:gridCol w:w="1975"/>
                            </w:tblGrid>
                            <w:tr>
                              <w:trPr/>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5" w:type="dxa"/>
                                  <w:tcBorders/>
                                  <w:vAlign w:val="center"/>
                                </w:tcPr>
                                <w:p>
                                  <w:pPr>
                                    <w:pStyle w:val="TableContents"/>
                                    <w:bidi w:val="0"/>
                                    <w:spacing w:before="0" w:after="283"/>
                                    <w:jc w:val="left"/>
                                    <w:rPr/>
                                  </w:pPr>
                                  <w:r>
                                    <w:rPr/>
                                    <w:drawing>
                                      <wp:inline distT="0" distB="0" distL="0" distR="0">
                                        <wp:extent cx="1206500" cy="39814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206500" cy="398145"/>
                                                </a:xfrm>
                                                <a:prstGeom prst="rect">
                                                  <a:avLst/>
                                                </a:prstGeom>
                                              </pic:spPr>
                                            </pic:pic>
                                          </a:graphicData>
                                        </a:graphic>
                                      </wp:inline>
                                    </w:drawing>
                                  </w:r>
                                  <w:r>
                                    <w:rPr/>
                                    <w:t xml:space="preserve"> </w:t>
                                  </w:r>
                                </w:p>
                              </w:tc>
                            </w:tr>
                            <w:tr>
                              <w:trPr/>
                              <w:tc>
                                <w:tcPr>
                                  <w:tcW w:w="1880" w:type="dxa"/>
                                  <w:tcBorders/>
                                  <w:vAlign w:val="center"/>
                                </w:tcPr>
                                <w:p>
                                  <w:pPr>
                                    <w:pStyle w:val="TableContents"/>
                                    <w:bidi w:val="0"/>
                                    <w:spacing w:before="0" w:after="0"/>
                                    <w:jc w:val="left"/>
                                    <w:rPr>
                                      <w:rFonts w:ascii="arial" w:hAnsi="arial"/>
                                      <w:b/>
                                      <w:sz w:val="18"/>
                                    </w:rPr>
                                  </w:pPr>
                                  <w:r>
                                    <w:rPr>
                                      <w:rFonts w:ascii="arial" w:hAnsi="arial"/>
                                      <w:b/>
                                      <w:sz w:val="18"/>
                                    </w:rPr>
                                    <w:t>Chris Hunt</w:t>
                                  </w:r>
                                </w:p>
                                <w:p>
                                  <w:pPr>
                                    <w:pStyle w:val="TableContents"/>
                                    <w:bidi w:val="0"/>
                                    <w:spacing w:before="0" w:after="20"/>
                                    <w:jc w:val="left"/>
                                    <w:rPr>
                                      <w:rFonts w:ascii="arial" w:hAnsi="arial"/>
                                      <w:sz w:val="18"/>
                                    </w:rPr>
                                  </w:pPr>
                                  <w:r>
                                    <w:rPr>
                                      <w:rFonts w:ascii="arial" w:hAnsi="arial"/>
                                      <w:sz w:val="18"/>
                                    </w:rPr>
                                    <w:t>Chairman of the Board</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5" w:type="dxa"/>
                                  <w:tcBorders/>
                                  <w:vAlign w:val="center"/>
                                </w:tcPr>
                                <w:p>
                                  <w:pPr>
                                    <w:pStyle w:val="TableContents"/>
                                    <w:bidi w:val="0"/>
                                    <w:spacing w:before="0" w:after="0"/>
                                    <w:jc w:val="left"/>
                                    <w:rPr>
                                      <w:rFonts w:ascii="arial" w:hAnsi="arial"/>
                                      <w:b/>
                                      <w:sz w:val="18"/>
                                    </w:rPr>
                                  </w:pPr>
                                  <w:r>
                                    <w:rPr>
                                      <w:rFonts w:ascii="arial" w:hAnsi="arial"/>
                                      <w:b/>
                                      <w:sz w:val="18"/>
                                    </w:rPr>
                                    <w:t>Christopher D. Layden</w:t>
                                  </w:r>
                                </w:p>
                                <w:p>
                                  <w:pPr>
                                    <w:pStyle w:val="TableContents"/>
                                    <w:bidi w:val="0"/>
                                    <w:spacing w:before="0" w:after="20"/>
                                    <w:jc w:val="left"/>
                                    <w:rPr>
                                      <w:rFonts w:ascii="arial" w:hAnsi="arial"/>
                                      <w:sz w:val="18"/>
                                    </w:rPr>
                                  </w:pPr>
                                  <w:r>
                                    <w:rPr>
                                      <w:rFonts w:ascii="arial" w:hAnsi="arial"/>
                                      <w:sz w:val="18"/>
                                    </w:rPr>
                                    <w:t>President and CEO</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94.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sz w:val="18"/>
                        </w:rPr>
                      </w:pPr>
                      <w:r>
                        <w:rPr>
                          <w:rFonts w:ascii="arial" w:hAnsi="arial"/>
                          <w:sz w:val="18"/>
                        </w:rPr>
                        <w:t xml:space="preserve">Board as of the letter agreement date. In connection with these changes, Terrence B. Larkin, Gerald S. Adolph, George S. Corona, InaMarie F. Johnson, and Peter W. Quigley resigned from the Board. We thank them for their dedicated service and contributions to Kelly—particularly Mr. Quigley following a distinguished 23-year career with the Company, including the last five as President and CEO. </w:t>
                      </w:r>
                    </w:p>
                    <w:p>
                      <w:pPr>
                        <w:pStyle w:val="TextBody"/>
                        <w:bidi w:val="0"/>
                        <w:spacing w:before="80" w:after="0"/>
                        <w:jc w:val="left"/>
                        <w:rPr>
                          <w:rFonts w:ascii="arial" w:hAnsi="arial"/>
                          <w:sz w:val="18"/>
                        </w:rPr>
                      </w:pPr>
                      <w:r>
                        <w:rPr>
                          <w:rFonts w:ascii="arial" w:hAnsi="arial"/>
                          <w:sz w:val="18"/>
                        </w:rPr>
                        <w:t xml:space="preserve">Looking ahead, we have clear organic growth drivers and a pathway to top-line growth and margin expansion in the second half of 2026. In Education, our pipeline of net-new K-12 opportunities remains strong. In SET, we are sharpening our focus on high-growth areas including data centers, AI, and cybersecurity. In ETM, significant new MSP and enterprise staffing wins are coming online, including one of the largest MSP contracts in Kelly’s history. As the discrete demand reductions that impacted our results in 2025 begin to anniversary, we expect the path to improved year-over-year performance to become clearer. Our strategic initiatives to enhance how we go to market as one Kelly enterprise, modernize our technology, and recenter our culture around customer centricity, visibility, and accountability are designed to ensure we capitalize on that inflection. </w:t>
                      </w:r>
                    </w:p>
                    <w:p>
                      <w:pPr>
                        <w:pStyle w:val="TextBody"/>
                        <w:bidi w:val="0"/>
                        <w:spacing w:before="80" w:after="0"/>
                        <w:jc w:val="left"/>
                        <w:rPr>
                          <w:rFonts w:ascii="arial" w:hAnsi="arial"/>
                          <w:sz w:val="18"/>
                        </w:rPr>
                      </w:pPr>
                      <w:r>
                        <w:rPr>
                          <w:rFonts w:ascii="arial" w:hAnsi="arial"/>
                          <w:sz w:val="18"/>
                        </w:rPr>
                        <w:t xml:space="preserve">Later this year, we will celebrate 80 years of Kelly’s leadership in workforce strategy and solutions. This milestone is a testament to the endurance of our mission to connect people to work in ways that enrich their lives. It also reflects our capacity to transform how we go to market and meet our customers’ evolving needs as the pace of change continues to accelerate. As we prepare to mark this occasion, we have never been more optimistic about Kelly’s future. We move forward with confidence in our strategy, underpinned by a strong balance sheet, healthy cash generation, and a balanced approach to capital allocation. The investments we are making in our people, portfolio, and technology are positioning Kelly to drive profitable growth and to realize the Company’s full potential. </w:t>
                      </w:r>
                    </w:p>
                    <w:p>
                      <w:pPr>
                        <w:pStyle w:val="TextBody"/>
                        <w:bidi w:val="0"/>
                        <w:spacing w:before="80" w:after="0"/>
                        <w:jc w:val="left"/>
                        <w:rPr>
                          <w:rFonts w:ascii="arial" w:hAnsi="arial"/>
                          <w:sz w:val="18"/>
                        </w:rPr>
                      </w:pPr>
                      <w:r>
                        <w:rPr>
                          <w:rFonts w:ascii="arial" w:hAnsi="arial"/>
                          <w:sz w:val="18"/>
                        </w:rPr>
                        <w:t xml:space="preserve">We thank you for your support and trust at this important moment on Kelly’s journey. As we build on our momentum, we look forward to delivering on the promise of 2026 and accelerating progress on our journey to create long-term value for all our stakeholders. </w:t>
                      </w:r>
                    </w:p>
                    <w:p>
                      <w:pPr>
                        <w:pStyle w:val="TextBody"/>
                        <w:bidi w:val="0"/>
                        <w:spacing w:before="80" w:after="0"/>
                        <w:jc w:val="left"/>
                        <w:rPr>
                          <w:rFonts w:ascii="arial" w:hAnsi="arial"/>
                          <w:sz w:val="18"/>
                        </w:rPr>
                      </w:pPr>
                      <w:r>
                        <w:rPr>
                          <w:rFonts w:ascii="arial" w:hAnsi="arial"/>
                          <w:sz w:val="18"/>
                        </w:rPr>
                        <w:t xml:space="preserve">With appreciation, </w:t>
                      </w:r>
                    </w:p>
                    <w:p>
                      <w:pPr>
                        <w:pStyle w:val="TextBody"/>
                        <w:bidi w:val="0"/>
                        <w:spacing w:before="0" w:after="0"/>
                        <w:jc w:val="left"/>
                        <w:rPr/>
                      </w:pPr>
                      <w:r>
                        <w:rPr/>
                        <w:t> </w:t>
                      </w:r>
                    </w:p>
                    <w:p>
                      <w:pPr>
                        <w:pStyle w:val="TextBody"/>
                        <w:bidi w:val="0"/>
                        <w:spacing w:before="0" w:after="0"/>
                        <w:jc w:val="left"/>
                        <w:rPr/>
                      </w:pPr>
                      <w:r>
                        <w:rPr/>
                        <w:t> </w:t>
                      </w:r>
                    </w:p>
                    <w:tbl>
                      <w:tblPr>
                        <w:tblW w:w="3998" w:type="dxa"/>
                        <w:jc w:val="left"/>
                        <w:tblInd w:w="0" w:type="dxa"/>
                        <w:tblLayout w:type="fixed"/>
                        <w:tblCellMar>
                          <w:top w:w="0" w:type="dxa"/>
                          <w:left w:w="0" w:type="dxa"/>
                          <w:bottom w:w="0" w:type="dxa"/>
                          <w:right w:w="0" w:type="dxa"/>
                        </w:tblCellMar>
                      </w:tblPr>
                      <w:tblGrid>
                        <w:gridCol w:w="1880"/>
                        <w:gridCol w:w="60"/>
                        <w:gridCol w:w="23"/>
                        <w:gridCol w:w="60"/>
                        <w:gridCol w:w="1975"/>
                      </w:tblGrid>
                      <w:tr>
                        <w:trPr/>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5" w:type="dxa"/>
                            <w:tcBorders/>
                            <w:vAlign w:val="center"/>
                          </w:tcPr>
                          <w:p>
                            <w:pPr>
                              <w:pStyle w:val="TableContents"/>
                              <w:bidi w:val="0"/>
                              <w:spacing w:before="0" w:after="283"/>
                              <w:jc w:val="left"/>
                              <w:rPr/>
                            </w:pPr>
                            <w:r>
                              <w:rPr/>
                              <w:drawing>
                                <wp:inline distT="0" distB="0" distL="0" distR="0">
                                  <wp:extent cx="1206500" cy="39814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6"/>
                                          <a:stretch>
                                            <a:fillRect/>
                                          </a:stretch>
                                        </pic:blipFill>
                                        <pic:spPr bwMode="auto">
                                          <a:xfrm>
                                            <a:off x="0" y="0"/>
                                            <a:ext cx="1206500" cy="398145"/>
                                          </a:xfrm>
                                          <a:prstGeom prst="rect">
                                            <a:avLst/>
                                          </a:prstGeom>
                                        </pic:spPr>
                                      </pic:pic>
                                    </a:graphicData>
                                  </a:graphic>
                                </wp:inline>
                              </w:drawing>
                            </w:r>
                            <w:r>
                              <w:rPr/>
                              <w:t xml:space="preserve"> </w:t>
                            </w:r>
                          </w:p>
                        </w:tc>
                      </w:tr>
                      <w:tr>
                        <w:trPr/>
                        <w:tc>
                          <w:tcPr>
                            <w:tcW w:w="1880" w:type="dxa"/>
                            <w:tcBorders/>
                            <w:vAlign w:val="center"/>
                          </w:tcPr>
                          <w:p>
                            <w:pPr>
                              <w:pStyle w:val="TableContents"/>
                              <w:bidi w:val="0"/>
                              <w:spacing w:before="0" w:after="0"/>
                              <w:jc w:val="left"/>
                              <w:rPr>
                                <w:rFonts w:ascii="arial" w:hAnsi="arial"/>
                                <w:b/>
                                <w:sz w:val="18"/>
                              </w:rPr>
                            </w:pPr>
                            <w:r>
                              <w:rPr>
                                <w:rFonts w:ascii="arial" w:hAnsi="arial"/>
                                <w:b/>
                                <w:sz w:val="18"/>
                              </w:rPr>
                              <w:t>Chris Hunt</w:t>
                            </w:r>
                          </w:p>
                          <w:p>
                            <w:pPr>
                              <w:pStyle w:val="TableContents"/>
                              <w:bidi w:val="0"/>
                              <w:spacing w:before="0" w:after="20"/>
                              <w:jc w:val="left"/>
                              <w:rPr>
                                <w:rFonts w:ascii="arial" w:hAnsi="arial"/>
                                <w:sz w:val="18"/>
                              </w:rPr>
                            </w:pPr>
                            <w:r>
                              <w:rPr>
                                <w:rFonts w:ascii="arial" w:hAnsi="arial"/>
                                <w:sz w:val="18"/>
                              </w:rPr>
                              <w:t>Chairman of the Board</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5" w:type="dxa"/>
                            <w:tcBorders/>
                            <w:vAlign w:val="center"/>
                          </w:tcPr>
                          <w:p>
                            <w:pPr>
                              <w:pStyle w:val="TableContents"/>
                              <w:bidi w:val="0"/>
                              <w:spacing w:before="0" w:after="0"/>
                              <w:jc w:val="left"/>
                              <w:rPr>
                                <w:rFonts w:ascii="arial" w:hAnsi="arial"/>
                                <w:b/>
                                <w:sz w:val="18"/>
                              </w:rPr>
                            </w:pPr>
                            <w:r>
                              <w:rPr>
                                <w:rFonts w:ascii="arial" w:hAnsi="arial"/>
                                <w:b/>
                                <w:sz w:val="18"/>
                              </w:rPr>
                              <w:t>Christopher D. Layden</w:t>
                            </w:r>
                          </w:p>
                          <w:p>
                            <w:pPr>
                              <w:pStyle w:val="TableContents"/>
                              <w:bidi w:val="0"/>
                              <w:spacing w:before="0" w:after="20"/>
                              <w:jc w:val="left"/>
                              <w:rPr>
                                <w:rFonts w:ascii="arial" w:hAnsi="arial"/>
                                <w:sz w:val="18"/>
                              </w:rPr>
                            </w:pPr>
                            <w:r>
                              <w:rPr>
                                <w:rFonts w:ascii="arial" w:hAnsi="arial"/>
                                <w:sz w:val="18"/>
                              </w:rPr>
                              <w:t>President and CEO</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3175000" cy="4414520"/>
                <wp:effectExtent l="0" t="0" r="0" b="0"/>
                <wp:wrapSquare wrapText="right"/>
                <wp:docPr id="9" name="Frame4"/>
                <a:graphic xmlns:a="http://schemas.openxmlformats.org/drawingml/2006/main">
                  <a:graphicData uri="http://schemas.microsoft.com/office/word/2010/wordprocessingShape">
                    <wps:wsp>
                      <wps:cNvSpPr txBox="1"/>
                      <wps:spPr>
                        <a:xfrm>
                          <a:off x="0" y="0"/>
                          <a:ext cx="3175000" cy="4414520"/>
                        </a:xfrm>
                        <a:prstGeom prst="rect"/>
                        <a:solidFill>
                          <a:srgbClr val="FFFFFF"/>
                        </a:solidFill>
                      </wps:spPr>
                      <wps:txbx>
                        <w:txbxContent>
                          <w:p>
                            <w:pPr>
                              <w:pStyle w:val="TextBody"/>
                              <w:bidi w:val="0"/>
                              <w:spacing w:before="0" w:after="0"/>
                              <w:jc w:val="left"/>
                              <w:rPr/>
                            </w:pPr>
                            <w:r>
                              <w:rPr/>
                              <w:drawing>
                                <wp:inline distT="0" distB="0" distL="0" distR="0">
                                  <wp:extent cx="2971800" cy="4381500"/>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7"/>
                                          <a:stretch>
                                            <a:fillRect/>
                                          </a:stretch>
                                        </pic:blipFill>
                                        <pic:spPr bwMode="auto">
                                          <a:xfrm>
                                            <a:off x="0" y="0"/>
                                            <a:ext cx="2971800" cy="4381500"/>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47.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pPr>
                      <w:r>
                        <w:rPr/>
                        <w:drawing>
                          <wp:inline distT="0" distB="0" distL="0" distR="0">
                            <wp:extent cx="2971800" cy="43815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8"/>
                                    <a:stretch>
                                      <a:fillRect/>
                                    </a:stretch>
                                  </pic:blipFill>
                                  <pic:spPr bwMode="auto">
                                    <a:xfrm>
                                      <a:off x="0" y="0"/>
                                      <a:ext cx="2971800" cy="4381500"/>
                                    </a:xfrm>
                                    <a:prstGeom prst="rect">
                                      <a:avLst/>
                                    </a:prstGeom>
                                  </pic:spPr>
                                </pic:pic>
                              </a:graphicData>
                            </a:graphic>
                          </wp:inline>
                        </w:drawing>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lineRule="atLeast" w:line="142" w:before="0" w:after="40"/>
        <w:jc w:val="left"/>
        <w:rPr>
          <w:bdr w:val="single" w:sz="2" w:space="1" w:color="7F7F7F"/>
        </w:rPr>
      </w:pPr>
      <w:r>
        <w:rPr>
          <w:bdr w:val="single" w:sz="2" w:space="1" w:color="7F7F7F"/>
        </w:rPr>
        <w:t> </w:t>
      </w:r>
    </w:p>
    <w:p>
      <w:pPr>
        <w:pStyle w:val="TextBody"/>
        <w:bidi w:val="0"/>
        <w:spacing w:before="360" w:after="0"/>
        <w:jc w:val="left"/>
        <w:rPr/>
      </w:pPr>
      <w:r>
        <w:rPr/>
        <w:t>“</w:t>
      </w:r>
      <w:r>
        <w:rPr>
          <w:rFonts w:ascii="arial" w:hAnsi="arial"/>
          <w:b/>
          <w:sz w:val="26"/>
        </w:rPr>
        <w:t xml:space="preserve">Our team’s resilience and determination through a year of transition have set the stage for what comes next. With a refreshed leadership team, a modernized technology platform, and clear organic growth drivers across our businesses, Kelly is well positioned to realize its full potential. I am confident that 2026 will mark an inflection point on our journey to accelerate profitable growth.” </w:t>
      </w:r>
    </w:p>
    <w:p>
      <w:pPr>
        <w:pStyle w:val="TextBody"/>
        <w:bidi w:val="0"/>
        <w:spacing w:before="240" w:after="0"/>
        <w:jc w:val="right"/>
        <w:rPr>
          <w:rFonts w:ascii="arial" w:hAnsi="arial"/>
          <w:sz w:val="18"/>
        </w:rPr>
      </w:pPr>
      <w:r>
        <w:rPr>
          <w:rFonts w:ascii="arial" w:hAnsi="arial"/>
          <w:b/>
          <w:sz w:val="18"/>
        </w:rPr>
        <w:t xml:space="preserve">Chris Layden, </w:t>
      </w:r>
      <w:r>
        <w:rPr>
          <w:rFonts w:ascii="arial" w:hAnsi="arial"/>
          <w:sz w:val="18"/>
        </w:rPr>
        <w:t xml:space="preserve">President and CEO </w:t>
      </w:r>
    </w:p>
    <w:p>
      <w:pPr>
        <w:pStyle w:val="TextBody"/>
        <w:bidi w:val="0"/>
        <w:spacing w:before="0" w:after="0"/>
        <w:jc w:val="left"/>
        <w:rPr/>
      </w:pPr>
      <w:r>
        <w:rPr/>
        <w:t> </w:t>
      </w:r>
    </w:p>
    <w:tbl>
      <w:tblPr>
        <w:tblW w:w="1924" w:type="dxa"/>
        <w:jc w:val="left"/>
        <w:tblInd w:w="0" w:type="dxa"/>
        <w:tblLayout w:type="fixed"/>
        <w:tblCellMar>
          <w:top w:w="0" w:type="dxa"/>
          <w:left w:w="0" w:type="dxa"/>
          <w:bottom w:w="0" w:type="dxa"/>
          <w:right w:w="0" w:type="dxa"/>
        </w:tblCellMar>
      </w:tblPr>
      <w:tblGrid>
        <w:gridCol w:w="75"/>
        <w:gridCol w:w="38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9"/>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sz w:val="36"/>
        </w:rPr>
      </w:pPr>
      <w:r>
        <w:rPr>
          <w:rFonts w:ascii="arial" w:hAnsi="arial"/>
          <w:b/>
          <w:sz w:val="36"/>
        </w:rPr>
        <w:t xml:space="preserve">Notice of Annual Meeting of Shareholders </w:t>
      </w:r>
    </w:p>
    <w:p>
      <w:pPr>
        <w:pStyle w:val="TextBody"/>
        <w:bidi w:val="0"/>
        <w:spacing w:before="360" w:after="0"/>
        <w:jc w:val="left"/>
        <w:rPr>
          <w:rFonts w:ascii="arial" w:hAnsi="arial"/>
          <w:b/>
          <w:sz w:val="24"/>
        </w:rPr>
      </w:pPr>
      <w:r>
        <w:rPr>
          <w:rFonts w:ascii="arial" w:hAnsi="arial"/>
          <w:b/>
          <w:sz w:val="24"/>
        </w:rPr>
        <w:t xml:space="preserve">2026 Annual Meeting of Shareholders </w:t>
      </w:r>
    </w:p>
    <w:p>
      <w:pPr>
        <w:pStyle w:val="TextBody"/>
        <w:bidi w:val="0"/>
        <w:spacing w:before="0" w:after="0"/>
        <w:jc w:val="left"/>
        <w:rPr/>
      </w:pPr>
      <w:r>
        <w:rPr/>
        <w:t> </w:t>
      </w:r>
    </w:p>
    <w:tbl>
      <w:tblPr>
        <w:tblW w:w="8160" w:type="dxa"/>
        <w:jc w:val="left"/>
        <w:tblInd w:w="0" w:type="dxa"/>
        <w:tblLayout w:type="fixed"/>
        <w:tblCellMar>
          <w:top w:w="0" w:type="dxa"/>
          <w:left w:w="0" w:type="dxa"/>
          <w:bottom w:w="0" w:type="dxa"/>
          <w:right w:w="0" w:type="dxa"/>
        </w:tblCellMar>
      </w:tblPr>
      <w:tblGrid>
        <w:gridCol w:w="2900"/>
        <w:gridCol w:w="240"/>
        <w:gridCol w:w="1460"/>
        <w:gridCol w:w="60"/>
        <w:gridCol w:w="3500"/>
      </w:tblGrid>
      <w:tr>
        <w:trPr/>
        <w:tc>
          <w:tcPr>
            <w:tcW w:w="29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r>
      <w:tr>
        <w:trPr/>
        <w:tc>
          <w:tcPr>
            <w:tcW w:w="2900" w:type="dxa"/>
            <w:tcBorders/>
            <w:shd w:fill="EDEDED" w:val="clear"/>
            <w:vAlign w:val="center"/>
          </w:tcPr>
          <w:p>
            <w:pPr>
              <w:pStyle w:val="TableContents"/>
              <w:bidi w:val="0"/>
              <w:spacing w:before="0" w:after="283"/>
              <w:jc w:val="left"/>
              <w:rPr>
                <w:sz w:val="4"/>
                <w:szCs w:val="4"/>
              </w:rPr>
            </w:pPr>
            <w:r>
              <w:rPr>
                <w:sz w:val="4"/>
                <w:szCs w:val="4"/>
              </w:rPr>
            </w:r>
          </w:p>
        </w:tc>
        <w:tc>
          <w:tcPr>
            <w:tcW w:w="1700" w:type="dxa"/>
            <w:gridSpan w:val="2"/>
            <w:tcBorders/>
            <w:shd w:fill="EDEDED" w:val="clear"/>
            <w:vAlign w:val="center"/>
          </w:tcPr>
          <w:p>
            <w:pPr>
              <w:pStyle w:val="TableContents"/>
              <w:bidi w:val="0"/>
              <w:spacing w:before="0" w:after="283"/>
              <w:jc w:val="left"/>
              <w:rPr>
                <w:sz w:val="4"/>
                <w:szCs w:val="4"/>
              </w:rPr>
            </w:pPr>
            <w:r>
              <w:rPr>
                <w:sz w:val="4"/>
                <w:szCs w:val="4"/>
              </w:rPr>
            </w:r>
          </w:p>
        </w:tc>
        <w:tc>
          <w:tcPr>
            <w:tcW w:w="3560"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900" w:type="dxa"/>
            <w:tcBorders/>
            <w:shd w:fill="EDEDED" w:val="clear"/>
            <w:vAlign w:val="center"/>
          </w:tcPr>
          <w:p>
            <w:pPr>
              <w:pStyle w:val="TableContents"/>
              <w:bidi w:val="0"/>
              <w:spacing w:before="0" w:after="0"/>
              <w:jc w:val="left"/>
              <w:rPr/>
            </w:pPr>
            <w:r>
              <w:rPr/>
              <w:t> </w:t>
            </w:r>
            <w:r>
              <w:rPr>
                <w:rFonts w:ascii="arial" w:hAnsi="arial"/>
                <w:b/>
                <w:sz w:val="18"/>
              </w:rPr>
              <w:t>Date and Time:</w:t>
            </w:r>
          </w:p>
        </w:tc>
        <w:tc>
          <w:tcPr>
            <w:tcW w:w="240" w:type="dxa"/>
            <w:tcBorders/>
            <w:shd w:fill="EDEDED" w:val="clear"/>
            <w:vAlign w:val="center"/>
          </w:tcPr>
          <w:p>
            <w:pPr>
              <w:pStyle w:val="TableContents"/>
              <w:bidi w:val="0"/>
              <w:spacing w:before="0" w:after="283"/>
              <w:jc w:val="left"/>
              <w:rPr/>
            </w:pPr>
            <w:r>
              <w:rPr/>
              <w:t>    </w:t>
            </w:r>
          </w:p>
        </w:tc>
        <w:tc>
          <w:tcPr>
            <w:tcW w:w="1460" w:type="dxa"/>
            <w:tcBorders/>
            <w:shd w:fill="EDEDED" w:val="clear"/>
            <w:vAlign w:val="center"/>
          </w:tcPr>
          <w:p>
            <w:pPr>
              <w:pStyle w:val="TableContents"/>
              <w:bidi w:val="0"/>
              <w:spacing w:before="0" w:after="283"/>
              <w:jc w:val="left"/>
              <w:rPr>
                <w:b/>
              </w:rPr>
            </w:pPr>
            <w:r>
              <w:rPr>
                <w:b/>
              </w:rPr>
              <w:t>Place:</w:t>
            </w:r>
          </w:p>
        </w:tc>
        <w:tc>
          <w:tcPr>
            <w:tcW w:w="60" w:type="dxa"/>
            <w:tcBorders/>
            <w:shd w:fill="EDEDED" w:val="clear"/>
            <w:vAlign w:val="center"/>
          </w:tcPr>
          <w:p>
            <w:pPr>
              <w:pStyle w:val="TableContents"/>
              <w:bidi w:val="0"/>
              <w:spacing w:before="0" w:after="283"/>
              <w:jc w:val="left"/>
              <w:rPr/>
            </w:pPr>
            <w:r>
              <w:rPr/>
              <w:t> </w:t>
            </w:r>
          </w:p>
        </w:tc>
        <w:tc>
          <w:tcPr>
            <w:tcW w:w="3500" w:type="dxa"/>
            <w:tcBorders/>
            <w:shd w:fill="EDEDED" w:val="clear"/>
            <w:vAlign w:val="center"/>
          </w:tcPr>
          <w:p>
            <w:pPr>
              <w:pStyle w:val="TableContents"/>
              <w:bidi w:val="0"/>
              <w:spacing w:before="0" w:after="283"/>
              <w:jc w:val="left"/>
              <w:rPr>
                <w:b/>
              </w:rPr>
            </w:pPr>
            <w:r>
              <w:rPr>
                <w:b/>
              </w:rPr>
              <w:t>Record Date:</w:t>
            </w:r>
          </w:p>
        </w:tc>
      </w:tr>
      <w:tr>
        <w:trPr/>
        <w:tc>
          <w:tcPr>
            <w:tcW w:w="2900" w:type="dxa"/>
            <w:tcBorders/>
            <w:shd w:fill="EDEDED" w:val="clear"/>
            <w:vAlign w:val="center"/>
          </w:tcPr>
          <w:p>
            <w:pPr>
              <w:pStyle w:val="TableContents"/>
              <w:bidi w:val="0"/>
              <w:spacing w:before="0" w:after="283"/>
              <w:jc w:val="left"/>
              <w:rPr>
                <w:sz w:val="4"/>
                <w:szCs w:val="4"/>
              </w:rPr>
            </w:pPr>
            <w:r>
              <w:rPr>
                <w:sz w:val="4"/>
                <w:szCs w:val="4"/>
              </w:rPr>
            </w:r>
          </w:p>
        </w:tc>
        <w:tc>
          <w:tcPr>
            <w:tcW w:w="1700" w:type="dxa"/>
            <w:gridSpan w:val="2"/>
            <w:tcBorders/>
            <w:shd w:fill="EDEDED" w:val="clear"/>
            <w:vAlign w:val="center"/>
          </w:tcPr>
          <w:p>
            <w:pPr>
              <w:pStyle w:val="TableContents"/>
              <w:bidi w:val="0"/>
              <w:spacing w:before="0" w:after="283"/>
              <w:jc w:val="left"/>
              <w:rPr>
                <w:sz w:val="4"/>
                <w:szCs w:val="4"/>
              </w:rPr>
            </w:pPr>
            <w:r>
              <w:rPr>
                <w:sz w:val="4"/>
                <w:szCs w:val="4"/>
              </w:rPr>
            </w:r>
          </w:p>
        </w:tc>
        <w:tc>
          <w:tcPr>
            <w:tcW w:w="3560"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900" w:type="dxa"/>
            <w:tcBorders/>
            <w:shd w:fill="EDEDED" w:val="clear"/>
            <w:vAlign w:val="center"/>
          </w:tcPr>
          <w:p>
            <w:pPr>
              <w:pStyle w:val="TableContents"/>
              <w:bidi w:val="0"/>
              <w:spacing w:before="0" w:after="0"/>
              <w:jc w:val="left"/>
              <w:rPr/>
            </w:pPr>
            <w:r>
              <w:rPr/>
              <w:t>  </w:t>
            </w:r>
            <w:r>
              <w:rPr>
                <w:rFonts w:ascii="arial" w:hAnsi="arial"/>
                <w:sz w:val="20"/>
              </w:rPr>
              <w:t>Thursday, May 7, 2026, at</w:t>
            </w:r>
          </w:p>
          <w:p>
            <w:pPr>
              <w:pStyle w:val="TableContents"/>
              <w:bidi w:val="0"/>
              <w:spacing w:before="0" w:after="20"/>
              <w:jc w:val="left"/>
              <w:rPr/>
            </w:pPr>
            <w:r>
              <w:rPr/>
              <w:t> </w:t>
            </w:r>
            <w:r>
              <w:rPr>
                <w:rFonts w:ascii="arial" w:hAnsi="arial"/>
                <w:sz w:val="18"/>
              </w:rPr>
              <w:t>12:00 p.m., Eastern Daylight Time</w:t>
            </w:r>
          </w:p>
        </w:tc>
        <w:tc>
          <w:tcPr>
            <w:tcW w:w="240" w:type="dxa"/>
            <w:tcBorders/>
            <w:shd w:fill="EDEDED" w:val="clear"/>
            <w:vAlign w:val="center"/>
          </w:tcPr>
          <w:p>
            <w:pPr>
              <w:pStyle w:val="TableContents"/>
              <w:bidi w:val="0"/>
              <w:spacing w:before="0" w:after="283"/>
              <w:jc w:val="left"/>
              <w:rPr/>
            </w:pPr>
            <w:r>
              <w:rPr/>
              <w:t>    </w:t>
            </w:r>
          </w:p>
        </w:tc>
        <w:tc>
          <w:tcPr>
            <w:tcW w:w="1460" w:type="dxa"/>
            <w:tcBorders/>
            <w:shd w:fill="EDEDED" w:val="clear"/>
            <w:vAlign w:val="center"/>
          </w:tcPr>
          <w:p>
            <w:pPr>
              <w:pStyle w:val="TableContents"/>
              <w:bidi w:val="0"/>
              <w:spacing w:before="0" w:after="0"/>
              <w:jc w:val="left"/>
              <w:rPr>
                <w:rFonts w:ascii="arial" w:hAnsi="arial"/>
                <w:sz w:val="18"/>
              </w:rPr>
            </w:pPr>
            <w:r>
              <w:rPr>
                <w:rFonts w:ascii="arial" w:hAnsi="arial"/>
                <w:sz w:val="18"/>
              </w:rPr>
              <w:t>Virtual Meeting:</w:t>
            </w:r>
          </w:p>
          <w:p>
            <w:pPr>
              <w:pStyle w:val="TableContents"/>
              <w:bidi w:val="0"/>
              <w:spacing w:before="0" w:after="20"/>
              <w:jc w:val="left"/>
              <w:rPr>
                <w:rFonts w:ascii="arial" w:hAnsi="arial"/>
                <w:sz w:val="18"/>
              </w:rPr>
            </w:pPr>
            <w:r>
              <w:rPr>
                <w:rFonts w:ascii="arial" w:hAnsi="arial"/>
                <w:sz w:val="18"/>
              </w:rPr>
              <w:t>kellyservices.com</w:t>
            </w:r>
          </w:p>
        </w:tc>
        <w:tc>
          <w:tcPr>
            <w:tcW w:w="60" w:type="dxa"/>
            <w:tcBorders/>
            <w:shd w:fill="EDEDED" w:val="clear"/>
            <w:vAlign w:val="center"/>
          </w:tcPr>
          <w:p>
            <w:pPr>
              <w:pStyle w:val="TableContents"/>
              <w:bidi w:val="0"/>
              <w:spacing w:before="0" w:after="283"/>
              <w:jc w:val="left"/>
              <w:rPr/>
            </w:pPr>
            <w:r>
              <w:rPr/>
              <w:t> </w:t>
            </w:r>
          </w:p>
        </w:tc>
        <w:tc>
          <w:tcPr>
            <w:tcW w:w="3500" w:type="dxa"/>
            <w:tcBorders/>
            <w:shd w:fill="EDEDED" w:val="clear"/>
            <w:vAlign w:val="center"/>
          </w:tcPr>
          <w:p>
            <w:pPr>
              <w:pStyle w:val="TableContents"/>
              <w:bidi w:val="0"/>
              <w:spacing w:before="0" w:after="283"/>
              <w:jc w:val="left"/>
              <w:rPr/>
            </w:pPr>
            <w:r>
              <w:rPr/>
              <w:t xml:space="preserve">Close of Business, Eastern Daylight </w:t>
              <w:br/>
              <w:t>Time, March 19, 2026</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33"/>
        <w:gridCol w:w="60"/>
        <w:gridCol w:w="23"/>
        <w:gridCol w:w="120"/>
        <w:gridCol w:w="4130"/>
        <w:gridCol w:w="140"/>
        <w:gridCol w:w="1899"/>
      </w:tblGrid>
      <w:tr>
        <w:trPr/>
        <w:tc>
          <w:tcPr>
            <w:tcW w:w="38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r>
      <w:tr>
        <w:trPr/>
        <w:tc>
          <w:tcPr>
            <w:tcW w:w="3833"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0" w:type="dxa"/>
            <w:gridSpan w:val="2"/>
            <w:tcBorders/>
            <w:vAlign w:val="center"/>
          </w:tcPr>
          <w:p>
            <w:pPr>
              <w:pStyle w:val="TableContents"/>
              <w:bidi w:val="0"/>
              <w:spacing w:before="0" w:after="283"/>
              <w:jc w:val="left"/>
              <w:rPr>
                <w:sz w:val="4"/>
                <w:szCs w:val="4"/>
              </w:rPr>
            </w:pPr>
            <w:r>
              <w:rPr>
                <w:sz w:val="4"/>
                <w:szCs w:val="4"/>
              </w:rPr>
            </w:r>
          </w:p>
        </w:tc>
        <w:tc>
          <w:tcPr>
            <w:tcW w:w="2039" w:type="dxa"/>
            <w:gridSpan w:val="2"/>
            <w:tcBorders/>
            <w:vAlign w:val="center"/>
          </w:tcPr>
          <w:p>
            <w:pPr>
              <w:pStyle w:val="TableContents"/>
              <w:bidi w:val="0"/>
              <w:spacing w:before="0" w:after="283"/>
              <w:jc w:val="left"/>
              <w:rPr>
                <w:sz w:val="4"/>
                <w:szCs w:val="4"/>
              </w:rPr>
            </w:pPr>
            <w:r>
              <w:rPr>
                <w:sz w:val="4"/>
                <w:szCs w:val="4"/>
              </w:rPr>
            </w:r>
          </w:p>
        </w:tc>
      </w:tr>
      <w:tr>
        <w:trPr/>
        <w:tc>
          <w:tcPr>
            <w:tcW w:w="3833" w:type="dxa"/>
            <w:tcBorders/>
            <w:vAlign w:val="center"/>
          </w:tcPr>
          <w:p>
            <w:pPr>
              <w:pStyle w:val="TableContents"/>
              <w:bidi w:val="0"/>
              <w:spacing w:before="0" w:after="283"/>
              <w:jc w:val="left"/>
              <w:rPr>
                <w:b/>
                <w:sz w:val="18"/>
              </w:rPr>
            </w:pPr>
            <w:r>
              <w:rPr>
                <w:b/>
                <w:sz w:val="18"/>
              </w:rPr>
              <w:t>Voting Matters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b/>
                <w:sz w:val="18"/>
              </w:rPr>
            </w:pPr>
            <w:r>
              <w:rPr>
                <w:b/>
                <w:sz w:val="18"/>
              </w:rPr>
              <w:t>How to Vote</w:t>
            </w:r>
          </w:p>
        </w:tc>
        <w:tc>
          <w:tcPr>
            <w:tcW w:w="140" w:type="dxa"/>
            <w:tcBorders/>
            <w:vAlign w:val="center"/>
          </w:tcPr>
          <w:p>
            <w:pPr>
              <w:pStyle w:val="TableContents"/>
              <w:bidi w:val="0"/>
              <w:spacing w:before="0" w:after="283"/>
              <w:jc w:val="left"/>
              <w:rPr/>
            </w:pPr>
            <w:r>
              <w:rPr/>
              <w:t>  </w:t>
            </w:r>
          </w:p>
        </w:tc>
        <w:tc>
          <w:tcPr>
            <w:tcW w:w="1899" w:type="dxa"/>
            <w:tcBorders/>
            <w:vAlign w:val="center"/>
          </w:tcPr>
          <w:p>
            <w:pPr>
              <w:pStyle w:val="TableContents"/>
              <w:bidi w:val="0"/>
              <w:spacing w:before="0" w:after="283"/>
              <w:jc w:val="left"/>
              <w:rPr>
                <w:sz w:val="4"/>
                <w:szCs w:val="4"/>
              </w:rPr>
            </w:pPr>
            <w:r>
              <w:rPr>
                <w:sz w:val="4"/>
                <w:szCs w:val="4"/>
              </w:rPr>
            </w:r>
          </w:p>
        </w:tc>
      </w:tr>
      <w:tr>
        <w:trPr/>
        <w:tc>
          <w:tcPr>
            <w:tcW w:w="3833" w:type="dxa"/>
            <w:vMerge w:val="restart"/>
            <w:tcBorders/>
            <w:vAlign w:val="center"/>
          </w:tcPr>
          <w:p>
            <w:pPr>
              <w:pStyle w:val="TableContents"/>
              <w:bidi w:val="0"/>
              <w:spacing w:before="0" w:after="0"/>
              <w:jc w:val="left"/>
              <w:rPr>
                <w:rFonts w:ascii="arial" w:hAnsi="arial"/>
                <w:b/>
                <w:sz w:val="18"/>
              </w:rPr>
            </w:pPr>
            <w:r>
              <w:rPr>
                <w:rFonts w:ascii="arial" w:hAnsi="arial"/>
                <w:b/>
                <w:sz w:val="18"/>
              </w:rPr>
              <w:t>At the Annual Meeting, you</w:t>
              <w:br/>
              <w:t>will be asked to consider</w:t>
              <w:br/>
              <w:t>the following proposals</w:t>
            </w:r>
          </w:p>
          <w:p>
            <w:pPr>
              <w:pStyle w:val="TableContents"/>
              <w:pBdr>
                <w:bottom w:val="single" w:sz="2" w:space="1" w:color="00AE4F"/>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Proposal 1.</w:t>
            </w:r>
          </w:p>
          <w:p>
            <w:pPr>
              <w:pStyle w:val="TableContents"/>
              <w:bidi w:val="0"/>
              <w:spacing w:before="0" w:after="0"/>
              <w:jc w:val="left"/>
              <w:rPr>
                <w:rFonts w:ascii="arial" w:hAnsi="arial"/>
                <w:sz w:val="18"/>
              </w:rPr>
            </w:pPr>
            <w:r>
              <w:rPr>
                <w:rFonts w:ascii="arial" w:hAnsi="arial"/>
                <w:sz w:val="18"/>
              </w:rPr>
              <w:t>Election of eleven Board-recommended director nominees</w:t>
            </w:r>
          </w:p>
          <w:p>
            <w:pPr>
              <w:pStyle w:val="TableContents"/>
              <w:pBdr>
                <w:bottom w:val="single" w:sz="2" w:space="1" w:color="00AE4F"/>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Proposal 2.</w:t>
            </w:r>
          </w:p>
          <w:p>
            <w:pPr>
              <w:pStyle w:val="TableContents"/>
              <w:bidi w:val="0"/>
              <w:spacing w:before="0" w:after="0"/>
              <w:jc w:val="left"/>
              <w:rPr>
                <w:rFonts w:ascii="arial" w:hAnsi="arial"/>
                <w:sz w:val="18"/>
              </w:rPr>
            </w:pPr>
            <w:r>
              <w:rPr>
                <w:rFonts w:ascii="arial" w:hAnsi="arial"/>
                <w:sz w:val="18"/>
              </w:rPr>
              <w:t>Advisory approval of the Company’s executive compensation</w:t>
            </w:r>
          </w:p>
          <w:p>
            <w:pPr>
              <w:pStyle w:val="TableContents"/>
              <w:pBdr>
                <w:bottom w:val="single" w:sz="2" w:space="1" w:color="00AE4F"/>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Proposal 3.</w:t>
            </w:r>
          </w:p>
          <w:p>
            <w:pPr>
              <w:pStyle w:val="TableContents"/>
              <w:bidi w:val="0"/>
              <w:spacing w:before="0" w:after="0"/>
              <w:jc w:val="left"/>
              <w:rPr>
                <w:rFonts w:ascii="arial" w:hAnsi="arial"/>
                <w:sz w:val="18"/>
              </w:rPr>
            </w:pPr>
            <w:r>
              <w:rPr>
                <w:rFonts w:ascii="arial" w:hAnsi="arial"/>
                <w:sz w:val="18"/>
              </w:rPr>
              <w:t>Approve the Amendment to the Company’s Restated Certificate of Incorporation to permit stockholder action by written consent, allow the Chairperson and majority Class B holders to call special meetings, and allow stockholders to fill Board vacancies and new directorships</w:t>
            </w:r>
          </w:p>
          <w:p>
            <w:pPr>
              <w:pStyle w:val="TableContents"/>
              <w:pBdr>
                <w:bottom w:val="single" w:sz="2" w:space="1" w:color="00AE4F"/>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Proposal 4.</w:t>
            </w:r>
          </w:p>
          <w:p>
            <w:pPr>
              <w:pStyle w:val="TableContents"/>
              <w:bidi w:val="0"/>
              <w:spacing w:before="0" w:after="0"/>
              <w:jc w:val="left"/>
              <w:rPr>
                <w:rFonts w:ascii="arial" w:hAnsi="arial"/>
                <w:sz w:val="18"/>
              </w:rPr>
            </w:pPr>
            <w:r>
              <w:rPr>
                <w:rFonts w:ascii="arial" w:hAnsi="arial"/>
                <w:sz w:val="18"/>
              </w:rPr>
              <w:t>Ratification of PricewaterhouseCoopers LLP as the Company’s independent registered public accounting firm for the 2026 fiscal year</w:t>
            </w:r>
          </w:p>
          <w:p>
            <w:pPr>
              <w:pStyle w:val="TableContents"/>
              <w:pBdr>
                <w:bottom w:val="single" w:sz="2" w:space="1" w:color="00AE4F"/>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Proposal 5.</w:t>
            </w:r>
          </w:p>
          <w:p>
            <w:pPr>
              <w:pStyle w:val="TableContents"/>
              <w:bidi w:val="0"/>
              <w:spacing w:before="0" w:after="0"/>
              <w:jc w:val="left"/>
              <w:rPr>
                <w:rFonts w:ascii="arial" w:hAnsi="arial"/>
                <w:sz w:val="18"/>
              </w:rPr>
            </w:pPr>
            <w:r>
              <w:rPr>
                <w:rFonts w:ascii="arial" w:hAnsi="arial"/>
                <w:sz w:val="18"/>
              </w:rPr>
              <w:t>Transaction of any other business as may properly come before the Meeting</w:t>
            </w:r>
          </w:p>
          <w:p>
            <w:pPr>
              <w:pStyle w:val="TableContents"/>
              <w:pBdr>
                <w:bottom w:val="single" w:sz="2" w:space="1" w:color="00AE4F"/>
              </w:pBdr>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354965" cy="354965"/>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10"/>
                          <a:stretch>
                            <a:fillRect/>
                          </a:stretch>
                        </pic:blipFill>
                        <pic:spPr bwMode="auto">
                          <a:xfrm>
                            <a:off x="0" y="0"/>
                            <a:ext cx="354965" cy="354965"/>
                          </a:xfrm>
                          <a:prstGeom prst="rect">
                            <a:avLst/>
                          </a:prstGeom>
                        </pic:spPr>
                      </pic:pic>
                    </a:graphicData>
                  </a:graphic>
                </wp:inline>
              </w:drawing>
            </w:r>
            <w:r>
              <w:rPr/>
              <w:t xml:space="preserve"> </w:t>
            </w:r>
          </w:p>
          <w:p>
            <w:pPr>
              <w:pStyle w:val="TableContents"/>
              <w:bidi w:val="0"/>
              <w:spacing w:before="0" w:after="0"/>
              <w:jc w:val="left"/>
              <w:rPr>
                <w:rFonts w:ascii="arial" w:hAnsi="arial"/>
                <w:b/>
                <w:sz w:val="18"/>
              </w:rPr>
            </w:pPr>
            <w:r>
              <w:rPr>
                <w:rFonts w:ascii="arial" w:hAnsi="arial"/>
                <w:b/>
                <w:sz w:val="18"/>
              </w:rPr>
              <w:t>Online -</w:t>
            </w:r>
          </w:p>
          <w:p>
            <w:pPr>
              <w:pStyle w:val="TableContents"/>
              <w:bidi w:val="0"/>
              <w:spacing w:before="0" w:after="20"/>
              <w:jc w:val="left"/>
              <w:rPr>
                <w:rFonts w:ascii="arial" w:hAnsi="arial"/>
                <w:sz w:val="18"/>
              </w:rPr>
            </w:pPr>
            <w:r>
              <w:rPr>
                <w:rFonts w:ascii="arial" w:hAnsi="arial"/>
                <w:sz w:val="18"/>
              </w:rPr>
              <w:t>www.envisionreports.com/kelyb</w:t>
            </w:r>
          </w:p>
        </w:tc>
        <w:tc>
          <w:tcPr>
            <w:tcW w:w="140" w:type="dxa"/>
            <w:tcBorders/>
            <w:vAlign w:val="center"/>
          </w:tcPr>
          <w:p>
            <w:pPr>
              <w:pStyle w:val="TableContents"/>
              <w:bidi w:val="0"/>
              <w:spacing w:before="0" w:after="283"/>
              <w:jc w:val="left"/>
              <w:rPr/>
            </w:pPr>
            <w:r>
              <w:rPr/>
              <w:t>  </w:t>
            </w:r>
          </w:p>
        </w:tc>
        <w:tc>
          <w:tcPr>
            <w:tcW w:w="1899" w:type="dxa"/>
            <w:tcBorders/>
            <w:vAlign w:val="center"/>
          </w:tcPr>
          <w:p>
            <w:pPr>
              <w:pStyle w:val="TableContents"/>
              <w:bidi w:val="0"/>
              <w:spacing w:before="0" w:after="0"/>
              <w:jc w:val="left"/>
              <w:rPr/>
            </w:pPr>
            <w:r>
              <w:rPr/>
              <w:drawing>
                <wp:inline distT="0" distB="0" distL="0" distR="0">
                  <wp:extent cx="393700" cy="395605"/>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11"/>
                          <a:stretch>
                            <a:fillRect/>
                          </a:stretch>
                        </pic:blipFill>
                        <pic:spPr bwMode="auto">
                          <a:xfrm>
                            <a:off x="0" y="0"/>
                            <a:ext cx="393700" cy="395605"/>
                          </a:xfrm>
                          <a:prstGeom prst="rect">
                            <a:avLst/>
                          </a:prstGeom>
                        </pic:spPr>
                      </pic:pic>
                    </a:graphicData>
                  </a:graphic>
                </wp:inline>
              </w:drawing>
            </w:r>
            <w:r>
              <w:rPr/>
              <w:t xml:space="preserve"> </w:t>
            </w:r>
          </w:p>
          <w:p>
            <w:pPr>
              <w:pStyle w:val="TableContents"/>
              <w:bidi w:val="0"/>
              <w:spacing w:before="0" w:after="0"/>
              <w:jc w:val="left"/>
              <w:rPr>
                <w:rFonts w:ascii="arial" w:hAnsi="arial"/>
                <w:b/>
                <w:sz w:val="18"/>
              </w:rPr>
            </w:pPr>
            <w:r>
              <w:rPr>
                <w:rFonts w:ascii="arial" w:hAnsi="arial"/>
                <w:b/>
                <w:sz w:val="18"/>
              </w:rPr>
              <w:t>QR code -</w:t>
            </w:r>
          </w:p>
          <w:p>
            <w:pPr>
              <w:pStyle w:val="TableContents"/>
              <w:bidi w:val="0"/>
              <w:spacing w:before="0" w:after="0"/>
              <w:jc w:val="left"/>
              <w:rPr>
                <w:rFonts w:ascii="arial" w:hAnsi="arial"/>
                <w:sz w:val="18"/>
              </w:rPr>
            </w:pPr>
            <w:r>
              <w:rPr>
                <w:rFonts w:ascii="arial" w:hAnsi="arial"/>
                <w:sz w:val="18"/>
              </w:rPr>
              <w:t>Scan and vote with your mobile device</w:t>
            </w:r>
          </w:p>
          <w:p>
            <w:pPr>
              <w:pStyle w:val="TableContents"/>
              <w:bidi w:val="0"/>
              <w:spacing w:before="0" w:after="20"/>
              <w:jc w:val="left"/>
              <w:rPr/>
            </w:pPr>
            <w:r>
              <w:rPr/>
              <w:t> </w:t>
            </w:r>
          </w:p>
        </w:tc>
      </w:tr>
      <w:tr>
        <w:trPr/>
        <w:tc>
          <w:tcPr>
            <w:tcW w:w="383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bottom w:val="single" w:sz="6" w:space="0" w:color="00AE4F"/>
            </w:tcBorders>
            <w:tcMar>
              <w:bottom w:w="28" w:type="dxa"/>
            </w:tcMar>
            <w:vAlign w:val="center"/>
          </w:tcPr>
          <w:p>
            <w:pPr>
              <w:pStyle w:val="TableContents"/>
              <w:bidi w:val="0"/>
              <w:spacing w:before="0" w:after="283"/>
              <w:jc w:val="left"/>
              <w:rPr/>
            </w:pPr>
            <w:r>
              <w:rPr/>
              <w:t>  </w:t>
            </w:r>
          </w:p>
        </w:tc>
        <w:tc>
          <w:tcPr>
            <w:tcW w:w="4130" w:type="dxa"/>
            <w:tcBorders>
              <w:bottom w:val="single" w:sz="6" w:space="0" w:color="00AE4F"/>
            </w:tcBorders>
            <w:tcMar>
              <w:bottom w:w="12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354965" cy="354965"/>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2"/>
                          <a:stretch>
                            <a:fillRect/>
                          </a:stretch>
                        </pic:blipFill>
                        <pic:spPr bwMode="auto">
                          <a:xfrm>
                            <a:off x="0" y="0"/>
                            <a:ext cx="354965" cy="354965"/>
                          </a:xfrm>
                          <a:prstGeom prst="rect">
                            <a:avLst/>
                          </a:prstGeom>
                        </pic:spPr>
                      </pic:pic>
                    </a:graphicData>
                  </a:graphic>
                </wp:inline>
              </w:drawing>
            </w:r>
            <w:r>
              <w:rPr/>
              <w:t xml:space="preserve"> </w:t>
            </w:r>
          </w:p>
          <w:p>
            <w:pPr>
              <w:pStyle w:val="TableContents"/>
              <w:bidi w:val="0"/>
              <w:spacing w:before="0" w:after="0"/>
              <w:jc w:val="left"/>
              <w:rPr>
                <w:rFonts w:ascii="arial" w:hAnsi="arial"/>
                <w:sz w:val="18"/>
              </w:rPr>
            </w:pPr>
            <w:r>
              <w:rPr>
                <w:rFonts w:ascii="arial" w:hAnsi="arial"/>
                <w:b/>
                <w:sz w:val="18"/>
              </w:rPr>
              <w:t>Calling -</w:t>
            </w:r>
            <w:r>
              <w:rPr>
                <w:rFonts w:ascii="arial" w:hAnsi="arial"/>
                <w:sz w:val="18"/>
              </w:rPr>
              <w:t xml:space="preserve"> 1-800-652-VOTE (8683) Within the U.S., U.S. territories &amp; Canada on a touch-tone telephone</w:t>
            </w:r>
          </w:p>
          <w:p>
            <w:pPr>
              <w:pStyle w:val="TableContents"/>
              <w:bidi w:val="0"/>
              <w:spacing w:before="0" w:after="20"/>
              <w:jc w:val="left"/>
              <w:rPr/>
            </w:pPr>
            <w:r>
              <w:rPr/>
              <w:t> </w:t>
            </w:r>
          </w:p>
        </w:tc>
        <w:tc>
          <w:tcPr>
            <w:tcW w:w="140" w:type="dxa"/>
            <w:tcBorders>
              <w:bottom w:val="single" w:sz="6" w:space="0" w:color="00AE4F"/>
            </w:tcBorders>
            <w:tcMar>
              <w:bottom w:w="28" w:type="dxa"/>
            </w:tcMar>
            <w:vAlign w:val="center"/>
          </w:tcPr>
          <w:p>
            <w:pPr>
              <w:pStyle w:val="TableContents"/>
              <w:bidi w:val="0"/>
              <w:spacing w:before="0" w:after="283"/>
              <w:jc w:val="left"/>
              <w:rPr/>
            </w:pPr>
            <w:r>
              <w:rPr/>
              <w:t>  </w:t>
            </w:r>
          </w:p>
        </w:tc>
        <w:tc>
          <w:tcPr>
            <w:tcW w:w="1899" w:type="dxa"/>
            <w:tcBorders>
              <w:bottom w:val="single" w:sz="6" w:space="0" w:color="00AE4F"/>
            </w:tcBorders>
            <w:tcMar>
              <w:bottom w:w="12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354965" cy="354965"/>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3"/>
                          <a:stretch>
                            <a:fillRect/>
                          </a:stretch>
                        </pic:blipFill>
                        <pic:spPr bwMode="auto">
                          <a:xfrm>
                            <a:off x="0" y="0"/>
                            <a:ext cx="354965" cy="354965"/>
                          </a:xfrm>
                          <a:prstGeom prst="rect">
                            <a:avLst/>
                          </a:prstGeom>
                        </pic:spPr>
                      </pic:pic>
                    </a:graphicData>
                  </a:graphic>
                </wp:inline>
              </w:drawing>
            </w:r>
            <w:r>
              <w:rPr/>
              <w:t xml:space="preserve"> </w:t>
            </w:r>
          </w:p>
          <w:p>
            <w:pPr>
              <w:pStyle w:val="TableContents"/>
              <w:bidi w:val="0"/>
              <w:spacing w:before="0" w:after="0"/>
              <w:jc w:val="left"/>
              <w:rPr>
                <w:rFonts w:ascii="arial" w:hAnsi="arial"/>
                <w:b/>
                <w:sz w:val="18"/>
              </w:rPr>
            </w:pPr>
            <w:r>
              <w:rPr>
                <w:rFonts w:ascii="arial" w:hAnsi="arial"/>
                <w:b/>
                <w:sz w:val="18"/>
              </w:rPr>
              <w:t>Mail -</w:t>
            </w:r>
          </w:p>
          <w:p>
            <w:pPr>
              <w:pStyle w:val="TableContents"/>
              <w:bidi w:val="0"/>
              <w:spacing w:before="0" w:after="20"/>
              <w:jc w:val="left"/>
              <w:rPr>
                <w:rFonts w:ascii="arial" w:hAnsi="arial"/>
                <w:sz w:val="18"/>
              </w:rPr>
            </w:pPr>
            <w:r>
              <w:rPr>
                <w:rFonts w:ascii="arial" w:hAnsi="arial"/>
                <w:sz w:val="18"/>
              </w:rPr>
              <w:t>Return the signed proxy card</w:t>
            </w:r>
          </w:p>
        </w:tc>
      </w:tr>
      <w:tr>
        <w:trPr/>
        <w:tc>
          <w:tcPr>
            <w:tcW w:w="383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69" w:type="dxa"/>
            <w:gridSpan w:val="3"/>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Proxies submitted online or by telephone must be received by 11:59 p.m., Central Daylight Time, on May 6, 2026. If you vote by mail, your proxy card must be received before the Annual Meeting.</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Beneficial owners</w:t>
            </w:r>
            <w:r>
              <w:rPr>
                <w:rFonts w:ascii="arial" w:hAnsi="arial"/>
                <w:sz w:val="18"/>
              </w:rPr>
              <w:t>, who own shares through a bank, brokerage firm, or other financial institution, can vote by returning the voting instruction form, or by following the instructions for voting via telephone or the Internet, provided by the bank, broker, or other organization. If you own shares in different accounts or in more than one name, you may receive different voting instructions for each type of ownership. Please vote all your shares.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 xml:space="preserve">If you are a </w:t>
            </w:r>
            <w:r>
              <w:rPr>
                <w:rFonts w:ascii="arial" w:hAnsi="arial"/>
                <w:b/>
                <w:sz w:val="18"/>
              </w:rPr>
              <w:t xml:space="preserve">registered shareholder </w:t>
            </w:r>
            <w:r>
              <w:rPr>
                <w:rFonts w:ascii="arial" w:hAnsi="arial"/>
                <w:sz w:val="18"/>
              </w:rPr>
              <w:t>(i.e., you hold your shares through our transfer agent, Computershare), you may vote online, by telephone, or by mail.</w:t>
            </w:r>
          </w:p>
        </w:tc>
      </w:tr>
      <w:tr>
        <w:trPr/>
        <w:tc>
          <w:tcPr>
            <w:tcW w:w="383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idi w:val="0"/>
        <w:spacing w:before="0" w:after="0"/>
        <w:jc w:val="left"/>
        <w:rPr>
          <w:rFonts w:ascii="arial" w:hAnsi="arial"/>
          <w:sz w:val="18"/>
          <w:shd w:fill="EDEDED" w:val="clear"/>
        </w:rPr>
      </w:pPr>
      <w:r>
        <w:rPr>
          <w:rFonts w:ascii="arial" w:hAnsi="arial"/>
          <w:sz w:val="18"/>
          <w:shd w:fill="EDEDED" w:val="clear"/>
        </w:rPr>
        <w:t xml:space="preserve">If you were a holder of record of the Company’s Class B Common Stock at the close of business on the Record Date, March 19, 2026, you are entitled to vote at the Annual Meeting. </w:t>
      </w:r>
    </w:p>
    <w:p>
      <w:pPr>
        <w:pStyle w:val="TextBody"/>
        <w:bidi w:val="0"/>
        <w:spacing w:before="120" w:after="0"/>
        <w:jc w:val="left"/>
        <w:rPr>
          <w:rFonts w:ascii="arial" w:hAnsi="arial"/>
          <w:sz w:val="18"/>
          <w:shd w:fill="EDEDED" w:val="clear"/>
        </w:rPr>
      </w:pPr>
      <w:r>
        <w:rPr>
          <w:rFonts w:ascii="arial" w:hAnsi="arial"/>
          <w:sz w:val="18"/>
          <w:shd w:fill="EDEDED" w:val="clear"/>
        </w:rPr>
        <w:t xml:space="preserve">Please promptly submit your vote by internet, telephone, or by signing, dating, and returning the enclosed proxy card or voting instructions form in the postage-paid envelope provided so that your shares will be represented and voted at the meeting. </w:t>
      </w:r>
    </w:p>
    <w:p>
      <w:pPr>
        <w:pStyle w:val="TextBody"/>
        <w:bidi w:val="0"/>
        <w:spacing w:before="120" w:after="0"/>
        <w:jc w:val="left"/>
        <w:rPr>
          <w:rFonts w:ascii="arial" w:hAnsi="arial"/>
          <w:sz w:val="18"/>
          <w:shd w:fill="EDEDED" w:val="clear"/>
        </w:rPr>
      </w:pPr>
      <w:r>
        <w:rPr>
          <w:rFonts w:ascii="arial" w:hAnsi="arial"/>
          <w:sz w:val="18"/>
          <w:shd w:fill="EDEDED" w:val="clear"/>
        </w:rPr>
        <w:t xml:space="preserve">Thank you for your interest in Kelly. </w:t>
      </w:r>
    </w:p>
    <w:p>
      <w:pPr>
        <w:pStyle w:val="TextBody"/>
        <w:bidi w:val="0"/>
        <w:spacing w:before="120" w:after="0"/>
        <w:jc w:val="left"/>
        <w:rPr>
          <w:rFonts w:ascii="arial" w:hAnsi="arial"/>
          <w:sz w:val="18"/>
          <w:shd w:fill="EDEDED" w:val="clear"/>
        </w:rPr>
      </w:pPr>
      <w:r>
        <w:rPr>
          <w:rFonts w:ascii="arial" w:hAnsi="arial"/>
          <w:sz w:val="18"/>
          <w:shd w:fill="EDEDED" w:val="clear"/>
        </w:rPr>
        <w:t xml:space="preserve">By Order of the Board of Directors, </w:t>
      </w:r>
    </w:p>
    <w:p>
      <w:pPr>
        <w:pStyle w:val="TextBody"/>
        <w:bidi w:val="0"/>
        <w:spacing w:before="0" w:after="0"/>
        <w:jc w:val="left"/>
        <w:rPr>
          <w:shd w:fill="EDEDED" w:val="clear"/>
        </w:rPr>
      </w:pPr>
      <w:r>
        <w:rPr>
          <w:shd w:fill="EDEDED" w:val="clear"/>
        </w:rPr>
        <w:t> </w:t>
      </w:r>
    </w:p>
    <w:p>
      <w:pPr>
        <w:pStyle w:val="TextBody"/>
        <w:bidi w:val="0"/>
        <w:spacing w:before="0" w:after="0"/>
        <w:jc w:val="left"/>
        <w:rPr>
          <w:shd w:fill="EDEDED" w:val="clear"/>
        </w:rPr>
      </w:pPr>
      <w:r>
        <w:rPr>
          <w:shd w:fill="EDEDED" w:val="clear"/>
        </w:rPr>
        <w:t> </w:t>
      </w:r>
    </w:p>
    <w:p>
      <w:pPr>
        <w:pStyle w:val="TextBody"/>
        <w:bidi w:val="0"/>
        <w:spacing w:before="0" w:after="0"/>
        <w:jc w:val="left"/>
        <w:rPr>
          <w:shd w:fill="EDEDED" w:val="clear"/>
        </w:rPr>
      </w:pPr>
      <w:r>
        <w:rPr>
          <w:shd w:fill="EDEDED" w:val="clear"/>
        </w:rPr>
        <w:drawing>
          <wp:inline distT="0" distB="0" distL="0" distR="0">
            <wp:extent cx="1419225" cy="533400"/>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4"/>
                    <a:stretch>
                      <a:fillRect/>
                    </a:stretch>
                  </pic:blipFill>
                  <pic:spPr bwMode="auto">
                    <a:xfrm>
                      <a:off x="0" y="0"/>
                      <a:ext cx="1419225" cy="533400"/>
                    </a:xfrm>
                    <a:prstGeom prst="rect">
                      <a:avLst/>
                    </a:prstGeom>
                  </pic:spPr>
                </pic:pic>
              </a:graphicData>
            </a:graphic>
          </wp:inline>
        </w:drawing>
      </w:r>
      <w:r>
        <w:rPr>
          <w:shd w:fill="EDEDED" w:val="clear"/>
        </w:rPr>
        <w:t xml:space="preserve"> </w:t>
      </w:r>
    </w:p>
    <w:p>
      <w:pPr>
        <w:pStyle w:val="TextBody"/>
        <w:bidi w:val="0"/>
        <w:spacing w:before="240" w:after="0"/>
        <w:jc w:val="left"/>
        <w:rPr>
          <w:rFonts w:ascii="arial" w:hAnsi="arial"/>
          <w:sz w:val="18"/>
          <w:shd w:fill="EDEDED" w:val="clear"/>
        </w:rPr>
      </w:pPr>
      <w:r>
        <w:rPr>
          <w:rFonts w:ascii="arial" w:hAnsi="arial"/>
          <w:sz w:val="18"/>
          <w:shd w:fill="EDEDED" w:val="clear"/>
        </w:rPr>
        <w:t xml:space="preserve">VANESSA P. WILLIAMS </w:t>
      </w:r>
    </w:p>
    <w:p>
      <w:pPr>
        <w:pStyle w:val="TextBody"/>
        <w:pBdr/>
        <w:bidi w:val="0"/>
        <w:spacing w:before="0" w:after="0"/>
        <w:jc w:val="left"/>
        <w:rPr>
          <w:rFonts w:ascii="arial" w:hAnsi="arial"/>
          <w:sz w:val="18"/>
          <w:shd w:fill="EDEDED" w:val="clear"/>
        </w:rPr>
      </w:pPr>
      <w:r>
        <w:rPr>
          <w:rFonts w:ascii="arial" w:hAnsi="arial"/>
          <w:sz w:val="18"/>
          <w:shd w:fill="EDEDED" w:val="clear"/>
        </w:rPr>
        <w:t xml:space="preserve">Corporate Secretary </w:t>
      </w:r>
    </w:p>
    <w:p>
      <w:pPr>
        <w:pStyle w:val="TextBody"/>
        <w:bidi w:val="0"/>
        <w:spacing w:before="0" w:after="0"/>
        <w:jc w:val="left"/>
        <w:rPr/>
      </w:pPr>
      <w:r>
        <w:rPr/>
        <w:t> </w:t>
      </w:r>
    </w:p>
    <w:tbl>
      <w:tblPr>
        <w:tblW w:w="1744" w:type="dxa"/>
        <w:jc w:val="left"/>
        <w:tblInd w:w="0" w:type="dxa"/>
        <w:tblLayout w:type="fixed"/>
        <w:tblCellMar>
          <w:top w:w="0" w:type="dxa"/>
          <w:left w:w="0" w:type="dxa"/>
          <w:bottom w:w="0" w:type="dxa"/>
          <w:right w:w="0" w:type="dxa"/>
        </w:tblCellMar>
      </w:tblPr>
      <w:tblGrid>
        <w:gridCol w:w="1349"/>
        <w:gridCol w:w="120"/>
        <w:gridCol w:w="60"/>
        <w:gridCol w:w="14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5"/>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sz w:val="36"/>
        </w:rPr>
      </w:pPr>
      <w:bookmarkStart w:id="2" w:name="toc"/>
      <w:bookmarkEnd w:id="2"/>
      <w:r>
        <w:rPr>
          <w:rFonts w:ascii="arial" w:hAnsi="arial"/>
          <w:b/>
          <w:sz w:val="36"/>
        </w:rPr>
        <w:t xml:space="preserve">Table of Contents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23">
                <wp:simplePos x="0" y="0"/>
                <wp:positionH relativeFrom="column">
                  <wp:align>left</wp:align>
                </wp:positionH>
                <wp:positionV relativeFrom="line">
                  <wp:posOffset>635</wp:posOffset>
                </wp:positionV>
                <wp:extent cx="3110230" cy="9972040"/>
                <wp:effectExtent l="0" t="0" r="0" b="0"/>
                <wp:wrapSquare wrapText="right"/>
                <wp:docPr id="19" name="Frame5"/>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8575" w:type="dxa"/>
                              <w:jc w:val="left"/>
                              <w:tblInd w:w="0" w:type="dxa"/>
                              <w:tblLayout w:type="fixed"/>
                              <w:tblCellMar>
                                <w:top w:w="0" w:type="dxa"/>
                                <w:left w:w="0" w:type="dxa"/>
                                <w:bottom w:w="0" w:type="dxa"/>
                                <w:right w:w="0" w:type="dxa"/>
                              </w:tblCellMar>
                            </w:tblPr>
                            <w:tblGrid>
                              <w:gridCol w:w="8120"/>
                              <w:gridCol w:w="60"/>
                              <w:gridCol w:w="60"/>
                              <w:gridCol w:w="260"/>
                              <w:gridCol w:w="75"/>
                            </w:tblGrid>
                            <w:tr>
                              <w:trPr/>
                              <w:tc>
                                <w:tcPr>
                                  <w:tcW w:w="8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20" w:type="dxa"/>
                                  <w:tcBorders>
                                    <w:bottom w:val="single" w:sz="6" w:space="0" w:color="00AE4F"/>
                                  </w:tcBorders>
                                  <w:tcMar>
                                    <w:bottom w:w="80" w:type="dxa"/>
                                  </w:tcMar>
                                  <w:vAlign w:val="center"/>
                                </w:tcPr>
                                <w:p>
                                  <w:pPr>
                                    <w:pStyle w:val="TableContents"/>
                                    <w:bidi w:val="0"/>
                                    <w:spacing w:before="0" w:after="283"/>
                                    <w:jc w:val="left"/>
                                    <w:rPr/>
                                  </w:pPr>
                                  <w:hyperlink w:anchor="toc37355_1">
                                    <w:r>
                                      <w:rPr>
                                        <w:rStyle w:val="InternetLink"/>
                                        <w:b/>
                                        <w:color w:val="00AE4F"/>
                                      </w:rPr>
                                      <w:t>Proxy Summary</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5</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8120" w:type="dxa"/>
                                  <w:tcBorders/>
                                  <w:vAlign w:val="center"/>
                                </w:tcPr>
                                <w:p>
                                  <w:pPr>
                                    <w:pStyle w:val="TableContents"/>
                                    <w:bidi w:val="0"/>
                                    <w:spacing w:before="0" w:after="283"/>
                                    <w:jc w:val="left"/>
                                    <w:rPr/>
                                  </w:pPr>
                                  <w:hyperlink w:anchor="toc37355_2">
                                    <w:r>
                                      <w:rPr>
                                        <w:rStyle w:val="InternetLink"/>
                                      </w:rPr>
                                      <w:t>2026 Annual Meeting of Shareholders Details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3">
                                    <w:r>
                                      <w:rPr>
                                        <w:rStyle w:val="InternetLink"/>
                                      </w:rPr>
                                      <w:t>Proxy Voting Roadmap</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4">
                                    <w:r>
                                      <w:rPr>
                                        <w:rStyle w:val="InternetLink"/>
                                      </w:rPr>
                                      <w:t>Director Nominees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5">
                                    <w:r>
                                      <w:rPr>
                                        <w:rStyle w:val="InternetLink"/>
                                      </w:rPr>
                                      <w:t>Corporate Governance Highlights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6">
                                    <w:r>
                                      <w:rPr>
                                        <w:rStyle w:val="InternetLink"/>
                                      </w:rPr>
                                      <w:t>Meet Today’s Kelly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7">
                                    <w:r>
                                      <w:rPr>
                                        <w:rStyle w:val="InternetLink"/>
                                      </w:rPr>
                                      <w:t>A Year in Review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8">
                                    <w:r>
                                      <w:rPr>
                                        <w:rStyle w:val="InternetLink"/>
                                      </w:rPr>
                                      <w:t>2025 Financial Highlights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9">
                                    <w:r>
                                      <w:rPr>
                                        <w:rStyle w:val="InternetLink"/>
                                      </w:rPr>
                                      <w:t>Select Awards &amp; Recognitions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20" w:type="dxa"/>
                                  <w:tcBorders>
                                    <w:bottom w:val="single" w:sz="6" w:space="0" w:color="00AE4F"/>
                                  </w:tcBorders>
                                  <w:tcMar>
                                    <w:bottom w:w="80" w:type="dxa"/>
                                  </w:tcMar>
                                  <w:vAlign w:val="center"/>
                                </w:tcPr>
                                <w:p>
                                  <w:pPr>
                                    <w:pStyle w:val="TableContents"/>
                                    <w:bidi w:val="0"/>
                                    <w:spacing w:before="0" w:after="283"/>
                                    <w:jc w:val="left"/>
                                    <w:rPr/>
                                  </w:pPr>
                                  <w:hyperlink w:anchor="toc37355_11">
                                    <w:r>
                                      <w:rPr>
                                        <w:rStyle w:val="InternetLink"/>
                                        <w:b/>
                                        <w:color w:val="00AE4F"/>
                                      </w:rPr>
                                      <w:t>Proposal 1: Election of Directors</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13</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8120" w:type="dxa"/>
                                  <w:tcBorders/>
                                  <w:vAlign w:val="center"/>
                                </w:tcPr>
                                <w:p>
                                  <w:pPr>
                                    <w:pStyle w:val="TableContents"/>
                                    <w:bidi w:val="0"/>
                                    <w:spacing w:before="0" w:after="283"/>
                                    <w:jc w:val="left"/>
                                    <w:rPr/>
                                  </w:pPr>
                                  <w:hyperlink w:anchor="toc37355_12">
                                    <w:r>
                                      <w:rPr>
                                        <w:rStyle w:val="InternetLink"/>
                                      </w:rPr>
                                      <w:t>Director Independence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13">
                                    <w:r>
                                      <w:rPr>
                                        <w:rStyle w:val="InternetLink"/>
                                      </w:rPr>
                                      <w:t>Board Nominees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14">
                                    <w:r>
                                      <w:rPr>
                                        <w:rStyle w:val="InternetLink"/>
                                      </w:rPr>
                                      <w:t>Board Composition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15">
                                    <w:r>
                                      <w:rPr>
                                        <w:rStyle w:val="InternetLink"/>
                                      </w:rPr>
                                      <w:t>Biographical Information About Director Nominees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20" w:type="dxa"/>
                                  <w:tcBorders>
                                    <w:bottom w:val="single" w:sz="6" w:space="0" w:color="00AE4F"/>
                                  </w:tcBorders>
                                  <w:tcMar>
                                    <w:bottom w:w="80" w:type="dxa"/>
                                  </w:tcMar>
                                  <w:vAlign w:val="center"/>
                                </w:tcPr>
                                <w:p>
                                  <w:pPr>
                                    <w:pStyle w:val="TableContents"/>
                                    <w:bidi w:val="0"/>
                                    <w:spacing w:before="0" w:after="283"/>
                                    <w:jc w:val="left"/>
                                    <w:rPr/>
                                  </w:pPr>
                                  <w:hyperlink w:anchor="toc37355_16">
                                    <w:r>
                                      <w:rPr>
                                        <w:rStyle w:val="InternetLink"/>
                                        <w:b/>
                                        <w:color w:val="00AE4F"/>
                                      </w:rPr>
                                      <w:t>Corporate Governance</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24</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8120" w:type="dxa"/>
                                  <w:tcBorders/>
                                  <w:vAlign w:val="center"/>
                                </w:tcPr>
                                <w:p>
                                  <w:pPr>
                                    <w:pStyle w:val="TableContents"/>
                                    <w:bidi w:val="0"/>
                                    <w:spacing w:before="0" w:after="283"/>
                                    <w:jc w:val="left"/>
                                    <w:rPr/>
                                  </w:pPr>
                                  <w:hyperlink w:anchor="toc37355_17">
                                    <w:r>
                                      <w:rPr>
                                        <w:rStyle w:val="InternetLink"/>
                                      </w:rPr>
                                      <w:t>Controlled Company Exemption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18">
                                    <w:r>
                                      <w:rPr>
                                        <w:rStyle w:val="InternetLink"/>
                                      </w:rPr>
                                      <w:t>Role of the Board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19">
                                    <w:r>
                                      <w:rPr>
                                        <w:rStyle w:val="InternetLink"/>
                                      </w:rPr>
                                      <w:t>Board Leadership and Governance Structure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20">
                                    <w:r>
                                      <w:rPr>
                                        <w:rStyle w:val="InternetLink"/>
                                      </w:rPr>
                                      <w:t>Committees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21">
                                    <w:r>
                                      <w:rPr>
                                        <w:rStyle w:val="InternetLink"/>
                                      </w:rPr>
                                      <w:t>Risk Governance and Oversight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22">
                                    <w:r>
                                      <w:rPr>
                                        <w:rStyle w:val="InternetLink"/>
                                      </w:rPr>
                                      <w:t>Sustainability and Corporate Responsbility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23">
                                    <w:r>
                                      <w:rPr>
                                        <w:rStyle w:val="InternetLink"/>
                                      </w:rPr>
                                      <w:t>Human Capital</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24">
                                    <w:r>
                                      <w:rPr>
                                        <w:rStyle w:val="InternetLink"/>
                                      </w:rPr>
                                      <w:t>Director Selection Process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25">
                                    <w:r>
                                      <w:rPr>
                                        <w:rStyle w:val="InternetLink"/>
                                      </w:rPr>
                                      <w:t>Director Attendance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26">
                                    <w:r>
                                      <w:rPr>
                                        <w:rStyle w:val="InternetLink"/>
                                      </w:rPr>
                                      <w:t>Size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27">
                                    <w:r>
                                      <w:rPr>
                                        <w:rStyle w:val="InternetLink"/>
                                      </w:rPr>
                                      <w:t>Director Tenure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28">
                                    <w:r>
                                      <w:rPr>
                                        <w:rStyle w:val="InternetLink"/>
                                      </w:rPr>
                                      <w:t>Director Service on Outside Public Company Boards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29">
                                    <w:r>
                                      <w:rPr>
                                        <w:rStyle w:val="InternetLink"/>
                                      </w:rPr>
                                      <w:t>Director Orientation and Continuing Education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30">
                                    <w:r>
                                      <w:rPr>
                                        <w:rStyle w:val="InternetLink"/>
                                      </w:rPr>
                                      <w:t>Board, Committee, and Peer Evaluation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31">
                                    <w:r>
                                      <w:rPr>
                                        <w:rStyle w:val="InternetLink"/>
                                      </w:rPr>
                                      <w:t>Insider Trading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32">
                                    <w:r>
                                      <w:rPr>
                                        <w:rStyle w:val="InternetLink"/>
                                      </w:rPr>
                                      <w:t>Code of Business Conduct and Ethics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33">
                                    <w:r>
                                      <w:rPr>
                                        <w:rStyle w:val="InternetLink"/>
                                      </w:rPr>
                                      <w:t>Related Person Transactions and Certain Relationships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20" w:type="dxa"/>
                                  <w:tcBorders>
                                    <w:bottom w:val="single" w:sz="6" w:space="0" w:color="00AE4F"/>
                                  </w:tcBorders>
                                  <w:tcMar>
                                    <w:bottom w:w="80" w:type="dxa"/>
                                  </w:tcMar>
                                  <w:vAlign w:val="center"/>
                                </w:tcPr>
                                <w:p>
                                  <w:pPr>
                                    <w:pStyle w:val="TableContents"/>
                                    <w:bidi w:val="0"/>
                                    <w:spacing w:before="0" w:after="283"/>
                                    <w:jc w:val="left"/>
                                    <w:rPr/>
                                  </w:pPr>
                                  <w:hyperlink w:anchor="toc37355_34">
                                    <w:r>
                                      <w:rPr>
                                        <w:rStyle w:val="InternetLink"/>
                                        <w:b/>
                                        <w:color w:val="00AE4F"/>
                                      </w:rPr>
                                      <w:t>Director Compensation</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41</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8120" w:type="dxa"/>
                                  <w:tcBorders/>
                                  <w:vAlign w:val="center"/>
                                </w:tcPr>
                                <w:p>
                                  <w:pPr>
                                    <w:pStyle w:val="TableContents"/>
                                    <w:bidi w:val="0"/>
                                    <w:spacing w:before="0" w:after="283"/>
                                    <w:jc w:val="left"/>
                                    <w:rPr/>
                                  </w:pPr>
                                  <w:hyperlink w:anchor="toc37355_35">
                                    <w:r>
                                      <w:rPr>
                                        <w:rStyle w:val="InternetLink"/>
                                      </w:rPr>
                                      <w:t>Director Compensation Design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36">
                                    <w:r>
                                      <w:rPr>
                                        <w:rStyle w:val="InternetLink"/>
                                      </w:rPr>
                                      <w:t>Stock Ownership Requirements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37">
                                    <w:r>
                                      <w:rPr>
                                        <w:rStyle w:val="InternetLink"/>
                                      </w:rPr>
                                      <w:t>Non-Employee Directors Deferred Compensation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38">
                                    <w:r>
                                      <w:rPr>
                                        <w:rStyle w:val="InternetLink"/>
                                      </w:rPr>
                                      <w:t>2025 Director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20" w:type="dxa"/>
                                  <w:tcBorders>
                                    <w:bottom w:val="single" w:sz="6" w:space="0" w:color="00AE4F"/>
                                  </w:tcBorders>
                                  <w:tcMar>
                                    <w:bottom w:w="80" w:type="dxa"/>
                                  </w:tcMar>
                                  <w:vAlign w:val="center"/>
                                </w:tcPr>
                                <w:p>
                                  <w:pPr>
                                    <w:pStyle w:val="TableContents"/>
                                    <w:bidi w:val="0"/>
                                    <w:spacing w:before="0" w:after="283"/>
                                    <w:jc w:val="left"/>
                                    <w:rPr/>
                                  </w:pPr>
                                  <w:hyperlink w:anchor="toc37355_39">
                                    <w:r>
                                      <w:rPr>
                                        <w:rStyle w:val="InternetLink"/>
                                        <w:b/>
                                        <w:color w:val="00AE4F"/>
                                      </w:rPr>
                                      <w:t>Beneficial Ownership of Shares</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43</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812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20" w:type="dxa"/>
                                  <w:tcBorders>
                                    <w:bottom w:val="single" w:sz="6" w:space="0" w:color="00AE4F"/>
                                  </w:tcBorders>
                                  <w:tcMar>
                                    <w:bottom w:w="80" w:type="dxa"/>
                                  </w:tcMar>
                                  <w:vAlign w:val="center"/>
                                </w:tcPr>
                                <w:p>
                                  <w:pPr>
                                    <w:pStyle w:val="TableContents"/>
                                    <w:bidi w:val="0"/>
                                    <w:spacing w:before="0" w:after="283"/>
                                    <w:jc w:val="left"/>
                                    <w:rPr/>
                                  </w:pPr>
                                  <w:hyperlink w:anchor="toc37355_40">
                                    <w:r>
                                      <w:rPr>
                                        <w:rStyle w:val="InternetLink"/>
                                        <w:b/>
                                        <w:color w:val="00AE4F"/>
                                      </w:rPr>
                                      <w:t>Proposal 2: Advisory Vote to Approve the Company’s Executive Compensation</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44</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812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20" w:type="dxa"/>
                                  <w:tcBorders>
                                    <w:bottom w:val="single" w:sz="6" w:space="0" w:color="00AE4F"/>
                                  </w:tcBorders>
                                  <w:tcMar>
                                    <w:bottom w:w="80" w:type="dxa"/>
                                  </w:tcMar>
                                  <w:vAlign w:val="center"/>
                                </w:tcPr>
                                <w:p>
                                  <w:pPr>
                                    <w:pStyle w:val="TableContents"/>
                                    <w:bidi w:val="0"/>
                                    <w:spacing w:before="0" w:after="283"/>
                                    <w:jc w:val="left"/>
                                    <w:rPr/>
                                  </w:pPr>
                                  <w:hyperlink w:anchor="toc37355_41">
                                    <w:r>
                                      <w:rPr>
                                        <w:rStyle w:val="InternetLink"/>
                                        <w:b/>
                                        <w:color w:val="00AE4F"/>
                                      </w:rPr>
                                      <w:t>Compensation Discussion and Analysis</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45</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8120" w:type="dxa"/>
                                  <w:tcBorders/>
                                  <w:vAlign w:val="center"/>
                                </w:tcPr>
                                <w:p>
                                  <w:pPr>
                                    <w:pStyle w:val="TableContents"/>
                                    <w:bidi w:val="0"/>
                                    <w:spacing w:before="0" w:after="283"/>
                                    <w:jc w:val="left"/>
                                    <w:rPr/>
                                  </w:pPr>
                                  <w:hyperlink w:anchor="toc37355_42">
                                    <w:r>
                                      <w:rPr>
                                        <w:rStyle w:val="InternetLink"/>
                                      </w:rPr>
                                      <w:t>2025 Named Executive Officers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43">
                                    <w:r>
                                      <w:rPr>
                                        <w:rStyle w:val="InternetLink"/>
                                      </w:rPr>
                                      <w:t>Executive Summary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0"/>
                                    <w:jc w:val="left"/>
                                    <w:rPr/>
                                  </w:pPr>
                                  <w:hyperlink w:anchor="toc37355_44">
                                    <w:r>
                                      <w:rPr>
                                        <w:rStyle w:val="InternetLink"/>
                                        <w:rFonts w:ascii="arial" w:hAnsi="arial"/>
                                        <w:sz w:val="17"/>
                                      </w:rPr>
                                      <w:t>Key Executive Compensation Program Highlights for Fiscal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0"/>
                                    <w:jc w:val="left"/>
                                    <w:rPr/>
                                  </w:pPr>
                                  <w:hyperlink w:anchor="toc37355_45">
                                    <w:r>
                                      <w:rPr>
                                        <w:rStyle w:val="InternetLink"/>
                                        <w:rFonts w:ascii="arial" w:hAnsi="arial"/>
                                        <w:sz w:val="17"/>
                                      </w:rPr>
                                      <w:t>Annual Say on Pay Vote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45a">
                                    <w:r>
                                      <w:rPr>
                                        <w:rStyle w:val="InternetLink"/>
                                      </w:rPr>
                                      <w:t xml:space="preserve">Compensation Practices and Policies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46">
                                    <w:r>
                                      <w:rPr>
                                        <w:rStyle w:val="InternetLink"/>
                                      </w:rPr>
                                      <w:t>Executive Compensation Philosophy, Objectives, and Design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0"/>
                                    <w:jc w:val="left"/>
                                    <w:rPr/>
                                  </w:pPr>
                                  <w:hyperlink w:anchor="toc37355_47">
                                    <w:r>
                                      <w:rPr>
                                        <w:rStyle w:val="InternetLink"/>
                                        <w:rFonts w:ascii="arial" w:hAnsi="arial"/>
                                        <w:sz w:val="17"/>
                                      </w:rPr>
                                      <w:t>CEO and Other Named Executive Officers Pay Mix</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8575" w:type="dxa"/>
                        <w:jc w:val="left"/>
                        <w:tblInd w:w="0" w:type="dxa"/>
                        <w:tblLayout w:type="fixed"/>
                        <w:tblCellMar>
                          <w:top w:w="0" w:type="dxa"/>
                          <w:left w:w="0" w:type="dxa"/>
                          <w:bottom w:w="0" w:type="dxa"/>
                          <w:right w:w="0" w:type="dxa"/>
                        </w:tblCellMar>
                      </w:tblPr>
                      <w:tblGrid>
                        <w:gridCol w:w="8120"/>
                        <w:gridCol w:w="60"/>
                        <w:gridCol w:w="60"/>
                        <w:gridCol w:w="260"/>
                        <w:gridCol w:w="75"/>
                      </w:tblGrid>
                      <w:tr>
                        <w:trPr/>
                        <w:tc>
                          <w:tcPr>
                            <w:tcW w:w="8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20" w:type="dxa"/>
                            <w:tcBorders>
                              <w:bottom w:val="single" w:sz="6" w:space="0" w:color="00AE4F"/>
                            </w:tcBorders>
                            <w:tcMar>
                              <w:bottom w:w="80" w:type="dxa"/>
                            </w:tcMar>
                            <w:vAlign w:val="center"/>
                          </w:tcPr>
                          <w:p>
                            <w:pPr>
                              <w:pStyle w:val="TableContents"/>
                              <w:bidi w:val="0"/>
                              <w:spacing w:before="0" w:after="283"/>
                              <w:jc w:val="left"/>
                              <w:rPr/>
                            </w:pPr>
                            <w:hyperlink w:anchor="toc37355_1">
                              <w:r>
                                <w:rPr>
                                  <w:rStyle w:val="InternetLink"/>
                                  <w:b/>
                                  <w:color w:val="00AE4F"/>
                                </w:rPr>
                                <w:t>Proxy Summary</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5</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8120" w:type="dxa"/>
                            <w:tcBorders/>
                            <w:vAlign w:val="center"/>
                          </w:tcPr>
                          <w:p>
                            <w:pPr>
                              <w:pStyle w:val="TableContents"/>
                              <w:bidi w:val="0"/>
                              <w:spacing w:before="0" w:after="283"/>
                              <w:jc w:val="left"/>
                              <w:rPr/>
                            </w:pPr>
                            <w:hyperlink w:anchor="toc37355_2">
                              <w:r>
                                <w:rPr>
                                  <w:rStyle w:val="InternetLink"/>
                                </w:rPr>
                                <w:t>2026 Annual Meeting of Shareholders Details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3">
                              <w:r>
                                <w:rPr>
                                  <w:rStyle w:val="InternetLink"/>
                                </w:rPr>
                                <w:t>Proxy Voting Roadmap</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4">
                              <w:r>
                                <w:rPr>
                                  <w:rStyle w:val="InternetLink"/>
                                </w:rPr>
                                <w:t>Director Nominees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5">
                              <w:r>
                                <w:rPr>
                                  <w:rStyle w:val="InternetLink"/>
                                </w:rPr>
                                <w:t>Corporate Governance Highlights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6">
                              <w:r>
                                <w:rPr>
                                  <w:rStyle w:val="InternetLink"/>
                                </w:rPr>
                                <w:t>Meet Today’s Kelly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7">
                              <w:r>
                                <w:rPr>
                                  <w:rStyle w:val="InternetLink"/>
                                </w:rPr>
                                <w:t>A Year in Review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8">
                              <w:r>
                                <w:rPr>
                                  <w:rStyle w:val="InternetLink"/>
                                </w:rPr>
                                <w:t>2025 Financial Highlights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9">
                              <w:r>
                                <w:rPr>
                                  <w:rStyle w:val="InternetLink"/>
                                </w:rPr>
                                <w:t>Select Awards &amp; Recognitions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20" w:type="dxa"/>
                            <w:tcBorders>
                              <w:bottom w:val="single" w:sz="6" w:space="0" w:color="00AE4F"/>
                            </w:tcBorders>
                            <w:tcMar>
                              <w:bottom w:w="80" w:type="dxa"/>
                            </w:tcMar>
                            <w:vAlign w:val="center"/>
                          </w:tcPr>
                          <w:p>
                            <w:pPr>
                              <w:pStyle w:val="TableContents"/>
                              <w:bidi w:val="0"/>
                              <w:spacing w:before="0" w:after="283"/>
                              <w:jc w:val="left"/>
                              <w:rPr/>
                            </w:pPr>
                            <w:hyperlink w:anchor="toc37355_11">
                              <w:r>
                                <w:rPr>
                                  <w:rStyle w:val="InternetLink"/>
                                  <w:b/>
                                  <w:color w:val="00AE4F"/>
                                </w:rPr>
                                <w:t>Proposal 1: Election of Directors</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13</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8120" w:type="dxa"/>
                            <w:tcBorders/>
                            <w:vAlign w:val="center"/>
                          </w:tcPr>
                          <w:p>
                            <w:pPr>
                              <w:pStyle w:val="TableContents"/>
                              <w:bidi w:val="0"/>
                              <w:spacing w:before="0" w:after="283"/>
                              <w:jc w:val="left"/>
                              <w:rPr/>
                            </w:pPr>
                            <w:hyperlink w:anchor="toc37355_12">
                              <w:r>
                                <w:rPr>
                                  <w:rStyle w:val="InternetLink"/>
                                </w:rPr>
                                <w:t>Director Independence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13">
                              <w:r>
                                <w:rPr>
                                  <w:rStyle w:val="InternetLink"/>
                                </w:rPr>
                                <w:t>Board Nominees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14">
                              <w:r>
                                <w:rPr>
                                  <w:rStyle w:val="InternetLink"/>
                                </w:rPr>
                                <w:t>Board Composition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15">
                              <w:r>
                                <w:rPr>
                                  <w:rStyle w:val="InternetLink"/>
                                </w:rPr>
                                <w:t>Biographical Information About Director Nominees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20" w:type="dxa"/>
                            <w:tcBorders>
                              <w:bottom w:val="single" w:sz="6" w:space="0" w:color="00AE4F"/>
                            </w:tcBorders>
                            <w:tcMar>
                              <w:bottom w:w="80" w:type="dxa"/>
                            </w:tcMar>
                            <w:vAlign w:val="center"/>
                          </w:tcPr>
                          <w:p>
                            <w:pPr>
                              <w:pStyle w:val="TableContents"/>
                              <w:bidi w:val="0"/>
                              <w:spacing w:before="0" w:after="283"/>
                              <w:jc w:val="left"/>
                              <w:rPr/>
                            </w:pPr>
                            <w:hyperlink w:anchor="toc37355_16">
                              <w:r>
                                <w:rPr>
                                  <w:rStyle w:val="InternetLink"/>
                                  <w:b/>
                                  <w:color w:val="00AE4F"/>
                                </w:rPr>
                                <w:t>Corporate Governance</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24</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8120" w:type="dxa"/>
                            <w:tcBorders/>
                            <w:vAlign w:val="center"/>
                          </w:tcPr>
                          <w:p>
                            <w:pPr>
                              <w:pStyle w:val="TableContents"/>
                              <w:bidi w:val="0"/>
                              <w:spacing w:before="0" w:after="283"/>
                              <w:jc w:val="left"/>
                              <w:rPr/>
                            </w:pPr>
                            <w:hyperlink w:anchor="toc37355_17">
                              <w:r>
                                <w:rPr>
                                  <w:rStyle w:val="InternetLink"/>
                                </w:rPr>
                                <w:t>Controlled Company Exemption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18">
                              <w:r>
                                <w:rPr>
                                  <w:rStyle w:val="InternetLink"/>
                                </w:rPr>
                                <w:t>Role of the Board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19">
                              <w:r>
                                <w:rPr>
                                  <w:rStyle w:val="InternetLink"/>
                                </w:rPr>
                                <w:t>Board Leadership and Governance Structure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20">
                              <w:r>
                                <w:rPr>
                                  <w:rStyle w:val="InternetLink"/>
                                </w:rPr>
                                <w:t>Committees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21">
                              <w:r>
                                <w:rPr>
                                  <w:rStyle w:val="InternetLink"/>
                                </w:rPr>
                                <w:t>Risk Governance and Oversight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22">
                              <w:r>
                                <w:rPr>
                                  <w:rStyle w:val="InternetLink"/>
                                </w:rPr>
                                <w:t>Sustainability and Corporate Responsbility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23">
                              <w:r>
                                <w:rPr>
                                  <w:rStyle w:val="InternetLink"/>
                                </w:rPr>
                                <w:t>Human Capital</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24">
                              <w:r>
                                <w:rPr>
                                  <w:rStyle w:val="InternetLink"/>
                                </w:rPr>
                                <w:t>Director Selection Process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25">
                              <w:r>
                                <w:rPr>
                                  <w:rStyle w:val="InternetLink"/>
                                </w:rPr>
                                <w:t>Director Attendance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26">
                              <w:r>
                                <w:rPr>
                                  <w:rStyle w:val="InternetLink"/>
                                </w:rPr>
                                <w:t>Size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27">
                              <w:r>
                                <w:rPr>
                                  <w:rStyle w:val="InternetLink"/>
                                </w:rPr>
                                <w:t>Director Tenure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28">
                              <w:r>
                                <w:rPr>
                                  <w:rStyle w:val="InternetLink"/>
                                </w:rPr>
                                <w:t>Director Service on Outside Public Company Boards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29">
                              <w:r>
                                <w:rPr>
                                  <w:rStyle w:val="InternetLink"/>
                                </w:rPr>
                                <w:t>Director Orientation and Continuing Education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30">
                              <w:r>
                                <w:rPr>
                                  <w:rStyle w:val="InternetLink"/>
                                </w:rPr>
                                <w:t>Board, Committee, and Peer Evaluation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31">
                              <w:r>
                                <w:rPr>
                                  <w:rStyle w:val="InternetLink"/>
                                </w:rPr>
                                <w:t>Insider Trading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32">
                              <w:r>
                                <w:rPr>
                                  <w:rStyle w:val="InternetLink"/>
                                </w:rPr>
                                <w:t>Code of Business Conduct and Ethics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33">
                              <w:r>
                                <w:rPr>
                                  <w:rStyle w:val="InternetLink"/>
                                </w:rPr>
                                <w:t>Related Person Transactions and Certain Relationships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20" w:type="dxa"/>
                            <w:tcBorders>
                              <w:bottom w:val="single" w:sz="6" w:space="0" w:color="00AE4F"/>
                            </w:tcBorders>
                            <w:tcMar>
                              <w:bottom w:w="80" w:type="dxa"/>
                            </w:tcMar>
                            <w:vAlign w:val="center"/>
                          </w:tcPr>
                          <w:p>
                            <w:pPr>
                              <w:pStyle w:val="TableContents"/>
                              <w:bidi w:val="0"/>
                              <w:spacing w:before="0" w:after="283"/>
                              <w:jc w:val="left"/>
                              <w:rPr/>
                            </w:pPr>
                            <w:hyperlink w:anchor="toc37355_34">
                              <w:r>
                                <w:rPr>
                                  <w:rStyle w:val="InternetLink"/>
                                  <w:b/>
                                  <w:color w:val="00AE4F"/>
                                </w:rPr>
                                <w:t>Director Compensation</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41</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8120" w:type="dxa"/>
                            <w:tcBorders/>
                            <w:vAlign w:val="center"/>
                          </w:tcPr>
                          <w:p>
                            <w:pPr>
                              <w:pStyle w:val="TableContents"/>
                              <w:bidi w:val="0"/>
                              <w:spacing w:before="0" w:after="283"/>
                              <w:jc w:val="left"/>
                              <w:rPr/>
                            </w:pPr>
                            <w:hyperlink w:anchor="toc37355_35">
                              <w:r>
                                <w:rPr>
                                  <w:rStyle w:val="InternetLink"/>
                                </w:rPr>
                                <w:t>Director Compensation Design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36">
                              <w:r>
                                <w:rPr>
                                  <w:rStyle w:val="InternetLink"/>
                                </w:rPr>
                                <w:t>Stock Ownership Requirements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37">
                              <w:r>
                                <w:rPr>
                                  <w:rStyle w:val="InternetLink"/>
                                </w:rPr>
                                <w:t>Non-Employee Directors Deferred Compensation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38">
                              <w:r>
                                <w:rPr>
                                  <w:rStyle w:val="InternetLink"/>
                                </w:rPr>
                                <w:t>2025 Director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20" w:type="dxa"/>
                            <w:tcBorders>
                              <w:bottom w:val="single" w:sz="6" w:space="0" w:color="00AE4F"/>
                            </w:tcBorders>
                            <w:tcMar>
                              <w:bottom w:w="80" w:type="dxa"/>
                            </w:tcMar>
                            <w:vAlign w:val="center"/>
                          </w:tcPr>
                          <w:p>
                            <w:pPr>
                              <w:pStyle w:val="TableContents"/>
                              <w:bidi w:val="0"/>
                              <w:spacing w:before="0" w:after="283"/>
                              <w:jc w:val="left"/>
                              <w:rPr/>
                            </w:pPr>
                            <w:hyperlink w:anchor="toc37355_39">
                              <w:r>
                                <w:rPr>
                                  <w:rStyle w:val="InternetLink"/>
                                  <w:b/>
                                  <w:color w:val="00AE4F"/>
                                </w:rPr>
                                <w:t>Beneficial Ownership of Shares</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43</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812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20" w:type="dxa"/>
                            <w:tcBorders>
                              <w:bottom w:val="single" w:sz="6" w:space="0" w:color="00AE4F"/>
                            </w:tcBorders>
                            <w:tcMar>
                              <w:bottom w:w="80" w:type="dxa"/>
                            </w:tcMar>
                            <w:vAlign w:val="center"/>
                          </w:tcPr>
                          <w:p>
                            <w:pPr>
                              <w:pStyle w:val="TableContents"/>
                              <w:bidi w:val="0"/>
                              <w:spacing w:before="0" w:after="283"/>
                              <w:jc w:val="left"/>
                              <w:rPr/>
                            </w:pPr>
                            <w:hyperlink w:anchor="toc37355_40">
                              <w:r>
                                <w:rPr>
                                  <w:rStyle w:val="InternetLink"/>
                                  <w:b/>
                                  <w:color w:val="00AE4F"/>
                                </w:rPr>
                                <w:t>Proposal 2: Advisory Vote to Approve the Company’s Executive Compensation</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44</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812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20" w:type="dxa"/>
                            <w:tcBorders>
                              <w:bottom w:val="single" w:sz="6" w:space="0" w:color="00AE4F"/>
                            </w:tcBorders>
                            <w:tcMar>
                              <w:bottom w:w="80" w:type="dxa"/>
                            </w:tcMar>
                            <w:vAlign w:val="center"/>
                          </w:tcPr>
                          <w:p>
                            <w:pPr>
                              <w:pStyle w:val="TableContents"/>
                              <w:bidi w:val="0"/>
                              <w:spacing w:before="0" w:after="283"/>
                              <w:jc w:val="left"/>
                              <w:rPr/>
                            </w:pPr>
                            <w:hyperlink w:anchor="toc37355_41">
                              <w:r>
                                <w:rPr>
                                  <w:rStyle w:val="InternetLink"/>
                                  <w:b/>
                                  <w:color w:val="00AE4F"/>
                                </w:rPr>
                                <w:t>Compensation Discussion and Analysis</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45</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8120" w:type="dxa"/>
                            <w:tcBorders/>
                            <w:vAlign w:val="center"/>
                          </w:tcPr>
                          <w:p>
                            <w:pPr>
                              <w:pStyle w:val="TableContents"/>
                              <w:bidi w:val="0"/>
                              <w:spacing w:before="0" w:after="283"/>
                              <w:jc w:val="left"/>
                              <w:rPr/>
                            </w:pPr>
                            <w:hyperlink w:anchor="toc37355_42">
                              <w:r>
                                <w:rPr>
                                  <w:rStyle w:val="InternetLink"/>
                                </w:rPr>
                                <w:t>2025 Named Executive Officers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43">
                              <w:r>
                                <w:rPr>
                                  <w:rStyle w:val="InternetLink"/>
                                </w:rPr>
                                <w:t>Executive Summary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0"/>
                              <w:jc w:val="left"/>
                              <w:rPr/>
                            </w:pPr>
                            <w:hyperlink w:anchor="toc37355_44">
                              <w:r>
                                <w:rPr>
                                  <w:rStyle w:val="InternetLink"/>
                                  <w:rFonts w:ascii="arial" w:hAnsi="arial"/>
                                  <w:sz w:val="17"/>
                                </w:rPr>
                                <w:t>Key Executive Compensation Program Highlights for Fiscal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0"/>
                              <w:jc w:val="left"/>
                              <w:rPr/>
                            </w:pPr>
                            <w:hyperlink w:anchor="toc37355_45">
                              <w:r>
                                <w:rPr>
                                  <w:rStyle w:val="InternetLink"/>
                                  <w:rFonts w:ascii="arial" w:hAnsi="arial"/>
                                  <w:sz w:val="17"/>
                                </w:rPr>
                                <w:t>Annual Say on Pay Vote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45a">
                              <w:r>
                                <w:rPr>
                                  <w:rStyle w:val="InternetLink"/>
                                </w:rPr>
                                <w:t xml:space="preserve">Compensation Practices and Policies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hyperlink w:anchor="toc37355_46">
                              <w:r>
                                <w:rPr>
                                  <w:rStyle w:val="InternetLink"/>
                                </w:rPr>
                                <w:t>Executive Compensation Philosophy, Objectives, and Design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0"/>
                              <w:jc w:val="left"/>
                              <w:rPr/>
                            </w:pPr>
                            <w:hyperlink w:anchor="toc37355_47">
                              <w:r>
                                <w:rPr>
                                  <w:rStyle w:val="InternetLink"/>
                                  <w:rFonts w:ascii="arial" w:hAnsi="arial"/>
                                  <w:sz w:val="17"/>
                                </w:rPr>
                                <w:t>CEO and Other Named Executive Officers Pay Mix</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24">
                <wp:simplePos x="0" y="0"/>
                <wp:positionH relativeFrom="column">
                  <wp:align>left</wp:align>
                </wp:positionH>
                <wp:positionV relativeFrom="line">
                  <wp:posOffset>635</wp:posOffset>
                </wp:positionV>
                <wp:extent cx="3175000" cy="9972040"/>
                <wp:effectExtent l="0" t="0" r="0" b="0"/>
                <wp:wrapSquare wrapText="right"/>
                <wp:docPr id="20" name="Frame6"/>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750"/>
                              <w:gridCol w:w="60"/>
                              <w:gridCol w:w="60"/>
                              <w:gridCol w:w="260"/>
                              <w:gridCol w:w="75"/>
                            </w:tblGrid>
                            <w:tr>
                              <w:trPr/>
                              <w:tc>
                                <w:tcPr>
                                  <w:tcW w:w="9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37355_48">
                                    <w:r>
                                      <w:rPr>
                                        <w:rStyle w:val="InternetLink"/>
                                        <w:rFonts w:ascii="arial" w:hAnsi="arial"/>
                                        <w:sz w:val="17"/>
                                      </w:rPr>
                                      <w:t>Elements of Compensation for Named Executive Officers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49">
                                    <w:r>
                                      <w:rPr>
                                        <w:rStyle w:val="InternetLink"/>
                                        <w:rFonts w:ascii="arial" w:hAnsi="arial"/>
                                        <w:sz w:val="17"/>
                                      </w:rPr>
                                      <w:t>2026 Executive Incentive Plans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37355_50">
                                    <w:r>
                                      <w:rPr>
                                        <w:rStyle w:val="InternetLink"/>
                                      </w:rPr>
                                      <w:t>Process for Determining Executive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51">
                                    <w:r>
                                      <w:rPr>
                                        <w:rStyle w:val="InternetLink"/>
                                        <w:rFonts w:ascii="arial" w:hAnsi="arial"/>
                                        <w:sz w:val="17"/>
                                      </w:rPr>
                                      <w:t>Role of the Compensation and Talent Management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52">
                                    <w:r>
                                      <w:rPr>
                                        <w:rStyle w:val="InternetLink"/>
                                        <w:rFonts w:ascii="arial" w:hAnsi="arial"/>
                                        <w:sz w:val="17"/>
                                      </w:rPr>
                                      <w:t>Role of the Independent Compensation Consultant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53">
                                    <w:r>
                                      <w:rPr>
                                        <w:rStyle w:val="InternetLink"/>
                                        <w:rFonts w:ascii="arial" w:hAnsi="arial"/>
                                        <w:sz w:val="17"/>
                                      </w:rPr>
                                      <w:t>Role of Management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54">
                                    <w:r>
                                      <w:rPr>
                                        <w:rStyle w:val="InternetLink"/>
                                        <w:rFonts w:ascii="arial" w:hAnsi="arial"/>
                                        <w:sz w:val="17"/>
                                      </w:rPr>
                                      <w:t>Comparator Data</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55">
                                    <w:r>
                                      <w:rPr>
                                        <w:rStyle w:val="InternetLink"/>
                                        <w:rFonts w:ascii="arial" w:hAnsi="arial"/>
                                        <w:sz w:val="17"/>
                                      </w:rPr>
                                      <w:t>Senior Officer Performance Reviews and Succession Planning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37355_56">
                                    <w:r>
                                      <w:rPr>
                                        <w:rStyle w:val="InternetLink"/>
                                      </w:rPr>
                                      <w:t>Compensation Programs: Decisions and Actions in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57">
                                    <w:r>
                                      <w:rPr>
                                        <w:rStyle w:val="InternetLink"/>
                                        <w:rFonts w:ascii="arial" w:hAnsi="arial"/>
                                        <w:sz w:val="17"/>
                                      </w:rPr>
                                      <w:t>Base Salary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58">
                                    <w:r>
                                      <w:rPr>
                                        <w:rStyle w:val="InternetLink"/>
                                        <w:rFonts w:ascii="arial" w:hAnsi="arial"/>
                                        <w:sz w:val="17"/>
                                      </w:rPr>
                                      <w:t>Annual Cash Incentive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59">
                                    <w:r>
                                      <w:rPr>
                                        <w:rStyle w:val="InternetLink"/>
                                        <w:rFonts w:ascii="arial" w:hAnsi="arial"/>
                                        <w:sz w:val="17"/>
                                      </w:rPr>
                                      <w:t>Long-Term Incentives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37355_63">
                                    <w:r>
                                      <w:rPr>
                                        <w:rStyle w:val="InternetLink"/>
                                      </w:rPr>
                                      <w:t>Governance of Executive Compensation Programs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64">
                                    <w:r>
                                      <w:rPr>
                                        <w:rStyle w:val="InternetLink"/>
                                        <w:rFonts w:ascii="arial" w:hAnsi="arial"/>
                                        <w:sz w:val="17"/>
                                      </w:rPr>
                                      <w:t>Executive Stock Ownership and Retention Requirements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65">
                                    <w:r>
                                      <w:rPr>
                                        <w:rStyle w:val="InternetLink"/>
                                        <w:rFonts w:ascii="arial" w:hAnsi="arial"/>
                                        <w:sz w:val="17"/>
                                      </w:rPr>
                                      <w:t>Incentive Compensation Recovery (“Clawback”)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66">
                                    <w:r>
                                      <w:rPr>
                                        <w:rStyle w:val="InternetLink"/>
                                        <w:rFonts w:ascii="arial" w:hAnsi="arial"/>
                                        <w:sz w:val="17"/>
                                      </w:rPr>
                                      <w:t>Hedging and Pledging of Shares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60">
                                    <w:r>
                                      <w:rPr>
                                        <w:rStyle w:val="InternetLink"/>
                                        <w:rFonts w:ascii="arial" w:hAnsi="arial"/>
                                        <w:sz w:val="17"/>
                                      </w:rPr>
                                      <w:t>Retirement Benefits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61">
                                    <w:r>
                                      <w:rPr>
                                        <w:rStyle w:val="InternetLink"/>
                                        <w:rFonts w:ascii="arial" w:hAnsi="arial"/>
                                        <w:sz w:val="17"/>
                                      </w:rPr>
                                      <w:t>Perquisites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62">
                                    <w:r>
                                      <w:rPr>
                                        <w:rStyle w:val="InternetLink"/>
                                        <w:rFonts w:ascii="arial" w:hAnsi="arial"/>
                                        <w:sz w:val="17"/>
                                      </w:rPr>
                                      <w:t>Senior Executive Severance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67">
                                    <w:r>
                                      <w:rPr>
                                        <w:rStyle w:val="InternetLink"/>
                                        <w:rFonts w:ascii="arial" w:hAnsi="arial"/>
                                        <w:sz w:val="17"/>
                                      </w:rPr>
                                      <w:t>Tax Considerations: Deductibility of Executive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37355_68">
                                    <w:r>
                                      <w:rPr>
                                        <w:rStyle w:val="InternetLink"/>
                                      </w:rPr>
                                      <w:t>Compensation and Talent Management Committee Report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AE4F"/>
                                  </w:tcBorders>
                                  <w:tcMar>
                                    <w:bottom w:w="80" w:type="dxa"/>
                                  </w:tcMar>
                                  <w:vAlign w:val="center"/>
                                </w:tcPr>
                                <w:p>
                                  <w:pPr>
                                    <w:pStyle w:val="TableContents"/>
                                    <w:bidi w:val="0"/>
                                    <w:spacing w:before="0" w:after="283"/>
                                    <w:jc w:val="left"/>
                                    <w:rPr/>
                                  </w:pPr>
                                  <w:hyperlink w:anchor="toc37355_69">
                                    <w:r>
                                      <w:rPr>
                                        <w:rStyle w:val="InternetLink"/>
                                        <w:b/>
                                        <w:color w:val="00AE4F"/>
                                      </w:rPr>
                                      <w:t>2025 Executive Compensation Tables</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63</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9750" w:type="dxa"/>
                                  <w:tcBorders/>
                                  <w:vAlign w:val="center"/>
                                </w:tcPr>
                                <w:p>
                                  <w:pPr>
                                    <w:pStyle w:val="TableContents"/>
                                    <w:bidi w:val="0"/>
                                    <w:spacing w:before="0" w:after="283"/>
                                    <w:jc w:val="left"/>
                                    <w:rPr/>
                                  </w:pPr>
                                  <w:hyperlink w:anchor="toc37355_70">
                                    <w:r>
                                      <w:rPr>
                                        <w:rStyle w:val="InternetLink"/>
                                      </w:rPr>
                                      <w:t>Summary Compensation Table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37355_71">
                                    <w:r>
                                      <w:rPr>
                                        <w:rStyle w:val="InternetLink"/>
                                      </w:rPr>
                                      <w:t>Grants of Plan-Based Awards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37355_72">
                                    <w:r>
                                      <w:rPr>
                                        <w:rStyle w:val="InternetLink"/>
                                      </w:rPr>
                                      <w:t>Outstanding Equity Awards at Fiscal Year End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37355_73">
                                    <w:r>
                                      <w:rPr>
                                        <w:rStyle w:val="InternetLink"/>
                                      </w:rPr>
                                      <w:t>Option Exercises and Stock Vested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37355_74">
                                    <w:r>
                                      <w:rPr>
                                        <w:rStyle w:val="InternetLink"/>
                                      </w:rPr>
                                      <w:t>Nonqualified Deferred Compensation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37355_75">
                                    <w:r>
                                      <w:rPr>
                                        <w:rStyle w:val="InternetLink"/>
                                      </w:rPr>
                                      <w:t>Potential Payments Upon Termination or Change In Control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76">
                                    <w:r>
                                      <w:rPr>
                                        <w:rStyle w:val="InternetLink"/>
                                        <w:rFonts w:ascii="arial" w:hAnsi="arial"/>
                                        <w:sz w:val="17"/>
                                      </w:rPr>
                                      <w:t>Summary of Potential Payments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77">
                                    <w:r>
                                      <w:rPr>
                                        <w:rStyle w:val="InternetLink"/>
                                        <w:rFonts w:ascii="arial" w:hAnsi="arial"/>
                                        <w:sz w:val="17"/>
                                      </w:rPr>
                                      <w:t>Senior Executive Severance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78">
                                    <w:r>
                                      <w:rPr>
                                        <w:rStyle w:val="InternetLink"/>
                                        <w:rFonts w:ascii="arial" w:hAnsi="arial"/>
                                        <w:sz w:val="17"/>
                                      </w:rPr>
                                      <w:t>Treatment of Long-Term Incentive Awards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AE4F"/>
                                  </w:tcBorders>
                                  <w:tcMar>
                                    <w:bottom w:w="80" w:type="dxa"/>
                                  </w:tcMar>
                                  <w:vAlign w:val="center"/>
                                </w:tcPr>
                                <w:p>
                                  <w:pPr>
                                    <w:pStyle w:val="TableContents"/>
                                    <w:bidi w:val="0"/>
                                    <w:spacing w:before="0" w:after="283"/>
                                    <w:jc w:val="left"/>
                                    <w:rPr/>
                                  </w:pPr>
                                  <w:hyperlink w:anchor="toc37355_79">
                                    <w:r>
                                      <w:rPr>
                                        <w:rStyle w:val="InternetLink"/>
                                        <w:b/>
                                        <w:color w:val="00AE4F"/>
                                      </w:rPr>
                                      <w:t>CEO Pay Ratio</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72</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AE4F"/>
                                  </w:tcBorders>
                                  <w:tcMar>
                                    <w:bottom w:w="80" w:type="dxa"/>
                                  </w:tcMar>
                                  <w:vAlign w:val="center"/>
                                </w:tcPr>
                                <w:p>
                                  <w:pPr>
                                    <w:pStyle w:val="TableContents"/>
                                    <w:bidi w:val="0"/>
                                    <w:spacing w:before="0" w:after="283"/>
                                    <w:jc w:val="left"/>
                                    <w:rPr/>
                                  </w:pPr>
                                  <w:hyperlink w:anchor="toc37355_80">
                                    <w:r>
                                      <w:rPr>
                                        <w:rStyle w:val="InternetLink"/>
                                        <w:b/>
                                        <w:color w:val="00AE4F"/>
                                      </w:rPr>
                                      <w:t>Pay vs. Performance</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73</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AE4F"/>
                                  </w:tcBorders>
                                  <w:tcMar>
                                    <w:bottom w:w="80" w:type="dxa"/>
                                  </w:tcMar>
                                  <w:vAlign w:val="center"/>
                                </w:tcPr>
                                <w:p>
                                  <w:pPr>
                                    <w:pStyle w:val="TableContents"/>
                                    <w:bidi w:val="0"/>
                                    <w:spacing w:before="0" w:after="283"/>
                                    <w:jc w:val="left"/>
                                    <w:rPr/>
                                  </w:pPr>
                                  <w:hyperlink w:anchor="toc37355_81">
                                    <w:r>
                                      <w:rPr>
                                        <w:rStyle w:val="InternetLink"/>
                                        <w:b/>
                                        <w:color w:val="00AE4F"/>
                                      </w:rPr>
                                      <w:t xml:space="preserve">Proposal 3: Approve the Amendment of the Company’s Certificate of Incorporation, permit stockholder action by written consent, allow the Chairperson and majority Class B holders to call special meetings, and allow stockholders to fill Board vacancies and new directorships </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77</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AE4F"/>
                                  </w:tcBorders>
                                  <w:tcMar>
                                    <w:bottom w:w="80" w:type="dxa"/>
                                  </w:tcMar>
                                  <w:vAlign w:val="center"/>
                                </w:tcPr>
                                <w:p>
                                  <w:pPr>
                                    <w:pStyle w:val="TableContents"/>
                                    <w:bidi w:val="0"/>
                                    <w:spacing w:before="0" w:after="283"/>
                                    <w:jc w:val="left"/>
                                    <w:rPr/>
                                  </w:pPr>
                                  <w:hyperlink w:anchor="toc37355_82">
                                    <w:r>
                                      <w:rPr>
                                        <w:rStyle w:val="InternetLink"/>
                                        <w:b/>
                                        <w:color w:val="00AE4F"/>
                                      </w:rPr>
                                      <w:t>Proposal 4: Ratification of the Appointment of PricewaterhouseCoopers LLP as the Company’s Independent Registered Public Accounting Firm for the 2026 Fiscal Year</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80</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9750" w:type="dxa"/>
                                  <w:tcBorders/>
                                  <w:vAlign w:val="center"/>
                                </w:tcPr>
                                <w:p>
                                  <w:pPr>
                                    <w:pStyle w:val="TableContents"/>
                                    <w:bidi w:val="0"/>
                                    <w:spacing w:before="0" w:after="283"/>
                                    <w:jc w:val="left"/>
                                    <w:rPr/>
                                  </w:pPr>
                                  <w:hyperlink w:anchor="toc37355_83">
                                    <w:r>
                                      <w:rPr>
                                        <w:rStyle w:val="InternetLink"/>
                                      </w:rPr>
                                      <w:t>Audit and Non-Audit Fees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80</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37355_84">
                                    <w:r>
                                      <w:rPr>
                                        <w:rStyle w:val="InternetLink"/>
                                      </w:rPr>
                                      <w:t>Report of the Audit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AE4F"/>
                                  </w:tcBorders>
                                  <w:tcMar>
                                    <w:bottom w:w="80" w:type="dxa"/>
                                  </w:tcMar>
                                  <w:vAlign w:val="center"/>
                                </w:tcPr>
                                <w:p>
                                  <w:pPr>
                                    <w:pStyle w:val="TableContents"/>
                                    <w:bidi w:val="0"/>
                                    <w:spacing w:before="0" w:after="283"/>
                                    <w:jc w:val="left"/>
                                    <w:rPr/>
                                  </w:pPr>
                                  <w:hyperlink w:anchor="toc37355_85">
                                    <w:r>
                                      <w:rPr>
                                        <w:rStyle w:val="InternetLink"/>
                                        <w:b/>
                                        <w:color w:val="00AE4F"/>
                                      </w:rPr>
                                      <w:t>Questions and Answers About the Proxy Statement and the Annual Meeting</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82</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750"/>
                        <w:gridCol w:w="60"/>
                        <w:gridCol w:w="60"/>
                        <w:gridCol w:w="260"/>
                        <w:gridCol w:w="75"/>
                      </w:tblGrid>
                      <w:tr>
                        <w:trPr/>
                        <w:tc>
                          <w:tcPr>
                            <w:tcW w:w="9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37355_48">
                              <w:r>
                                <w:rPr>
                                  <w:rStyle w:val="InternetLink"/>
                                  <w:rFonts w:ascii="arial" w:hAnsi="arial"/>
                                  <w:sz w:val="17"/>
                                </w:rPr>
                                <w:t>Elements of Compensation for Named Executive Officers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49">
                              <w:r>
                                <w:rPr>
                                  <w:rStyle w:val="InternetLink"/>
                                  <w:rFonts w:ascii="arial" w:hAnsi="arial"/>
                                  <w:sz w:val="17"/>
                                </w:rPr>
                                <w:t>2026 Executive Incentive Plans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37355_50">
                              <w:r>
                                <w:rPr>
                                  <w:rStyle w:val="InternetLink"/>
                                </w:rPr>
                                <w:t>Process for Determining Executive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51">
                              <w:r>
                                <w:rPr>
                                  <w:rStyle w:val="InternetLink"/>
                                  <w:rFonts w:ascii="arial" w:hAnsi="arial"/>
                                  <w:sz w:val="17"/>
                                </w:rPr>
                                <w:t>Role of the Compensation and Talent Management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52">
                              <w:r>
                                <w:rPr>
                                  <w:rStyle w:val="InternetLink"/>
                                  <w:rFonts w:ascii="arial" w:hAnsi="arial"/>
                                  <w:sz w:val="17"/>
                                </w:rPr>
                                <w:t>Role of the Independent Compensation Consultant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53">
                              <w:r>
                                <w:rPr>
                                  <w:rStyle w:val="InternetLink"/>
                                  <w:rFonts w:ascii="arial" w:hAnsi="arial"/>
                                  <w:sz w:val="17"/>
                                </w:rPr>
                                <w:t>Role of Management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54">
                              <w:r>
                                <w:rPr>
                                  <w:rStyle w:val="InternetLink"/>
                                  <w:rFonts w:ascii="arial" w:hAnsi="arial"/>
                                  <w:sz w:val="17"/>
                                </w:rPr>
                                <w:t>Comparator Data</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55">
                              <w:r>
                                <w:rPr>
                                  <w:rStyle w:val="InternetLink"/>
                                  <w:rFonts w:ascii="arial" w:hAnsi="arial"/>
                                  <w:sz w:val="17"/>
                                </w:rPr>
                                <w:t>Senior Officer Performance Reviews and Succession Planning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37355_56">
                              <w:r>
                                <w:rPr>
                                  <w:rStyle w:val="InternetLink"/>
                                </w:rPr>
                                <w:t>Compensation Programs: Decisions and Actions in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57">
                              <w:r>
                                <w:rPr>
                                  <w:rStyle w:val="InternetLink"/>
                                  <w:rFonts w:ascii="arial" w:hAnsi="arial"/>
                                  <w:sz w:val="17"/>
                                </w:rPr>
                                <w:t>Base Salary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58">
                              <w:r>
                                <w:rPr>
                                  <w:rStyle w:val="InternetLink"/>
                                  <w:rFonts w:ascii="arial" w:hAnsi="arial"/>
                                  <w:sz w:val="17"/>
                                </w:rPr>
                                <w:t>Annual Cash Incentive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59">
                              <w:r>
                                <w:rPr>
                                  <w:rStyle w:val="InternetLink"/>
                                  <w:rFonts w:ascii="arial" w:hAnsi="arial"/>
                                  <w:sz w:val="17"/>
                                </w:rPr>
                                <w:t>Long-Term Incentives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37355_63">
                              <w:r>
                                <w:rPr>
                                  <w:rStyle w:val="InternetLink"/>
                                </w:rPr>
                                <w:t>Governance of Executive Compensation Programs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64">
                              <w:r>
                                <w:rPr>
                                  <w:rStyle w:val="InternetLink"/>
                                  <w:rFonts w:ascii="arial" w:hAnsi="arial"/>
                                  <w:sz w:val="17"/>
                                </w:rPr>
                                <w:t>Executive Stock Ownership and Retention Requirements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65">
                              <w:r>
                                <w:rPr>
                                  <w:rStyle w:val="InternetLink"/>
                                  <w:rFonts w:ascii="arial" w:hAnsi="arial"/>
                                  <w:sz w:val="17"/>
                                </w:rPr>
                                <w:t>Incentive Compensation Recovery (“Clawback”)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66">
                              <w:r>
                                <w:rPr>
                                  <w:rStyle w:val="InternetLink"/>
                                  <w:rFonts w:ascii="arial" w:hAnsi="arial"/>
                                  <w:sz w:val="17"/>
                                </w:rPr>
                                <w:t>Hedging and Pledging of Shares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60">
                              <w:r>
                                <w:rPr>
                                  <w:rStyle w:val="InternetLink"/>
                                  <w:rFonts w:ascii="arial" w:hAnsi="arial"/>
                                  <w:sz w:val="17"/>
                                </w:rPr>
                                <w:t>Retirement Benefits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61">
                              <w:r>
                                <w:rPr>
                                  <w:rStyle w:val="InternetLink"/>
                                  <w:rFonts w:ascii="arial" w:hAnsi="arial"/>
                                  <w:sz w:val="17"/>
                                </w:rPr>
                                <w:t>Perquisites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62">
                              <w:r>
                                <w:rPr>
                                  <w:rStyle w:val="InternetLink"/>
                                  <w:rFonts w:ascii="arial" w:hAnsi="arial"/>
                                  <w:sz w:val="17"/>
                                </w:rPr>
                                <w:t>Senior Executive Severance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67">
                              <w:r>
                                <w:rPr>
                                  <w:rStyle w:val="InternetLink"/>
                                  <w:rFonts w:ascii="arial" w:hAnsi="arial"/>
                                  <w:sz w:val="17"/>
                                </w:rPr>
                                <w:t>Tax Considerations: Deductibility of Executive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37355_68">
                              <w:r>
                                <w:rPr>
                                  <w:rStyle w:val="InternetLink"/>
                                </w:rPr>
                                <w:t>Compensation and Talent Management Committee Report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AE4F"/>
                            </w:tcBorders>
                            <w:tcMar>
                              <w:bottom w:w="80" w:type="dxa"/>
                            </w:tcMar>
                            <w:vAlign w:val="center"/>
                          </w:tcPr>
                          <w:p>
                            <w:pPr>
                              <w:pStyle w:val="TableContents"/>
                              <w:bidi w:val="0"/>
                              <w:spacing w:before="0" w:after="283"/>
                              <w:jc w:val="left"/>
                              <w:rPr/>
                            </w:pPr>
                            <w:hyperlink w:anchor="toc37355_69">
                              <w:r>
                                <w:rPr>
                                  <w:rStyle w:val="InternetLink"/>
                                  <w:b/>
                                  <w:color w:val="00AE4F"/>
                                </w:rPr>
                                <w:t>2025 Executive Compensation Tables</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63</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9750" w:type="dxa"/>
                            <w:tcBorders/>
                            <w:vAlign w:val="center"/>
                          </w:tcPr>
                          <w:p>
                            <w:pPr>
                              <w:pStyle w:val="TableContents"/>
                              <w:bidi w:val="0"/>
                              <w:spacing w:before="0" w:after="283"/>
                              <w:jc w:val="left"/>
                              <w:rPr/>
                            </w:pPr>
                            <w:hyperlink w:anchor="toc37355_70">
                              <w:r>
                                <w:rPr>
                                  <w:rStyle w:val="InternetLink"/>
                                </w:rPr>
                                <w:t>Summary Compensation Table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37355_71">
                              <w:r>
                                <w:rPr>
                                  <w:rStyle w:val="InternetLink"/>
                                </w:rPr>
                                <w:t>Grants of Plan-Based Awards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37355_72">
                              <w:r>
                                <w:rPr>
                                  <w:rStyle w:val="InternetLink"/>
                                </w:rPr>
                                <w:t>Outstanding Equity Awards at Fiscal Year End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37355_73">
                              <w:r>
                                <w:rPr>
                                  <w:rStyle w:val="InternetLink"/>
                                </w:rPr>
                                <w:t>Option Exercises and Stock Vested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37355_74">
                              <w:r>
                                <w:rPr>
                                  <w:rStyle w:val="InternetLink"/>
                                </w:rPr>
                                <w:t>Nonqualified Deferred Compensation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37355_75">
                              <w:r>
                                <w:rPr>
                                  <w:rStyle w:val="InternetLink"/>
                                </w:rPr>
                                <w:t>Potential Payments Upon Termination or Change In Control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76">
                              <w:r>
                                <w:rPr>
                                  <w:rStyle w:val="InternetLink"/>
                                  <w:rFonts w:ascii="arial" w:hAnsi="arial"/>
                                  <w:sz w:val="17"/>
                                </w:rPr>
                                <w:t>Summary of Potential Payments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77">
                              <w:r>
                                <w:rPr>
                                  <w:rStyle w:val="InternetLink"/>
                                  <w:rFonts w:ascii="arial" w:hAnsi="arial"/>
                                  <w:sz w:val="17"/>
                                </w:rPr>
                                <w:t>Senior Executive Severance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0"/>
                              <w:jc w:val="left"/>
                              <w:rPr/>
                            </w:pPr>
                            <w:hyperlink w:anchor="toc37355_78">
                              <w:r>
                                <w:rPr>
                                  <w:rStyle w:val="InternetLink"/>
                                  <w:rFonts w:ascii="arial" w:hAnsi="arial"/>
                                  <w:sz w:val="17"/>
                                </w:rPr>
                                <w:t>Treatment of Long-Term Incentive Awards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AE4F"/>
                            </w:tcBorders>
                            <w:tcMar>
                              <w:bottom w:w="80" w:type="dxa"/>
                            </w:tcMar>
                            <w:vAlign w:val="center"/>
                          </w:tcPr>
                          <w:p>
                            <w:pPr>
                              <w:pStyle w:val="TableContents"/>
                              <w:bidi w:val="0"/>
                              <w:spacing w:before="0" w:after="283"/>
                              <w:jc w:val="left"/>
                              <w:rPr/>
                            </w:pPr>
                            <w:hyperlink w:anchor="toc37355_79">
                              <w:r>
                                <w:rPr>
                                  <w:rStyle w:val="InternetLink"/>
                                  <w:b/>
                                  <w:color w:val="00AE4F"/>
                                </w:rPr>
                                <w:t>CEO Pay Ratio</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72</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AE4F"/>
                            </w:tcBorders>
                            <w:tcMar>
                              <w:bottom w:w="80" w:type="dxa"/>
                            </w:tcMar>
                            <w:vAlign w:val="center"/>
                          </w:tcPr>
                          <w:p>
                            <w:pPr>
                              <w:pStyle w:val="TableContents"/>
                              <w:bidi w:val="0"/>
                              <w:spacing w:before="0" w:after="283"/>
                              <w:jc w:val="left"/>
                              <w:rPr/>
                            </w:pPr>
                            <w:hyperlink w:anchor="toc37355_80">
                              <w:r>
                                <w:rPr>
                                  <w:rStyle w:val="InternetLink"/>
                                  <w:b/>
                                  <w:color w:val="00AE4F"/>
                                </w:rPr>
                                <w:t>Pay vs. Performance</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73</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AE4F"/>
                            </w:tcBorders>
                            <w:tcMar>
                              <w:bottom w:w="80" w:type="dxa"/>
                            </w:tcMar>
                            <w:vAlign w:val="center"/>
                          </w:tcPr>
                          <w:p>
                            <w:pPr>
                              <w:pStyle w:val="TableContents"/>
                              <w:bidi w:val="0"/>
                              <w:spacing w:before="0" w:after="283"/>
                              <w:jc w:val="left"/>
                              <w:rPr/>
                            </w:pPr>
                            <w:hyperlink w:anchor="toc37355_81">
                              <w:r>
                                <w:rPr>
                                  <w:rStyle w:val="InternetLink"/>
                                  <w:b/>
                                  <w:color w:val="00AE4F"/>
                                </w:rPr>
                                <w:t xml:space="preserve">Proposal 3: Approve the Amendment of the Company’s Certificate of Incorporation, permit stockholder action by written consent, allow the Chairperson and majority Class B holders to call special meetings, and allow stockholders to fill Board vacancies and new directorships </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77</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AE4F"/>
                            </w:tcBorders>
                            <w:tcMar>
                              <w:bottom w:w="80" w:type="dxa"/>
                            </w:tcMar>
                            <w:vAlign w:val="center"/>
                          </w:tcPr>
                          <w:p>
                            <w:pPr>
                              <w:pStyle w:val="TableContents"/>
                              <w:bidi w:val="0"/>
                              <w:spacing w:before="0" w:after="283"/>
                              <w:jc w:val="left"/>
                              <w:rPr/>
                            </w:pPr>
                            <w:hyperlink w:anchor="toc37355_82">
                              <w:r>
                                <w:rPr>
                                  <w:rStyle w:val="InternetLink"/>
                                  <w:b/>
                                  <w:color w:val="00AE4F"/>
                                </w:rPr>
                                <w:t>Proposal 4: Ratification of the Appointment of PricewaterhouseCoopers LLP as the Company’s Independent Registered Public Accounting Firm for the 2026 Fiscal Year</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80</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9750" w:type="dxa"/>
                            <w:tcBorders/>
                            <w:vAlign w:val="center"/>
                          </w:tcPr>
                          <w:p>
                            <w:pPr>
                              <w:pStyle w:val="TableContents"/>
                              <w:bidi w:val="0"/>
                              <w:spacing w:before="0" w:after="283"/>
                              <w:jc w:val="left"/>
                              <w:rPr/>
                            </w:pPr>
                            <w:hyperlink w:anchor="toc37355_83">
                              <w:r>
                                <w:rPr>
                                  <w:rStyle w:val="InternetLink"/>
                                </w:rPr>
                                <w:t>Audit and Non-Audit Fees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80</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37355_84">
                              <w:r>
                                <w:rPr>
                                  <w:rStyle w:val="InternetLink"/>
                                </w:rPr>
                                <w:t>Report of the Audit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AE4F"/>
                            </w:tcBorders>
                            <w:tcMar>
                              <w:bottom w:w="80" w:type="dxa"/>
                            </w:tcMar>
                            <w:vAlign w:val="center"/>
                          </w:tcPr>
                          <w:p>
                            <w:pPr>
                              <w:pStyle w:val="TableContents"/>
                              <w:bidi w:val="0"/>
                              <w:spacing w:before="0" w:after="283"/>
                              <w:jc w:val="left"/>
                              <w:rPr/>
                            </w:pPr>
                            <w:hyperlink w:anchor="toc37355_85">
                              <w:r>
                                <w:rPr>
                                  <w:rStyle w:val="InternetLink"/>
                                  <w:b/>
                                  <w:color w:val="00AE4F"/>
                                </w:rPr>
                                <w:t>Questions and Answers About the Proxy Statement and the Annual Meeting</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82</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1924" w:type="dxa"/>
        <w:jc w:val="left"/>
        <w:tblInd w:w="0" w:type="dxa"/>
        <w:tblLayout w:type="fixed"/>
        <w:tblCellMar>
          <w:top w:w="0" w:type="dxa"/>
          <w:left w:w="0" w:type="dxa"/>
          <w:bottom w:w="0" w:type="dxa"/>
          <w:right w:w="0" w:type="dxa"/>
        </w:tblCellMar>
      </w:tblPr>
      <w:tblGrid>
        <w:gridCol w:w="75"/>
        <w:gridCol w:w="38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2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3" descr=""/>
                          <pic:cNvPicPr>
                            <a:picLocks noChangeAspect="1" noChangeArrowheads="1"/>
                          </pic:cNvPicPr>
                        </pic:nvPicPr>
                        <pic:blipFill>
                          <a:blip r:embed="rId16"/>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sz w:val="36"/>
        </w:rPr>
      </w:pPr>
      <w:bookmarkStart w:id="3" w:name="toc37355_1"/>
      <w:bookmarkEnd w:id="3"/>
      <w:r>
        <w:rPr>
          <w:rFonts w:ascii="arial" w:hAnsi="arial"/>
          <w:b/>
          <w:sz w:val="36"/>
        </w:rPr>
        <w:t xml:space="preserve">Proxy Summary </w:t>
      </w:r>
    </w:p>
    <w:p>
      <w:pPr>
        <w:pStyle w:val="TextBody"/>
        <w:bidi w:val="0"/>
        <w:spacing w:before="360" w:after="0"/>
        <w:jc w:val="left"/>
        <w:rPr>
          <w:rFonts w:ascii="arial" w:hAnsi="arial"/>
          <w:sz w:val="18"/>
        </w:rPr>
      </w:pPr>
      <w:r>
        <w:rPr>
          <w:rFonts w:ascii="arial" w:hAnsi="arial"/>
          <w:sz w:val="18"/>
        </w:rPr>
        <w:t xml:space="preserve">This summary highlights information contained elsewhere in this Proxy Statement. Please refer to the complete Proxy Statement and Kelly’s 2025 Annual Report before you vote. </w:t>
      </w:r>
    </w:p>
    <w:p>
      <w:pPr>
        <w:pStyle w:val="TextBody"/>
        <w:bidi w:val="0"/>
        <w:spacing w:before="360" w:after="0"/>
        <w:jc w:val="left"/>
        <w:rPr>
          <w:rFonts w:ascii="arial" w:hAnsi="arial"/>
          <w:b/>
          <w:sz w:val="24"/>
        </w:rPr>
      </w:pPr>
      <w:bookmarkStart w:id="4" w:name="toc37355_2"/>
      <w:bookmarkEnd w:id="4"/>
      <w:r>
        <w:rPr>
          <w:rFonts w:ascii="arial" w:hAnsi="arial"/>
          <w:b/>
          <w:sz w:val="24"/>
        </w:rPr>
        <w:t xml:space="preserve">2026 Annual Meeting of Shareholders Details </w:t>
      </w:r>
    </w:p>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2045"/>
        <w:gridCol w:w="60"/>
        <w:gridCol w:w="260"/>
        <w:gridCol w:w="60"/>
        <w:gridCol w:w="1595"/>
        <w:gridCol w:w="60"/>
        <w:gridCol w:w="260"/>
        <w:gridCol w:w="60"/>
        <w:gridCol w:w="2030"/>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r>
      <w:tr>
        <w:trPr/>
        <w:tc>
          <w:tcPr>
            <w:tcW w:w="2045" w:type="dxa"/>
            <w:tcBorders/>
            <w:shd w:fill="EDEDED" w:val="clear"/>
            <w:vAlign w:val="center"/>
          </w:tcPr>
          <w:p>
            <w:pPr>
              <w:pStyle w:val="TableContents"/>
              <w:bidi w:val="0"/>
              <w:spacing w:lineRule="atLeast" w:line="440"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595" w:type="dxa"/>
            <w:tcBorders/>
            <w:shd w:fill="EDEDED"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030" w:type="dxa"/>
            <w:tcBorders/>
            <w:shd w:fill="EDEDED" w:val="clear"/>
            <w:vAlign w:val="center"/>
          </w:tcPr>
          <w:p>
            <w:pPr>
              <w:pStyle w:val="TableContents"/>
              <w:bidi w:val="0"/>
              <w:spacing w:before="0" w:after="283"/>
              <w:jc w:val="left"/>
              <w:rPr/>
            </w:pPr>
            <w:r>
              <w:rPr/>
              <w:t> </w:t>
            </w:r>
          </w:p>
        </w:tc>
      </w:tr>
      <w:tr>
        <w:trPr/>
        <w:tc>
          <w:tcPr>
            <w:tcW w:w="2045" w:type="dxa"/>
            <w:tcBorders/>
            <w:shd w:fill="EDEDED" w:val="clear"/>
            <w:vAlign w:val="center"/>
          </w:tcPr>
          <w:p>
            <w:pPr>
              <w:pStyle w:val="TableContents"/>
              <w:bidi w:val="0"/>
              <w:spacing w:before="0" w:after="283"/>
              <w:jc w:val="center"/>
              <w:rPr/>
            </w:pPr>
            <w:r>
              <w:rPr/>
              <w:drawing>
                <wp:inline distT="0" distB="0" distL="0" distR="0">
                  <wp:extent cx="445770" cy="398780"/>
                  <wp:effectExtent l="0" t="0" r="0" b="0"/>
                  <wp:docPr id="2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4" descr=""/>
                          <pic:cNvPicPr>
                            <a:picLocks noChangeAspect="1" noChangeArrowheads="1"/>
                          </pic:cNvPicPr>
                        </pic:nvPicPr>
                        <pic:blipFill>
                          <a:blip r:embed="rId17"/>
                          <a:stretch>
                            <a:fillRect/>
                          </a:stretch>
                        </pic:blipFill>
                        <pic:spPr bwMode="auto">
                          <a:xfrm>
                            <a:off x="0" y="0"/>
                            <a:ext cx="445770" cy="39878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595" w:type="dxa"/>
            <w:tcBorders/>
            <w:shd w:fill="EDEDED" w:val="clear"/>
            <w:vAlign w:val="center"/>
          </w:tcPr>
          <w:p>
            <w:pPr>
              <w:pStyle w:val="TableContents"/>
              <w:bidi w:val="0"/>
              <w:spacing w:before="0" w:after="283"/>
              <w:jc w:val="center"/>
              <w:rPr/>
            </w:pPr>
            <w:r>
              <w:rPr/>
              <w:drawing>
                <wp:inline distT="0" distB="0" distL="0" distR="0">
                  <wp:extent cx="320675" cy="429895"/>
                  <wp:effectExtent l="0" t="0" r="0" b="0"/>
                  <wp:docPr id="2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5" descr=""/>
                          <pic:cNvPicPr>
                            <a:picLocks noChangeAspect="1" noChangeArrowheads="1"/>
                          </pic:cNvPicPr>
                        </pic:nvPicPr>
                        <pic:blipFill>
                          <a:blip r:embed="rId18"/>
                          <a:stretch>
                            <a:fillRect/>
                          </a:stretch>
                        </pic:blipFill>
                        <pic:spPr bwMode="auto">
                          <a:xfrm>
                            <a:off x="0" y="0"/>
                            <a:ext cx="320675" cy="42989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030" w:type="dxa"/>
            <w:tcBorders/>
            <w:shd w:fill="EDEDED" w:val="clear"/>
            <w:vAlign w:val="center"/>
          </w:tcPr>
          <w:p>
            <w:pPr>
              <w:pStyle w:val="TableContents"/>
              <w:bidi w:val="0"/>
              <w:spacing w:before="0" w:after="283"/>
              <w:jc w:val="center"/>
              <w:rPr/>
            </w:pPr>
            <w:r>
              <w:rPr/>
              <w:drawing>
                <wp:inline distT="0" distB="0" distL="0" distR="0">
                  <wp:extent cx="568325" cy="372745"/>
                  <wp:effectExtent l="0" t="0" r="0" b="0"/>
                  <wp:docPr id="2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6" descr=""/>
                          <pic:cNvPicPr>
                            <a:picLocks noChangeAspect="1" noChangeArrowheads="1"/>
                          </pic:cNvPicPr>
                        </pic:nvPicPr>
                        <pic:blipFill>
                          <a:blip r:embed="rId19"/>
                          <a:stretch>
                            <a:fillRect/>
                          </a:stretch>
                        </pic:blipFill>
                        <pic:spPr bwMode="auto">
                          <a:xfrm>
                            <a:off x="0" y="0"/>
                            <a:ext cx="568325" cy="372745"/>
                          </a:xfrm>
                          <a:prstGeom prst="rect">
                            <a:avLst/>
                          </a:prstGeom>
                        </pic:spPr>
                      </pic:pic>
                    </a:graphicData>
                  </a:graphic>
                </wp:inline>
              </w:drawing>
            </w:r>
            <w:r>
              <w:rPr/>
              <w:t xml:space="preserve"> </w:t>
            </w:r>
          </w:p>
        </w:tc>
      </w:tr>
      <w:tr>
        <w:trPr/>
        <w:tc>
          <w:tcPr>
            <w:tcW w:w="2045" w:type="dxa"/>
            <w:tcBorders/>
            <w:shd w:fill="EDEDED" w:val="clear"/>
            <w:vAlign w:val="center"/>
          </w:tcPr>
          <w:p>
            <w:pPr>
              <w:pStyle w:val="TableContents"/>
              <w:bidi w:val="0"/>
              <w:spacing w:before="0" w:after="283"/>
              <w:jc w:val="center"/>
              <w:rPr>
                <w:b/>
                <w:color w:val="00AE4F"/>
                <w:sz w:val="22"/>
              </w:rPr>
            </w:pPr>
            <w:r>
              <w:rPr>
                <w:b/>
                <w:color w:val="00AE4F"/>
                <w:sz w:val="22"/>
              </w:rPr>
              <w:t>Date and Time</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595" w:type="dxa"/>
            <w:tcBorders/>
            <w:shd w:fill="EDEDED" w:val="clear"/>
            <w:vAlign w:val="center"/>
          </w:tcPr>
          <w:p>
            <w:pPr>
              <w:pStyle w:val="TableContents"/>
              <w:bidi w:val="0"/>
              <w:spacing w:before="0" w:after="283"/>
              <w:jc w:val="center"/>
              <w:rPr>
                <w:b/>
                <w:color w:val="00AE4F"/>
                <w:sz w:val="22"/>
              </w:rPr>
            </w:pPr>
            <w:r>
              <w:rPr>
                <w:b/>
                <w:color w:val="00AE4F"/>
                <w:sz w:val="22"/>
              </w:rPr>
              <w:t>Place</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030" w:type="dxa"/>
            <w:tcBorders/>
            <w:shd w:fill="EDEDED" w:val="clear"/>
            <w:vAlign w:val="center"/>
          </w:tcPr>
          <w:p>
            <w:pPr>
              <w:pStyle w:val="TableContents"/>
              <w:bidi w:val="0"/>
              <w:spacing w:before="0" w:after="283"/>
              <w:jc w:val="center"/>
              <w:rPr>
                <w:b/>
                <w:color w:val="00AE4F"/>
                <w:sz w:val="22"/>
              </w:rPr>
            </w:pPr>
            <w:r>
              <w:rPr>
                <w:b/>
                <w:color w:val="00AE4F"/>
                <w:sz w:val="22"/>
              </w:rPr>
              <w:t>Record Date</w:t>
            </w:r>
          </w:p>
        </w:tc>
      </w:tr>
      <w:tr>
        <w:trPr/>
        <w:tc>
          <w:tcPr>
            <w:tcW w:w="2045" w:type="dxa"/>
            <w:tcBorders/>
            <w:shd w:fill="EDEDED" w:val="clear"/>
            <w:vAlign w:val="center"/>
          </w:tcPr>
          <w:p>
            <w:pPr>
              <w:pStyle w:val="TableContents"/>
              <w:bidi w:val="0"/>
              <w:spacing w:before="0" w:after="0"/>
              <w:jc w:val="center"/>
              <w:rPr>
                <w:rFonts w:ascii="arial" w:hAnsi="arial"/>
                <w:sz w:val="20"/>
              </w:rPr>
            </w:pPr>
            <w:r>
              <w:rPr>
                <w:rFonts w:ascii="arial" w:hAnsi="arial"/>
                <w:sz w:val="20"/>
              </w:rPr>
              <w:t>Thursday, May 7, 2026</w:t>
            </w:r>
          </w:p>
          <w:p>
            <w:pPr>
              <w:pStyle w:val="TableContents"/>
              <w:bidi w:val="0"/>
              <w:spacing w:before="0" w:after="0"/>
              <w:jc w:val="center"/>
              <w:rPr>
                <w:rFonts w:ascii="arial" w:hAnsi="arial"/>
                <w:sz w:val="17"/>
              </w:rPr>
            </w:pPr>
            <w:r>
              <w:rPr>
                <w:rFonts w:ascii="arial" w:hAnsi="arial"/>
                <w:sz w:val="17"/>
              </w:rPr>
              <w:t>at 12:00 p.m., Eastern</w:t>
            </w:r>
          </w:p>
          <w:p>
            <w:pPr>
              <w:pStyle w:val="TableContents"/>
              <w:bidi w:val="0"/>
              <w:spacing w:before="0" w:after="20"/>
              <w:jc w:val="center"/>
              <w:rPr>
                <w:rFonts w:ascii="arial" w:hAnsi="arial"/>
                <w:sz w:val="17"/>
              </w:rPr>
            </w:pPr>
            <w:r>
              <w:rPr>
                <w:rFonts w:ascii="arial" w:hAnsi="arial"/>
                <w:sz w:val="17"/>
              </w:rPr>
              <w:t>Daylight Time</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595" w:type="dxa"/>
            <w:tcBorders/>
            <w:shd w:fill="EDEDED" w:val="clear"/>
            <w:vAlign w:val="center"/>
          </w:tcPr>
          <w:p>
            <w:pPr>
              <w:pStyle w:val="TableContents"/>
              <w:bidi w:val="0"/>
              <w:spacing w:before="0" w:after="0"/>
              <w:jc w:val="center"/>
              <w:rPr>
                <w:rFonts w:ascii="arial" w:hAnsi="arial"/>
                <w:sz w:val="20"/>
              </w:rPr>
            </w:pPr>
            <w:r>
              <w:rPr>
                <w:rFonts w:ascii="arial" w:hAnsi="arial"/>
                <w:sz w:val="20"/>
              </w:rPr>
              <w:t>Virtual Meeting:</w:t>
            </w:r>
          </w:p>
          <w:p>
            <w:pPr>
              <w:pStyle w:val="TableContents"/>
              <w:bidi w:val="0"/>
              <w:spacing w:before="0" w:after="20"/>
              <w:jc w:val="center"/>
              <w:rPr>
                <w:rFonts w:ascii="arial" w:hAnsi="arial"/>
                <w:sz w:val="20"/>
              </w:rPr>
            </w:pPr>
            <w:r>
              <w:rPr>
                <w:rFonts w:ascii="arial" w:hAnsi="arial"/>
                <w:sz w:val="20"/>
              </w:rPr>
              <w:t>kellyservices.com</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030" w:type="dxa"/>
            <w:tcBorders/>
            <w:shd w:fill="EDEDED" w:val="clear"/>
            <w:vAlign w:val="center"/>
          </w:tcPr>
          <w:p>
            <w:pPr>
              <w:pStyle w:val="TableContents"/>
              <w:bidi w:val="0"/>
              <w:spacing w:before="0" w:after="0"/>
              <w:jc w:val="center"/>
              <w:rPr>
                <w:rFonts w:ascii="arial" w:hAnsi="arial"/>
                <w:sz w:val="20"/>
              </w:rPr>
            </w:pPr>
            <w:r>
              <w:rPr>
                <w:rFonts w:ascii="arial" w:hAnsi="arial"/>
                <w:sz w:val="20"/>
              </w:rPr>
              <w:t>Close of Business,</w:t>
            </w:r>
          </w:p>
          <w:p>
            <w:pPr>
              <w:pStyle w:val="TableContents"/>
              <w:bidi w:val="0"/>
              <w:spacing w:before="0" w:after="0"/>
              <w:jc w:val="center"/>
              <w:rPr>
                <w:rFonts w:ascii="arial" w:hAnsi="arial"/>
                <w:sz w:val="20"/>
              </w:rPr>
            </w:pPr>
            <w:r>
              <w:rPr>
                <w:rFonts w:ascii="arial" w:hAnsi="arial"/>
                <w:sz w:val="20"/>
              </w:rPr>
              <w:t>Eastern Daylight Time,</w:t>
            </w:r>
          </w:p>
          <w:p>
            <w:pPr>
              <w:pStyle w:val="TableContents"/>
              <w:bidi w:val="0"/>
              <w:spacing w:before="0" w:after="20"/>
              <w:jc w:val="center"/>
              <w:rPr>
                <w:rFonts w:ascii="arial" w:hAnsi="arial"/>
                <w:sz w:val="20"/>
              </w:rPr>
            </w:pPr>
            <w:r>
              <w:rPr>
                <w:rFonts w:ascii="arial" w:hAnsi="arial"/>
                <w:sz w:val="20"/>
              </w:rPr>
              <w:t>March 19, 2026</w:t>
            </w:r>
          </w:p>
        </w:tc>
      </w:tr>
      <w:tr>
        <w:trPr/>
        <w:tc>
          <w:tcPr>
            <w:tcW w:w="2045" w:type="dxa"/>
            <w:tcBorders/>
            <w:shd w:fill="EDEDED" w:val="clear"/>
            <w:vAlign w:val="center"/>
          </w:tcPr>
          <w:p>
            <w:pPr>
              <w:pStyle w:val="TableContents"/>
              <w:bidi w:val="0"/>
              <w:spacing w:lineRule="atLeast" w:line="440"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59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030" w:type="dxa"/>
            <w:tcBorders/>
            <w:shd w:fill="EDEDED"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25">
                <wp:simplePos x="0" y="0"/>
                <wp:positionH relativeFrom="column">
                  <wp:align>left</wp:align>
                </wp:positionH>
                <wp:positionV relativeFrom="line">
                  <wp:posOffset>635</wp:posOffset>
                </wp:positionV>
                <wp:extent cx="3110230" cy="657225"/>
                <wp:effectExtent l="0" t="0" r="0" b="0"/>
                <wp:wrapSquare wrapText="right"/>
                <wp:docPr id="25" name="Frame7"/>
                <a:graphic xmlns:a="http://schemas.openxmlformats.org/drawingml/2006/main">
                  <a:graphicData uri="http://schemas.microsoft.com/office/word/2010/wordprocessingShape">
                    <wps:wsp>
                      <wps:cNvSpPr txBox="1"/>
                      <wps:spPr>
                        <a:xfrm>
                          <a:off x="0" y="0"/>
                          <a:ext cx="3110230" cy="657225"/>
                        </a:xfrm>
                        <a:prstGeom prst="rect"/>
                        <a:solidFill>
                          <a:srgbClr val="FFFFFF"/>
                        </a:solidFill>
                      </wps:spPr>
                      <wps:txbx>
                        <w:txbxContent>
                          <w:p>
                            <w:pPr>
                              <w:pStyle w:val="TextBody"/>
                              <w:bidi w:val="0"/>
                              <w:spacing w:before="0" w:after="0"/>
                              <w:jc w:val="center"/>
                              <w:rPr>
                                <w:rFonts w:ascii="arial" w:hAnsi="arial"/>
                                <w:b/>
                                <w:sz w:val="18"/>
                              </w:rPr>
                            </w:pPr>
                            <w:r>
                              <w:rPr>
                                <w:rFonts w:ascii="arial" w:hAnsi="arial"/>
                                <w:b/>
                                <w:sz w:val="18"/>
                              </w:rPr>
                              <w:t xml:space="preserve">Voting </w:t>
                            </w:r>
                          </w:p>
                          <w:p>
                            <w:pPr>
                              <w:pStyle w:val="TextBody"/>
                              <w:bidi w:val="0"/>
                              <w:spacing w:before="0" w:after="0"/>
                              <w:jc w:val="center"/>
                              <w:rPr>
                                <w:rFonts w:ascii="arial" w:hAnsi="arial"/>
                                <w:sz w:val="18"/>
                              </w:rPr>
                            </w:pPr>
                            <w:r>
                              <w:rPr>
                                <w:rFonts w:ascii="arial" w:hAnsi="arial"/>
                                <w:sz w:val="18"/>
                              </w:rPr>
                              <w:t xml:space="preserve">Class B Shareholders as of the Record Date are entitled to vote. Each share of Class B Common Stock is entitled to one vote for each director nominee and one vote for each of the other proposals to be voted on.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1.7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center"/>
                        <w:rPr>
                          <w:rFonts w:ascii="arial" w:hAnsi="arial"/>
                          <w:b/>
                          <w:sz w:val="18"/>
                        </w:rPr>
                      </w:pPr>
                      <w:r>
                        <w:rPr>
                          <w:rFonts w:ascii="arial" w:hAnsi="arial"/>
                          <w:b/>
                          <w:sz w:val="18"/>
                        </w:rPr>
                        <w:t xml:space="preserve">Voting </w:t>
                      </w:r>
                    </w:p>
                    <w:p>
                      <w:pPr>
                        <w:pStyle w:val="TextBody"/>
                        <w:bidi w:val="0"/>
                        <w:spacing w:before="0" w:after="0"/>
                        <w:jc w:val="center"/>
                        <w:rPr>
                          <w:rFonts w:ascii="arial" w:hAnsi="arial"/>
                          <w:sz w:val="18"/>
                        </w:rPr>
                      </w:pPr>
                      <w:r>
                        <w:rPr>
                          <w:rFonts w:ascii="arial" w:hAnsi="arial"/>
                          <w:sz w:val="18"/>
                        </w:rPr>
                        <w:t xml:space="preserve">Class B Shareholders as of the Record Date are entitled to vote. Each share of Class B Common Stock is entitled to one vote for each director nominee and one vote for each of the other proposals to be voted on. </w:t>
                      </w:r>
                    </w:p>
                  </w:txbxContent>
                </v:textbox>
                <w10:wrap type="square" side="right"/>
              </v:rect>
            </w:pict>
          </mc:Fallback>
        </mc:AlternateContent>
      </w:r>
      <w:r>
        <mc:AlternateContent>
          <mc:Choice Requires="wps">
            <w:drawing>
              <wp:anchor behindDoc="0" distT="0" distB="0" distL="0" distR="0" simplePos="0" locked="0" layoutInCell="1" allowOverlap="1" relativeHeight="226">
                <wp:simplePos x="0" y="0"/>
                <wp:positionH relativeFrom="column">
                  <wp:align>left</wp:align>
                </wp:positionH>
                <wp:positionV relativeFrom="line">
                  <wp:posOffset>635</wp:posOffset>
                </wp:positionV>
                <wp:extent cx="3175000" cy="525780"/>
                <wp:effectExtent l="0" t="0" r="0" b="0"/>
                <wp:wrapSquare wrapText="right"/>
                <wp:docPr id="26" name="Frame8"/>
                <a:graphic xmlns:a="http://schemas.openxmlformats.org/drawingml/2006/main">
                  <a:graphicData uri="http://schemas.microsoft.com/office/word/2010/wordprocessingShape">
                    <wps:wsp>
                      <wps:cNvSpPr txBox="1"/>
                      <wps:spPr>
                        <a:xfrm>
                          <a:off x="0" y="0"/>
                          <a:ext cx="3175000" cy="525780"/>
                        </a:xfrm>
                        <a:prstGeom prst="rect"/>
                        <a:solidFill>
                          <a:srgbClr val="FFFFFF"/>
                        </a:solidFill>
                      </wps:spPr>
                      <wps:txbx>
                        <w:txbxContent>
                          <w:p>
                            <w:pPr>
                              <w:pStyle w:val="TextBody"/>
                              <w:bidi w:val="0"/>
                              <w:spacing w:before="0" w:after="0"/>
                              <w:jc w:val="center"/>
                              <w:rPr>
                                <w:rFonts w:ascii="arial" w:hAnsi="arial"/>
                                <w:b/>
                                <w:sz w:val="18"/>
                              </w:rPr>
                            </w:pPr>
                            <w:r>
                              <w:rPr>
                                <w:rFonts w:ascii="arial" w:hAnsi="arial"/>
                                <w:b/>
                                <w:sz w:val="18"/>
                              </w:rPr>
                              <w:t xml:space="preserve">Admission </w:t>
                            </w:r>
                          </w:p>
                          <w:p>
                            <w:pPr>
                              <w:pStyle w:val="TextBody"/>
                              <w:bidi w:val="0"/>
                              <w:spacing w:before="0" w:after="0"/>
                              <w:jc w:val="center"/>
                              <w:rPr>
                                <w:rFonts w:ascii="arial" w:hAnsi="arial"/>
                                <w:sz w:val="18"/>
                              </w:rPr>
                            </w:pPr>
                            <w:r>
                              <w:rPr>
                                <w:rFonts w:ascii="arial" w:hAnsi="arial"/>
                                <w:sz w:val="18"/>
                              </w:rPr>
                              <w:t xml:space="preserve">All holders of the Company’s Class A and Class B Common Stock are invited to attend the Annual Meeting of Shareholders.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1.4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center"/>
                        <w:rPr>
                          <w:rFonts w:ascii="arial" w:hAnsi="arial"/>
                          <w:b/>
                          <w:sz w:val="18"/>
                        </w:rPr>
                      </w:pPr>
                      <w:r>
                        <w:rPr>
                          <w:rFonts w:ascii="arial" w:hAnsi="arial"/>
                          <w:b/>
                          <w:sz w:val="18"/>
                        </w:rPr>
                        <w:t xml:space="preserve">Admission </w:t>
                      </w:r>
                    </w:p>
                    <w:p>
                      <w:pPr>
                        <w:pStyle w:val="TextBody"/>
                        <w:bidi w:val="0"/>
                        <w:spacing w:before="0" w:after="0"/>
                        <w:jc w:val="center"/>
                        <w:rPr>
                          <w:rFonts w:ascii="arial" w:hAnsi="arial"/>
                          <w:sz w:val="18"/>
                        </w:rPr>
                      </w:pPr>
                      <w:r>
                        <w:rPr>
                          <w:rFonts w:ascii="arial" w:hAnsi="arial"/>
                          <w:sz w:val="18"/>
                        </w:rPr>
                        <w:t xml:space="preserve">All holders of the Company’s Class A and Class B Common Stock are invited to attend the Annual Meeting of Shareholders.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sz w:val="24"/>
        </w:rPr>
      </w:pPr>
      <w:bookmarkStart w:id="5" w:name="toc37355_3"/>
      <w:bookmarkEnd w:id="5"/>
      <w:r>
        <w:rPr>
          <w:rFonts w:ascii="arial" w:hAnsi="arial"/>
          <w:b/>
          <w:sz w:val="24"/>
        </w:rPr>
        <w:t xml:space="preserve">Proxy Voting Roadmap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72"/>
        <w:gridCol w:w="60"/>
        <w:gridCol w:w="5501"/>
        <w:gridCol w:w="240"/>
        <w:gridCol w:w="2635"/>
        <w:gridCol w:w="120"/>
        <w:gridCol w:w="1177"/>
      </w:tblGrid>
      <w:tr>
        <w:trPr/>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6033" w:type="dxa"/>
            <w:gridSpan w:val="3"/>
            <w:tcBorders>
              <w:bottom w:val="single" w:sz="8" w:space="0" w:color="000000"/>
            </w:tcBorders>
            <w:tcMar>
              <w:bottom w:w="120" w:type="dxa"/>
            </w:tcMar>
            <w:vAlign w:val="center"/>
          </w:tcPr>
          <w:p>
            <w:pPr>
              <w:pStyle w:val="TableContents"/>
              <w:bidi w:val="0"/>
              <w:spacing w:before="0" w:after="0"/>
              <w:jc w:val="left"/>
              <w:rPr>
                <w:rFonts w:ascii="arial" w:hAnsi="arial"/>
                <w:b/>
                <w:color w:val="00AE4F"/>
                <w:sz w:val="20"/>
              </w:rPr>
            </w:pPr>
            <w:r>
              <w:rPr>
                <w:rFonts w:ascii="arial" w:hAnsi="arial"/>
                <w:b/>
                <w:color w:val="00AE4F"/>
                <w:sz w:val="20"/>
              </w:rPr>
              <w:t>Voting Matters</w:t>
            </w:r>
          </w:p>
        </w:tc>
        <w:tc>
          <w:tcPr>
            <w:tcW w:w="240" w:type="dxa"/>
            <w:tcBorders>
              <w:bottom w:val="single" w:sz="8" w:space="0" w:color="000000"/>
            </w:tcBorders>
            <w:tcMar>
              <w:bottom w:w="28" w:type="dxa"/>
            </w:tcMar>
            <w:vAlign w:val="center"/>
          </w:tcPr>
          <w:p>
            <w:pPr>
              <w:pStyle w:val="TableContents"/>
              <w:bidi w:val="0"/>
              <w:spacing w:before="0" w:after="283"/>
              <w:jc w:val="left"/>
              <w:rPr/>
            </w:pPr>
            <w:r>
              <w:rPr/>
              <w:t>    </w:t>
            </w:r>
          </w:p>
        </w:tc>
        <w:tc>
          <w:tcPr>
            <w:tcW w:w="2635" w:type="dxa"/>
            <w:tcBorders>
              <w:bottom w:val="single" w:sz="8" w:space="0" w:color="000000"/>
            </w:tcBorders>
            <w:tcMar>
              <w:bottom w:w="120" w:type="dxa"/>
            </w:tcMar>
            <w:vAlign w:val="center"/>
          </w:tcPr>
          <w:p>
            <w:pPr>
              <w:pStyle w:val="TableContents"/>
              <w:bidi w:val="0"/>
              <w:spacing w:before="0" w:after="283"/>
              <w:jc w:val="center"/>
              <w:rPr>
                <w:b/>
                <w:color w:val="00AE4F"/>
              </w:rPr>
            </w:pPr>
            <w:r>
              <w:rPr>
                <w:b/>
                <w:color w:val="00AE4F"/>
              </w:rPr>
              <w:t>Board Recommendations 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7" w:type="dxa"/>
            <w:tcBorders>
              <w:bottom w:val="single" w:sz="8" w:space="0" w:color="000000"/>
            </w:tcBorders>
            <w:tcMar>
              <w:bottom w:w="120" w:type="dxa"/>
            </w:tcMar>
            <w:vAlign w:val="center"/>
          </w:tcPr>
          <w:p>
            <w:pPr>
              <w:pStyle w:val="TableContents"/>
              <w:bidi w:val="0"/>
              <w:spacing w:before="0" w:after="283"/>
              <w:jc w:val="center"/>
              <w:rPr>
                <w:b/>
                <w:color w:val="00AE4F"/>
              </w:rPr>
            </w:pPr>
            <w:r>
              <w:rPr>
                <w:b/>
                <w:color w:val="00AE4F"/>
              </w:rPr>
              <w:t>Page </w:t>
              <w:br/>
              <w:t>Reference </w:t>
              <w:br/>
              <w:t>For </w:t>
              <w:br/>
              <w:t>More </w:t>
              <w:br/>
              <w:t>Details </w:t>
            </w:r>
          </w:p>
        </w:tc>
      </w:tr>
      <w:tr>
        <w:trPr/>
        <w:tc>
          <w:tcPr>
            <w:tcW w:w="472" w:type="dxa"/>
            <w:tcBorders/>
            <w:vAlign w:val="center"/>
          </w:tcPr>
          <w:p>
            <w:pPr>
              <w:pStyle w:val="TableContents"/>
              <w:bidi w:val="0"/>
              <w:spacing w:before="0" w:after="283"/>
              <w:jc w:val="left"/>
              <w:rPr>
                <w:sz w:val="4"/>
                <w:szCs w:val="4"/>
              </w:rPr>
            </w:pPr>
            <w:r>
              <w:rPr>
                <w:sz w:val="4"/>
                <w:szCs w:val="4"/>
              </w:rPr>
            </w:r>
          </w:p>
        </w:tc>
        <w:tc>
          <w:tcPr>
            <w:tcW w:w="5561" w:type="dxa"/>
            <w:gridSpan w:val="2"/>
            <w:tcBorders/>
            <w:vAlign w:val="center"/>
          </w:tcPr>
          <w:p>
            <w:pPr>
              <w:pStyle w:val="TableContents"/>
              <w:bidi w:val="0"/>
              <w:spacing w:before="0" w:after="283"/>
              <w:jc w:val="left"/>
              <w:rPr>
                <w:sz w:val="4"/>
                <w:szCs w:val="4"/>
              </w:rPr>
            </w:pPr>
            <w:r>
              <w:rPr>
                <w:sz w:val="4"/>
                <w:szCs w:val="4"/>
              </w:rPr>
            </w:r>
          </w:p>
        </w:tc>
        <w:tc>
          <w:tcPr>
            <w:tcW w:w="2875" w:type="dxa"/>
            <w:gridSpan w:val="2"/>
            <w:tcBorders/>
            <w:vAlign w:val="center"/>
          </w:tcPr>
          <w:p>
            <w:pPr>
              <w:pStyle w:val="TableContents"/>
              <w:bidi w:val="0"/>
              <w:spacing w:before="0" w:after="283"/>
              <w:jc w:val="left"/>
              <w:rPr>
                <w:sz w:val="4"/>
                <w:szCs w:val="4"/>
              </w:rPr>
            </w:pPr>
            <w:r>
              <w:rPr>
                <w:sz w:val="4"/>
                <w:szCs w:val="4"/>
              </w:rPr>
            </w:r>
          </w:p>
        </w:tc>
        <w:tc>
          <w:tcPr>
            <w:tcW w:w="1297"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472" w:type="dxa"/>
            <w:tcBorders>
              <w:bottom w:val="single" w:sz="6" w:space="0" w:color="7F7F7F"/>
            </w:tcBorders>
            <w:tcMar>
              <w:bottom w:w="40" w:type="dxa"/>
            </w:tcM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279400" cy="267335"/>
                  <wp:effectExtent l="0" t="0" r="0" b="0"/>
                  <wp:docPr id="2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7" descr=""/>
                          <pic:cNvPicPr>
                            <a:picLocks noChangeAspect="1" noChangeArrowheads="1"/>
                          </pic:cNvPicPr>
                        </pic:nvPicPr>
                        <pic:blipFill>
                          <a:blip r:embed="rId20"/>
                          <a:stretch>
                            <a:fillRect/>
                          </a:stretch>
                        </pic:blipFill>
                        <pic:spPr bwMode="auto">
                          <a:xfrm>
                            <a:off x="0" y="0"/>
                            <a:ext cx="279400" cy="26733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5501"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b/>
                <w:sz w:val="18"/>
              </w:rPr>
              <w:t>PROPOSAL 1.</w:t>
            </w:r>
            <w:r>
              <w:rPr>
                <w:rFonts w:ascii="arial" w:hAnsi="arial"/>
                <w:sz w:val="18"/>
              </w:rPr>
              <w:t xml:space="preserve"> Election of eleven directors</w:t>
            </w:r>
          </w:p>
        </w:tc>
        <w:tc>
          <w:tcPr>
            <w:tcW w:w="240" w:type="dxa"/>
            <w:tcBorders>
              <w:bottom w:val="single" w:sz="6" w:space="0" w:color="7F7F7F"/>
            </w:tcBorders>
            <w:tcMar>
              <w:bottom w:w="28" w:type="dxa"/>
            </w:tcMar>
            <w:vAlign w:val="center"/>
          </w:tcPr>
          <w:p>
            <w:pPr>
              <w:pStyle w:val="TableContents"/>
              <w:bidi w:val="0"/>
              <w:spacing w:before="0" w:after="283"/>
              <w:jc w:val="left"/>
              <w:rPr/>
            </w:pPr>
            <w:r>
              <w:rPr/>
              <w:t>    </w:t>
            </w:r>
          </w:p>
        </w:tc>
        <w:tc>
          <w:tcPr>
            <w:tcW w:w="2635" w:type="dxa"/>
            <w:tcBorders>
              <w:bottom w:val="single" w:sz="6" w:space="0" w:color="7F7F7F"/>
            </w:tcBorders>
            <w:tcMar>
              <w:bottom w:w="40" w:type="dxa"/>
            </w:tcMar>
            <w:vAlign w:val="center"/>
          </w:tcPr>
          <w:p>
            <w:pPr>
              <w:pStyle w:val="TableContents"/>
              <w:bidi w:val="0"/>
              <w:spacing w:before="0" w:after="0"/>
              <w:jc w:val="center"/>
              <w:rPr>
                <w:color w:val="00AE4F"/>
              </w:rPr>
            </w:pPr>
            <w:r>
              <w:rPr>
                <w:color w:val="00AE4F"/>
              </w:rPr>
              <w:t xml:space="preserve">✓ </w:t>
            </w:r>
            <w:r>
              <w:rPr>
                <w:rFonts w:ascii="arial" w:hAnsi="arial"/>
                <w:b/>
                <w:color w:val="00AE4F"/>
                <w:sz w:val="18"/>
              </w:rPr>
              <w:t>FOR</w:t>
            </w:r>
          </w:p>
          <w:p>
            <w:pPr>
              <w:pStyle w:val="TableContents"/>
              <w:bidi w:val="0"/>
              <w:spacing w:before="0" w:after="20"/>
              <w:jc w:val="center"/>
              <w:rPr>
                <w:rFonts w:ascii="arial" w:hAnsi="arial"/>
                <w:sz w:val="18"/>
              </w:rPr>
            </w:pPr>
            <w:r>
              <w:rPr>
                <w:rFonts w:ascii="arial" w:hAnsi="arial"/>
                <w:sz w:val="18"/>
              </w:rPr>
              <w:t>each nominee</w:t>
            </w:r>
          </w:p>
        </w:tc>
        <w:tc>
          <w:tcPr>
            <w:tcW w:w="120" w:type="dxa"/>
            <w:tcBorders>
              <w:bottom w:val="single" w:sz="6" w:space="0" w:color="7F7F7F"/>
            </w:tcBorders>
            <w:shd w:fill="EDEDED" w:val="clear"/>
            <w:tcMar>
              <w:bottom w:w="28" w:type="dxa"/>
            </w:tcMar>
            <w:vAlign w:val="center"/>
          </w:tcPr>
          <w:p>
            <w:pPr>
              <w:pStyle w:val="TableContents"/>
              <w:bidi w:val="0"/>
              <w:spacing w:before="0" w:after="283"/>
              <w:jc w:val="left"/>
              <w:rPr/>
            </w:pPr>
            <w:r>
              <w:rPr/>
              <w:t>  </w:t>
            </w:r>
          </w:p>
        </w:tc>
        <w:tc>
          <w:tcPr>
            <w:tcW w:w="1177" w:type="dxa"/>
            <w:tcBorders>
              <w:bottom w:val="single" w:sz="6" w:space="0" w:color="7F7F7F"/>
            </w:tcBorders>
            <w:shd w:fill="EDEDED" w:val="clear"/>
            <w:tcMar>
              <w:bottom w:w="40" w:type="dxa"/>
            </w:tcMar>
            <w:vAlign w:val="center"/>
          </w:tcPr>
          <w:p>
            <w:pPr>
              <w:pStyle w:val="TableContents"/>
              <w:bidi w:val="0"/>
              <w:spacing w:before="0" w:after="283"/>
              <w:jc w:val="center"/>
              <w:rPr/>
            </w:pPr>
            <w:r>
              <w:rPr/>
              <w:t>page 13</w:t>
            </w:r>
          </w:p>
        </w:tc>
      </w:tr>
      <w:tr>
        <w:trPr/>
        <w:tc>
          <w:tcPr>
            <w:tcW w:w="472" w:type="dxa"/>
            <w:tcBorders/>
            <w:vAlign w:val="center"/>
          </w:tcPr>
          <w:p>
            <w:pPr>
              <w:pStyle w:val="TableContents"/>
              <w:bidi w:val="0"/>
              <w:spacing w:before="0" w:after="283"/>
              <w:jc w:val="left"/>
              <w:rPr>
                <w:sz w:val="4"/>
                <w:szCs w:val="4"/>
              </w:rPr>
            </w:pPr>
            <w:r>
              <w:rPr>
                <w:sz w:val="4"/>
                <w:szCs w:val="4"/>
              </w:rPr>
            </w:r>
          </w:p>
        </w:tc>
        <w:tc>
          <w:tcPr>
            <w:tcW w:w="5561" w:type="dxa"/>
            <w:gridSpan w:val="2"/>
            <w:tcBorders/>
            <w:vAlign w:val="center"/>
          </w:tcPr>
          <w:p>
            <w:pPr>
              <w:pStyle w:val="TableContents"/>
              <w:bidi w:val="0"/>
              <w:spacing w:before="0" w:after="283"/>
              <w:jc w:val="left"/>
              <w:rPr>
                <w:sz w:val="4"/>
                <w:szCs w:val="4"/>
              </w:rPr>
            </w:pPr>
            <w:r>
              <w:rPr>
                <w:sz w:val="4"/>
                <w:szCs w:val="4"/>
              </w:rPr>
            </w:r>
          </w:p>
        </w:tc>
        <w:tc>
          <w:tcPr>
            <w:tcW w:w="2875" w:type="dxa"/>
            <w:gridSpan w:val="2"/>
            <w:tcBorders/>
            <w:vAlign w:val="center"/>
          </w:tcPr>
          <w:p>
            <w:pPr>
              <w:pStyle w:val="TableContents"/>
              <w:bidi w:val="0"/>
              <w:spacing w:before="0" w:after="283"/>
              <w:jc w:val="left"/>
              <w:rPr>
                <w:sz w:val="4"/>
                <w:szCs w:val="4"/>
              </w:rPr>
            </w:pPr>
            <w:r>
              <w:rPr>
                <w:sz w:val="4"/>
                <w:szCs w:val="4"/>
              </w:rPr>
            </w:r>
          </w:p>
        </w:tc>
        <w:tc>
          <w:tcPr>
            <w:tcW w:w="1297"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472" w:type="dxa"/>
            <w:tcBorders>
              <w:bottom w:val="single" w:sz="6" w:space="0" w:color="7F7F7F"/>
            </w:tcBorders>
            <w:tcMar>
              <w:bottom w:w="40" w:type="dxa"/>
            </w:tcM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279400" cy="267335"/>
                  <wp:effectExtent l="0" t="0" r="0" b="0"/>
                  <wp:docPr id="2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8" descr=""/>
                          <pic:cNvPicPr>
                            <a:picLocks noChangeAspect="1" noChangeArrowheads="1"/>
                          </pic:cNvPicPr>
                        </pic:nvPicPr>
                        <pic:blipFill>
                          <a:blip r:embed="rId21"/>
                          <a:stretch>
                            <a:fillRect/>
                          </a:stretch>
                        </pic:blipFill>
                        <pic:spPr bwMode="auto">
                          <a:xfrm>
                            <a:off x="0" y="0"/>
                            <a:ext cx="279400" cy="26733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5501"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b/>
                <w:sz w:val="18"/>
              </w:rPr>
              <w:t>PROPOSAL 2.</w:t>
            </w:r>
            <w:r>
              <w:rPr>
                <w:rFonts w:ascii="arial" w:hAnsi="arial"/>
                <w:sz w:val="18"/>
              </w:rPr>
              <w:t xml:space="preserve"> Advisory vote to approve the Company’s executive compensation</w:t>
            </w:r>
          </w:p>
        </w:tc>
        <w:tc>
          <w:tcPr>
            <w:tcW w:w="240" w:type="dxa"/>
            <w:tcBorders>
              <w:bottom w:val="single" w:sz="6" w:space="0" w:color="7F7F7F"/>
            </w:tcBorders>
            <w:tcMar>
              <w:bottom w:w="28" w:type="dxa"/>
            </w:tcMar>
            <w:vAlign w:val="center"/>
          </w:tcPr>
          <w:p>
            <w:pPr>
              <w:pStyle w:val="TableContents"/>
              <w:bidi w:val="0"/>
              <w:spacing w:before="0" w:after="283"/>
              <w:jc w:val="left"/>
              <w:rPr/>
            </w:pPr>
            <w:r>
              <w:rPr/>
              <w:t>    </w:t>
            </w:r>
          </w:p>
        </w:tc>
        <w:tc>
          <w:tcPr>
            <w:tcW w:w="2635" w:type="dxa"/>
            <w:tcBorders>
              <w:bottom w:val="single" w:sz="6" w:space="0" w:color="7F7F7F"/>
            </w:tcBorders>
            <w:tcMar>
              <w:bottom w:w="40" w:type="dxa"/>
            </w:tcMar>
            <w:vAlign w:val="center"/>
          </w:tcPr>
          <w:p>
            <w:pPr>
              <w:pStyle w:val="TableContents"/>
              <w:bidi w:val="0"/>
              <w:spacing w:before="0" w:after="283"/>
              <w:jc w:val="center"/>
              <w:rPr>
                <w:color w:val="00AE4F"/>
              </w:rPr>
            </w:pPr>
            <w:r>
              <w:rPr>
                <w:color w:val="00AE4F"/>
              </w:rPr>
              <w:t xml:space="preserve">✓ </w:t>
            </w:r>
            <w:r>
              <w:rPr>
                <w:b/>
                <w:color w:val="00AE4F"/>
              </w:rPr>
              <w:t>FOR</w:t>
            </w:r>
          </w:p>
        </w:tc>
        <w:tc>
          <w:tcPr>
            <w:tcW w:w="120" w:type="dxa"/>
            <w:tcBorders>
              <w:bottom w:val="single" w:sz="6" w:space="0" w:color="7F7F7F"/>
            </w:tcBorders>
            <w:shd w:fill="EDEDED" w:val="clear"/>
            <w:tcMar>
              <w:bottom w:w="28" w:type="dxa"/>
            </w:tcMar>
            <w:vAlign w:val="center"/>
          </w:tcPr>
          <w:p>
            <w:pPr>
              <w:pStyle w:val="TableContents"/>
              <w:bidi w:val="0"/>
              <w:spacing w:before="0" w:after="283"/>
              <w:jc w:val="left"/>
              <w:rPr/>
            </w:pPr>
            <w:r>
              <w:rPr/>
              <w:t>  </w:t>
            </w:r>
          </w:p>
        </w:tc>
        <w:tc>
          <w:tcPr>
            <w:tcW w:w="1177" w:type="dxa"/>
            <w:tcBorders>
              <w:bottom w:val="single" w:sz="6" w:space="0" w:color="7F7F7F"/>
            </w:tcBorders>
            <w:shd w:fill="EDEDED" w:val="clear"/>
            <w:tcMar>
              <w:bottom w:w="40" w:type="dxa"/>
            </w:tcMar>
            <w:vAlign w:val="center"/>
          </w:tcPr>
          <w:p>
            <w:pPr>
              <w:pStyle w:val="TableContents"/>
              <w:bidi w:val="0"/>
              <w:spacing w:before="0" w:after="283"/>
              <w:jc w:val="center"/>
              <w:rPr/>
            </w:pPr>
            <w:r>
              <w:rPr/>
              <w:t>page 44</w:t>
            </w:r>
          </w:p>
        </w:tc>
      </w:tr>
      <w:tr>
        <w:trPr/>
        <w:tc>
          <w:tcPr>
            <w:tcW w:w="472" w:type="dxa"/>
            <w:tcBorders/>
            <w:vAlign w:val="center"/>
          </w:tcPr>
          <w:p>
            <w:pPr>
              <w:pStyle w:val="TableContents"/>
              <w:bidi w:val="0"/>
              <w:spacing w:before="0" w:after="283"/>
              <w:jc w:val="left"/>
              <w:rPr>
                <w:sz w:val="4"/>
                <w:szCs w:val="4"/>
              </w:rPr>
            </w:pPr>
            <w:r>
              <w:rPr>
                <w:sz w:val="4"/>
                <w:szCs w:val="4"/>
              </w:rPr>
            </w:r>
          </w:p>
        </w:tc>
        <w:tc>
          <w:tcPr>
            <w:tcW w:w="5561" w:type="dxa"/>
            <w:gridSpan w:val="2"/>
            <w:tcBorders/>
            <w:vAlign w:val="center"/>
          </w:tcPr>
          <w:p>
            <w:pPr>
              <w:pStyle w:val="TableContents"/>
              <w:bidi w:val="0"/>
              <w:spacing w:before="0" w:after="283"/>
              <w:jc w:val="left"/>
              <w:rPr>
                <w:sz w:val="4"/>
                <w:szCs w:val="4"/>
              </w:rPr>
            </w:pPr>
            <w:r>
              <w:rPr>
                <w:sz w:val="4"/>
                <w:szCs w:val="4"/>
              </w:rPr>
            </w:r>
          </w:p>
        </w:tc>
        <w:tc>
          <w:tcPr>
            <w:tcW w:w="2875" w:type="dxa"/>
            <w:gridSpan w:val="2"/>
            <w:tcBorders/>
            <w:vAlign w:val="center"/>
          </w:tcPr>
          <w:p>
            <w:pPr>
              <w:pStyle w:val="TableContents"/>
              <w:bidi w:val="0"/>
              <w:spacing w:before="0" w:after="283"/>
              <w:jc w:val="left"/>
              <w:rPr>
                <w:sz w:val="4"/>
                <w:szCs w:val="4"/>
              </w:rPr>
            </w:pPr>
            <w:r>
              <w:rPr>
                <w:sz w:val="4"/>
                <w:szCs w:val="4"/>
              </w:rPr>
            </w:r>
          </w:p>
        </w:tc>
        <w:tc>
          <w:tcPr>
            <w:tcW w:w="1297"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472" w:type="dxa"/>
            <w:tcBorders>
              <w:bottom w:val="single" w:sz="6" w:space="0" w:color="7F7F7F"/>
            </w:tcBorders>
            <w:tcMar>
              <w:bottom w:w="40" w:type="dxa"/>
            </w:tcM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279400" cy="267335"/>
                  <wp:effectExtent l="0" t="0" r="0" b="0"/>
                  <wp:docPr id="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9" descr=""/>
                          <pic:cNvPicPr>
                            <a:picLocks noChangeAspect="1" noChangeArrowheads="1"/>
                          </pic:cNvPicPr>
                        </pic:nvPicPr>
                        <pic:blipFill>
                          <a:blip r:embed="rId22"/>
                          <a:stretch>
                            <a:fillRect/>
                          </a:stretch>
                        </pic:blipFill>
                        <pic:spPr bwMode="auto">
                          <a:xfrm>
                            <a:off x="0" y="0"/>
                            <a:ext cx="279400" cy="26733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5501"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b/>
                <w:sz w:val="18"/>
              </w:rPr>
              <w:t>PROPOSAL 3.</w:t>
            </w:r>
            <w:r>
              <w:rPr>
                <w:rFonts w:ascii="arial" w:hAnsi="arial"/>
                <w:sz w:val="18"/>
              </w:rPr>
              <w:t xml:space="preserve"> Vote to approve the Amendment of the Company’s Restated Certificate of Incorporation</w:t>
            </w:r>
          </w:p>
        </w:tc>
        <w:tc>
          <w:tcPr>
            <w:tcW w:w="240" w:type="dxa"/>
            <w:tcBorders>
              <w:bottom w:val="single" w:sz="6" w:space="0" w:color="7F7F7F"/>
            </w:tcBorders>
            <w:tcMar>
              <w:bottom w:w="28" w:type="dxa"/>
            </w:tcMar>
            <w:vAlign w:val="center"/>
          </w:tcPr>
          <w:p>
            <w:pPr>
              <w:pStyle w:val="TableContents"/>
              <w:bidi w:val="0"/>
              <w:spacing w:before="0" w:after="283"/>
              <w:jc w:val="left"/>
              <w:rPr/>
            </w:pPr>
            <w:r>
              <w:rPr/>
              <w:t>    </w:t>
            </w:r>
          </w:p>
        </w:tc>
        <w:tc>
          <w:tcPr>
            <w:tcW w:w="2635" w:type="dxa"/>
            <w:tcBorders>
              <w:bottom w:val="single" w:sz="6" w:space="0" w:color="7F7F7F"/>
            </w:tcBorders>
            <w:tcMar>
              <w:bottom w:w="40" w:type="dxa"/>
            </w:tcMar>
            <w:vAlign w:val="center"/>
          </w:tcPr>
          <w:p>
            <w:pPr>
              <w:pStyle w:val="TableContents"/>
              <w:bidi w:val="0"/>
              <w:spacing w:before="0" w:after="283"/>
              <w:jc w:val="center"/>
              <w:rPr>
                <w:color w:val="00AE4F"/>
              </w:rPr>
            </w:pPr>
            <w:r>
              <w:rPr>
                <w:color w:val="00AE4F"/>
              </w:rPr>
              <w:t xml:space="preserve">✓ </w:t>
            </w:r>
            <w:r>
              <w:rPr>
                <w:b/>
                <w:color w:val="00AE4F"/>
              </w:rPr>
              <w:t>FOR</w:t>
            </w:r>
          </w:p>
        </w:tc>
        <w:tc>
          <w:tcPr>
            <w:tcW w:w="120" w:type="dxa"/>
            <w:tcBorders>
              <w:bottom w:val="single" w:sz="6" w:space="0" w:color="7F7F7F"/>
            </w:tcBorders>
            <w:shd w:fill="EDEDED" w:val="clear"/>
            <w:tcMar>
              <w:bottom w:w="28" w:type="dxa"/>
            </w:tcMar>
            <w:vAlign w:val="center"/>
          </w:tcPr>
          <w:p>
            <w:pPr>
              <w:pStyle w:val="TableContents"/>
              <w:bidi w:val="0"/>
              <w:spacing w:before="0" w:after="283"/>
              <w:jc w:val="left"/>
              <w:rPr/>
            </w:pPr>
            <w:r>
              <w:rPr/>
              <w:t>  </w:t>
            </w:r>
          </w:p>
        </w:tc>
        <w:tc>
          <w:tcPr>
            <w:tcW w:w="1177" w:type="dxa"/>
            <w:tcBorders>
              <w:bottom w:val="single" w:sz="6" w:space="0" w:color="7F7F7F"/>
            </w:tcBorders>
            <w:shd w:fill="EDEDED" w:val="clear"/>
            <w:tcMar>
              <w:bottom w:w="40" w:type="dxa"/>
            </w:tcMar>
            <w:vAlign w:val="center"/>
          </w:tcPr>
          <w:p>
            <w:pPr>
              <w:pStyle w:val="TableContents"/>
              <w:bidi w:val="0"/>
              <w:spacing w:before="0" w:after="283"/>
              <w:jc w:val="center"/>
              <w:rPr/>
            </w:pPr>
            <w:r>
              <w:rPr/>
              <w:t>page 79</w:t>
            </w:r>
          </w:p>
        </w:tc>
      </w:tr>
      <w:tr>
        <w:trPr/>
        <w:tc>
          <w:tcPr>
            <w:tcW w:w="472" w:type="dxa"/>
            <w:tcBorders/>
            <w:vAlign w:val="center"/>
          </w:tcPr>
          <w:p>
            <w:pPr>
              <w:pStyle w:val="TableContents"/>
              <w:bidi w:val="0"/>
              <w:spacing w:before="0" w:after="283"/>
              <w:jc w:val="left"/>
              <w:rPr>
                <w:sz w:val="4"/>
                <w:szCs w:val="4"/>
              </w:rPr>
            </w:pPr>
            <w:r>
              <w:rPr>
                <w:sz w:val="4"/>
                <w:szCs w:val="4"/>
              </w:rPr>
            </w:r>
          </w:p>
        </w:tc>
        <w:tc>
          <w:tcPr>
            <w:tcW w:w="5561" w:type="dxa"/>
            <w:gridSpan w:val="2"/>
            <w:tcBorders/>
            <w:vAlign w:val="center"/>
          </w:tcPr>
          <w:p>
            <w:pPr>
              <w:pStyle w:val="TableContents"/>
              <w:bidi w:val="0"/>
              <w:spacing w:before="0" w:after="283"/>
              <w:jc w:val="left"/>
              <w:rPr>
                <w:sz w:val="4"/>
                <w:szCs w:val="4"/>
              </w:rPr>
            </w:pPr>
            <w:r>
              <w:rPr>
                <w:sz w:val="4"/>
                <w:szCs w:val="4"/>
              </w:rPr>
            </w:r>
          </w:p>
        </w:tc>
        <w:tc>
          <w:tcPr>
            <w:tcW w:w="2875" w:type="dxa"/>
            <w:gridSpan w:val="2"/>
            <w:tcBorders/>
            <w:vAlign w:val="center"/>
          </w:tcPr>
          <w:p>
            <w:pPr>
              <w:pStyle w:val="TableContents"/>
              <w:bidi w:val="0"/>
              <w:spacing w:before="0" w:after="283"/>
              <w:jc w:val="left"/>
              <w:rPr>
                <w:sz w:val="4"/>
                <w:szCs w:val="4"/>
              </w:rPr>
            </w:pPr>
            <w:r>
              <w:rPr>
                <w:sz w:val="4"/>
                <w:szCs w:val="4"/>
              </w:rPr>
            </w:r>
          </w:p>
        </w:tc>
        <w:tc>
          <w:tcPr>
            <w:tcW w:w="1297"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472" w:type="dxa"/>
            <w:tcBorders>
              <w:bottom w:val="single" w:sz="6" w:space="0" w:color="7F7F7F"/>
            </w:tcBorders>
            <w:tcMar>
              <w:bottom w:w="40" w:type="dxa"/>
            </w:tcM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279400" cy="267335"/>
                  <wp:effectExtent l="0" t="0" r="0" b="0"/>
                  <wp:docPr id="3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0" descr=""/>
                          <pic:cNvPicPr>
                            <a:picLocks noChangeAspect="1" noChangeArrowheads="1"/>
                          </pic:cNvPicPr>
                        </pic:nvPicPr>
                        <pic:blipFill>
                          <a:blip r:embed="rId23"/>
                          <a:stretch>
                            <a:fillRect/>
                          </a:stretch>
                        </pic:blipFill>
                        <pic:spPr bwMode="auto">
                          <a:xfrm>
                            <a:off x="0" y="0"/>
                            <a:ext cx="279400" cy="26733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5501"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b/>
                <w:sz w:val="18"/>
              </w:rPr>
              <w:t>PROPOSAL 4.</w:t>
            </w:r>
            <w:r>
              <w:rPr>
                <w:rFonts w:ascii="arial" w:hAnsi="arial"/>
                <w:sz w:val="18"/>
              </w:rPr>
              <w:t xml:space="preserve"> Ratification of the appointment of PricewaterhouseCoopers LLP as the Company’s independent registered public accounting firm for the 2026 fiscal year</w:t>
            </w:r>
          </w:p>
        </w:tc>
        <w:tc>
          <w:tcPr>
            <w:tcW w:w="240" w:type="dxa"/>
            <w:tcBorders>
              <w:bottom w:val="single" w:sz="6" w:space="0" w:color="7F7F7F"/>
            </w:tcBorders>
            <w:tcMar>
              <w:bottom w:w="28" w:type="dxa"/>
            </w:tcMar>
            <w:vAlign w:val="center"/>
          </w:tcPr>
          <w:p>
            <w:pPr>
              <w:pStyle w:val="TableContents"/>
              <w:bidi w:val="0"/>
              <w:spacing w:before="0" w:after="283"/>
              <w:jc w:val="left"/>
              <w:rPr/>
            </w:pPr>
            <w:r>
              <w:rPr/>
              <w:t>    </w:t>
            </w:r>
          </w:p>
        </w:tc>
        <w:tc>
          <w:tcPr>
            <w:tcW w:w="2635" w:type="dxa"/>
            <w:tcBorders>
              <w:bottom w:val="single" w:sz="6" w:space="0" w:color="7F7F7F"/>
            </w:tcBorders>
            <w:tcMar>
              <w:bottom w:w="40" w:type="dxa"/>
            </w:tcMar>
            <w:vAlign w:val="center"/>
          </w:tcPr>
          <w:p>
            <w:pPr>
              <w:pStyle w:val="TableContents"/>
              <w:bidi w:val="0"/>
              <w:spacing w:before="0" w:after="283"/>
              <w:jc w:val="center"/>
              <w:rPr>
                <w:color w:val="00AE4F"/>
              </w:rPr>
            </w:pPr>
            <w:r>
              <w:rPr>
                <w:color w:val="00AE4F"/>
              </w:rPr>
              <w:t xml:space="preserve">✓ </w:t>
            </w:r>
            <w:r>
              <w:rPr>
                <w:b/>
                <w:color w:val="00AE4F"/>
              </w:rPr>
              <w:t>FOR</w:t>
            </w:r>
          </w:p>
        </w:tc>
        <w:tc>
          <w:tcPr>
            <w:tcW w:w="120" w:type="dxa"/>
            <w:tcBorders>
              <w:bottom w:val="single" w:sz="6" w:space="0" w:color="7F7F7F"/>
            </w:tcBorders>
            <w:shd w:fill="EDEDED" w:val="clear"/>
            <w:tcMar>
              <w:bottom w:w="28" w:type="dxa"/>
            </w:tcMar>
            <w:vAlign w:val="center"/>
          </w:tcPr>
          <w:p>
            <w:pPr>
              <w:pStyle w:val="TableContents"/>
              <w:bidi w:val="0"/>
              <w:spacing w:before="0" w:after="283"/>
              <w:jc w:val="left"/>
              <w:rPr/>
            </w:pPr>
            <w:r>
              <w:rPr/>
              <w:t>  </w:t>
            </w:r>
          </w:p>
        </w:tc>
        <w:tc>
          <w:tcPr>
            <w:tcW w:w="1177" w:type="dxa"/>
            <w:tcBorders>
              <w:bottom w:val="single" w:sz="6" w:space="0" w:color="7F7F7F"/>
            </w:tcBorders>
            <w:shd w:fill="EDEDED" w:val="clear"/>
            <w:tcMar>
              <w:bottom w:w="40" w:type="dxa"/>
            </w:tcMar>
            <w:vAlign w:val="center"/>
          </w:tcPr>
          <w:p>
            <w:pPr>
              <w:pStyle w:val="TableContents"/>
              <w:bidi w:val="0"/>
              <w:spacing w:before="0" w:after="283"/>
              <w:jc w:val="center"/>
              <w:rPr/>
            </w:pPr>
            <w:r>
              <w:rPr/>
              <w:t>page 82</w:t>
            </w:r>
          </w:p>
        </w:tc>
      </w:tr>
    </w:tbl>
    <w:p>
      <w:pPr>
        <w:pStyle w:val="TextBody"/>
        <w:bidi w:val="0"/>
        <w:spacing w:before="0" w:after="0"/>
        <w:jc w:val="left"/>
        <w:rPr/>
      </w:pPr>
      <w:r>
        <w:rPr/>
        <w:t> </w:t>
      </w:r>
    </w:p>
    <w:tbl>
      <w:tblPr>
        <w:tblW w:w="1744" w:type="dxa"/>
        <w:jc w:val="left"/>
        <w:tblInd w:w="0" w:type="dxa"/>
        <w:tblLayout w:type="fixed"/>
        <w:tblCellMar>
          <w:top w:w="0" w:type="dxa"/>
          <w:left w:w="0" w:type="dxa"/>
          <w:bottom w:w="0" w:type="dxa"/>
          <w:right w:w="0" w:type="dxa"/>
        </w:tblCellMar>
      </w:tblPr>
      <w:tblGrid>
        <w:gridCol w:w="1349"/>
        <w:gridCol w:w="120"/>
        <w:gridCol w:w="60"/>
        <w:gridCol w:w="14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3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1" descr=""/>
                          <pic:cNvPicPr>
                            <a:picLocks noChangeAspect="1" noChangeArrowheads="1"/>
                          </pic:cNvPicPr>
                        </pic:nvPicPr>
                        <pic:blipFill>
                          <a:blip r:embed="rId24"/>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Proxy Summary </w:t>
      </w:r>
    </w:p>
    <w:p>
      <w:pPr>
        <w:pStyle w:val="TextBody"/>
        <w:bidi w:val="0"/>
        <w:spacing w:before="0" w:after="0"/>
        <w:jc w:val="left"/>
        <w:rPr/>
      </w:pPr>
      <w:r>
        <w:rPr/>
        <w:t> </w:t>
      </w:r>
    </w:p>
    <w:p>
      <w:pPr>
        <w:pStyle w:val="TextBody"/>
        <w:bidi w:val="0"/>
        <w:spacing w:before="0" w:after="0"/>
        <w:jc w:val="left"/>
        <w:rPr>
          <w:rFonts w:ascii="arial" w:hAnsi="arial"/>
          <w:b/>
          <w:sz w:val="24"/>
        </w:rPr>
      </w:pPr>
      <w:bookmarkStart w:id="6" w:name="toc37355_4"/>
      <w:bookmarkEnd w:id="6"/>
      <w:r>
        <w:rPr>
          <w:rFonts w:ascii="arial" w:hAnsi="arial"/>
          <w:b/>
          <w:sz w:val="24"/>
        </w:rPr>
        <w:t xml:space="preserve">Director Nominees </w:t>
      </w:r>
    </w:p>
    <w:p>
      <w:pPr>
        <w:pStyle w:val="TextBody"/>
        <w:bidi w:val="0"/>
        <w:spacing w:before="80" w:after="0"/>
        <w:jc w:val="left"/>
        <w:rPr>
          <w:rFonts w:ascii="arial" w:hAnsi="arial"/>
          <w:sz w:val="18"/>
        </w:rPr>
      </w:pPr>
      <w:r>
        <w:rPr>
          <w:rFonts w:ascii="arial" w:hAnsi="arial"/>
          <w:sz w:val="18"/>
        </w:rPr>
        <w:t xml:space="preserve">The following table provides summary information about each director nominee. Each director is elected annually by a plurality vote. </w:t>
      </w:r>
    </w:p>
    <w:p>
      <w:pPr>
        <w:pStyle w:val="TextBody"/>
        <w:bidi w:val="0"/>
        <w:spacing w:before="0" w:after="0"/>
        <w:jc w:val="left"/>
        <w:rPr/>
      </w:pPr>
      <w:r>
        <w:rPr/>
        <w:t> </w:t>
      </w:r>
    </w:p>
    <w:tbl>
      <w:tblPr>
        <w:tblW w:w="8745" w:type="dxa"/>
        <w:jc w:val="left"/>
        <w:tblInd w:w="0" w:type="dxa"/>
        <w:tblLayout w:type="fixed"/>
        <w:tblCellMar>
          <w:top w:w="0" w:type="dxa"/>
          <w:left w:w="0" w:type="dxa"/>
          <w:bottom w:w="0" w:type="dxa"/>
          <w:right w:w="0" w:type="dxa"/>
        </w:tblCellMar>
      </w:tblPr>
      <w:tblGrid>
        <w:gridCol w:w="950"/>
        <w:gridCol w:w="60"/>
        <w:gridCol w:w="2120"/>
        <w:gridCol w:w="60"/>
        <w:gridCol w:w="425"/>
        <w:gridCol w:w="60"/>
        <w:gridCol w:w="875"/>
        <w:gridCol w:w="60"/>
        <w:gridCol w:w="1310"/>
        <w:gridCol w:w="60"/>
        <w:gridCol w:w="2765"/>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3130" w:type="dxa"/>
            <w:gridSpan w:val="3"/>
            <w:tcBorders>
              <w:bottom w:val="single" w:sz="8" w:space="0" w:color="000000"/>
            </w:tcBorders>
            <w:tcMar>
              <w:bottom w:w="80" w:type="dxa"/>
            </w:tcMar>
            <w:vAlign w:val="center"/>
          </w:tcPr>
          <w:p>
            <w:pPr>
              <w:pStyle w:val="TableContents"/>
              <w:bidi w:val="0"/>
              <w:spacing w:before="0" w:after="0"/>
              <w:jc w:val="left"/>
              <w:rPr>
                <w:rFonts w:ascii="arial" w:hAnsi="arial"/>
                <w:b/>
                <w:color w:val="00AE4F"/>
                <w:sz w:val="20"/>
              </w:rPr>
            </w:pPr>
            <w:r>
              <w:rPr>
                <w:rFonts w:ascii="arial" w:hAnsi="arial"/>
                <w:b/>
                <w:color w:val="00AE4F"/>
                <w:sz w:val="20"/>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tcMar>
              <w:bottom w:w="80" w:type="dxa"/>
            </w:tcMar>
            <w:vAlign w:val="center"/>
          </w:tcPr>
          <w:p>
            <w:pPr>
              <w:pStyle w:val="TableContents"/>
              <w:bidi w:val="0"/>
              <w:spacing w:before="0" w:after="283"/>
              <w:jc w:val="center"/>
              <w:rPr>
                <w:b/>
                <w:color w:val="00AE4F"/>
              </w:rPr>
            </w:pPr>
            <w:r>
              <w:rPr>
                <w:b/>
                <w:color w:val="00AE4F"/>
              </w:rPr>
              <w:t>Age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tcMar>
              <w:bottom w:w="80" w:type="dxa"/>
            </w:tcMar>
            <w:vAlign w:val="center"/>
          </w:tcPr>
          <w:p>
            <w:pPr>
              <w:pStyle w:val="TableContents"/>
              <w:bidi w:val="0"/>
              <w:spacing w:before="0" w:after="283"/>
              <w:jc w:val="center"/>
              <w:rPr>
                <w:b/>
                <w:color w:val="00AE4F"/>
              </w:rPr>
            </w:pPr>
            <w:r>
              <w:rPr>
                <w:b/>
                <w:color w:val="00AE4F"/>
              </w:rPr>
              <w:t>Director</w:t>
              <w:br/>
              <w:t>Since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tcMar>
              <w:bottom w:w="80" w:type="dxa"/>
            </w:tcMar>
            <w:vAlign w:val="center"/>
          </w:tcPr>
          <w:p>
            <w:pPr>
              <w:pStyle w:val="TableContents"/>
              <w:bidi w:val="0"/>
              <w:spacing w:before="0" w:after="283"/>
              <w:jc w:val="center"/>
              <w:rPr>
                <w:b/>
                <w:color w:val="00AE4F"/>
              </w:rPr>
            </w:pPr>
            <w:r>
              <w:rPr>
                <w:b/>
                <w:color w:val="00AE4F"/>
              </w:rPr>
              <w:t>Independent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765" w:type="dxa"/>
            <w:tcBorders>
              <w:bottom w:val="single" w:sz="8" w:space="0" w:color="000000"/>
            </w:tcBorders>
            <w:tcMar>
              <w:bottom w:w="80" w:type="dxa"/>
            </w:tcMar>
            <w:vAlign w:val="center"/>
          </w:tcPr>
          <w:p>
            <w:pPr>
              <w:pStyle w:val="TableContents"/>
              <w:bidi w:val="0"/>
              <w:spacing w:before="0" w:after="283"/>
              <w:jc w:val="center"/>
              <w:rPr>
                <w:b/>
                <w:color w:val="00AE4F"/>
              </w:rPr>
            </w:pPr>
            <w:r>
              <w:rPr>
                <w:b/>
                <w:color w:val="00AE4F"/>
              </w:rPr>
              <w:t>Committees</w:t>
            </w:r>
          </w:p>
        </w:tc>
      </w:tr>
      <w:tr>
        <w:trPr/>
        <w:tc>
          <w:tcPr>
            <w:tcW w:w="950" w:type="dxa"/>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2825"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bottom w:val="single" w:sz="6" w:space="0" w:color="7F7F7F"/>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554990" cy="554990"/>
                  <wp:effectExtent l="0" t="0" r="0" b="0"/>
                  <wp:docPr id="3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2" descr=""/>
                          <pic:cNvPicPr>
                            <a:picLocks noChangeAspect="1" noChangeArrowheads="1"/>
                          </pic:cNvPicPr>
                        </pic:nvPicPr>
                        <pic:blipFill>
                          <a:blip r:embed="rId25"/>
                          <a:stretch>
                            <a:fillRect/>
                          </a:stretch>
                        </pic:blipFill>
                        <pic:spPr bwMode="auto">
                          <a:xfrm>
                            <a:off x="0" y="0"/>
                            <a:ext cx="554990" cy="554990"/>
                          </a:xfrm>
                          <a:prstGeom prst="rect">
                            <a:avLst/>
                          </a:prstGeom>
                        </pic:spPr>
                      </pic:pic>
                    </a:graphicData>
                  </a:graphic>
                </wp:inline>
              </w:drawing>
            </w:r>
            <w:r>
              <w:rPr/>
              <w:t xml:space="preserve">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120" w:type="dxa"/>
            <w:tcBorders>
              <w:bottom w:val="single" w:sz="6" w:space="0" w:color="7F7F7F"/>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James Christopher Hunt</w:t>
            </w:r>
          </w:p>
          <w:p>
            <w:pPr>
              <w:pStyle w:val="TableContents"/>
              <w:bidi w:val="0"/>
              <w:spacing w:before="0" w:after="20"/>
              <w:jc w:val="left"/>
              <w:rPr>
                <w:rFonts w:ascii="arial" w:hAnsi="arial"/>
                <w:sz w:val="18"/>
              </w:rPr>
            </w:pPr>
            <w:r>
              <w:rPr>
                <w:rFonts w:ascii="arial" w:hAnsi="arial"/>
                <w:sz w:val="18"/>
              </w:rPr>
              <w:t>Non-Executive</w:t>
              <w:br/>
              <w:t>Chairman of the Board</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425" w:type="dxa"/>
            <w:tcBorders>
              <w:bottom w:val="single" w:sz="6" w:space="0" w:color="7F7F7F"/>
            </w:tcBorders>
            <w:tcMar>
              <w:bottom w:w="80" w:type="dxa"/>
            </w:tcMar>
            <w:vAlign w:val="center"/>
          </w:tcPr>
          <w:p>
            <w:pPr>
              <w:pStyle w:val="TableContents"/>
              <w:bidi w:val="0"/>
              <w:spacing w:before="0" w:after="283"/>
              <w:jc w:val="center"/>
              <w:rPr>
                <w:sz w:val="18"/>
              </w:rPr>
            </w:pPr>
            <w:r>
              <w:rPr>
                <w:sz w:val="18"/>
              </w:rPr>
              <w:t>55</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875" w:type="dxa"/>
            <w:tcBorders>
              <w:bottom w:val="single" w:sz="6" w:space="0" w:color="7F7F7F"/>
            </w:tcBorders>
            <w:tcMar>
              <w:bottom w:w="80" w:type="dxa"/>
            </w:tcMar>
            <w:vAlign w:val="center"/>
          </w:tcPr>
          <w:p>
            <w:pPr>
              <w:pStyle w:val="TableContents"/>
              <w:bidi w:val="0"/>
              <w:spacing w:before="0" w:after="283"/>
              <w:jc w:val="center"/>
              <w:rPr>
                <w:sz w:val="18"/>
              </w:rPr>
            </w:pPr>
            <w:r>
              <w:rPr>
                <w:sz w:val="18"/>
              </w:rPr>
              <w:t>2026</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31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765" w:type="dxa"/>
            <w:tcBorders>
              <w:bottom w:val="single" w:sz="6" w:space="0" w:color="7F7F7F"/>
            </w:tcBorders>
            <w:tcMar>
              <w:bottom w:w="80" w:type="dxa"/>
            </w:tcMar>
            <w:vAlign w:val="center"/>
          </w:tcPr>
          <w:p>
            <w:pPr>
              <w:pStyle w:val="TableContents"/>
              <w:bidi w:val="0"/>
              <w:spacing w:before="0" w:after="0"/>
              <w:jc w:val="center"/>
              <w:rPr>
                <w:rFonts w:ascii="arial" w:hAnsi="arial"/>
                <w:sz w:val="17"/>
              </w:rPr>
            </w:pPr>
            <w:r>
              <w:rPr>
                <w:rFonts w:ascii="arial" w:hAnsi="arial"/>
                <w:sz w:val="17"/>
              </w:rPr>
              <w:t>Compensation and Talent</w:t>
            </w:r>
          </w:p>
          <w:p>
            <w:pPr>
              <w:pStyle w:val="TableContents"/>
              <w:bidi w:val="0"/>
              <w:spacing w:before="0" w:after="0"/>
              <w:jc w:val="center"/>
              <w:rPr>
                <w:rFonts w:ascii="arial" w:hAnsi="arial"/>
                <w:sz w:val="17"/>
              </w:rPr>
            </w:pPr>
            <w:r>
              <w:rPr>
                <w:rFonts w:ascii="arial" w:hAnsi="arial"/>
                <w:sz w:val="17"/>
              </w:rPr>
              <w:t>Management, Corporate Governance</w:t>
            </w:r>
          </w:p>
          <w:p>
            <w:pPr>
              <w:pStyle w:val="TableContents"/>
              <w:bidi w:val="0"/>
              <w:spacing w:before="0" w:after="20"/>
              <w:jc w:val="center"/>
              <w:rPr>
                <w:rFonts w:ascii="arial" w:hAnsi="arial"/>
                <w:sz w:val="17"/>
              </w:rPr>
            </w:pPr>
            <w:r>
              <w:rPr>
                <w:rFonts w:ascii="arial" w:hAnsi="arial"/>
                <w:sz w:val="17"/>
              </w:rPr>
              <w:t xml:space="preserve">and Nominating </w:t>
            </w:r>
            <w:r>
              <w:rPr>
                <w:rFonts w:ascii="arial" w:hAnsi="arial"/>
                <w:b/>
                <w:sz w:val="17"/>
              </w:rPr>
              <w:t>(Chair)</w:t>
            </w:r>
          </w:p>
        </w:tc>
      </w:tr>
      <w:tr>
        <w:trPr/>
        <w:tc>
          <w:tcPr>
            <w:tcW w:w="950" w:type="dxa"/>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2825"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bottom w:val="single" w:sz="6" w:space="0" w:color="7F7F7F"/>
            </w:tcBorders>
            <w:tcMar>
              <w:bottom w:w="8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554990" cy="554990"/>
                  <wp:effectExtent l="0" t="0" r="0" b="0"/>
                  <wp:docPr id="3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3" descr=""/>
                          <pic:cNvPicPr>
                            <a:picLocks noChangeAspect="1" noChangeArrowheads="1"/>
                          </pic:cNvPicPr>
                        </pic:nvPicPr>
                        <pic:blipFill>
                          <a:blip r:embed="rId26"/>
                          <a:stretch>
                            <a:fillRect/>
                          </a:stretch>
                        </pic:blipFill>
                        <pic:spPr bwMode="auto">
                          <a:xfrm>
                            <a:off x="0" y="0"/>
                            <a:ext cx="554990" cy="554990"/>
                          </a:xfrm>
                          <a:prstGeom prst="rect">
                            <a:avLst/>
                          </a:prstGeom>
                        </pic:spPr>
                      </pic:pic>
                    </a:graphicData>
                  </a:graphic>
                </wp:inline>
              </w:drawing>
            </w:r>
            <w:r>
              <w:rPr/>
              <w:t xml:space="preserve">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120" w:type="dxa"/>
            <w:tcBorders>
              <w:bottom w:val="single" w:sz="6" w:space="0" w:color="7F7F7F"/>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Christopher D. Layden</w:t>
            </w:r>
          </w:p>
          <w:p>
            <w:pPr>
              <w:pStyle w:val="TableContents"/>
              <w:bidi w:val="0"/>
              <w:spacing w:before="0" w:after="20"/>
              <w:jc w:val="left"/>
              <w:rPr>
                <w:rFonts w:ascii="arial" w:hAnsi="arial"/>
                <w:sz w:val="18"/>
              </w:rPr>
            </w:pPr>
            <w:r>
              <w:rPr>
                <w:rFonts w:ascii="arial" w:hAnsi="arial"/>
                <w:sz w:val="18"/>
              </w:rPr>
              <w:t>President and Chief</w:t>
              <w:br/>
              <w:t>Executive Officer (“CEO”)</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425" w:type="dxa"/>
            <w:tcBorders>
              <w:bottom w:val="single" w:sz="6" w:space="0" w:color="7F7F7F"/>
            </w:tcBorders>
            <w:tcMar>
              <w:bottom w:w="80" w:type="dxa"/>
            </w:tcMar>
            <w:vAlign w:val="center"/>
          </w:tcPr>
          <w:p>
            <w:pPr>
              <w:pStyle w:val="TableContents"/>
              <w:bidi w:val="0"/>
              <w:spacing w:before="0" w:after="283"/>
              <w:jc w:val="center"/>
              <w:rPr>
                <w:sz w:val="18"/>
              </w:rPr>
            </w:pPr>
            <w:r>
              <w:rPr>
                <w:sz w:val="18"/>
              </w:rPr>
              <w:t>42</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875" w:type="dxa"/>
            <w:tcBorders>
              <w:bottom w:val="single" w:sz="6" w:space="0" w:color="7F7F7F"/>
            </w:tcBorders>
            <w:tcMar>
              <w:bottom w:w="80" w:type="dxa"/>
            </w:tcMar>
            <w:vAlign w:val="center"/>
          </w:tcPr>
          <w:p>
            <w:pPr>
              <w:pStyle w:val="TableContents"/>
              <w:bidi w:val="0"/>
              <w:spacing w:before="0" w:after="283"/>
              <w:jc w:val="center"/>
              <w:rPr>
                <w:sz w:val="18"/>
              </w:rPr>
            </w:pPr>
            <w:r>
              <w:rPr>
                <w:sz w:val="18"/>
              </w:rPr>
              <w:t>2025</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31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765" w:type="dxa"/>
            <w:tcBorders>
              <w:bottom w:val="single" w:sz="6" w:space="0" w:color="7F7F7F"/>
            </w:tcBorders>
            <w:tcMar>
              <w:bottom w:w="28" w:type="dxa"/>
            </w:tcMar>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2825"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bottom w:val="single" w:sz="6" w:space="0" w:color="7F7F7F"/>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554990" cy="554990"/>
                  <wp:effectExtent l="0" t="0" r="0" b="0"/>
                  <wp:docPr id="3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4" descr=""/>
                          <pic:cNvPicPr>
                            <a:picLocks noChangeAspect="1" noChangeArrowheads="1"/>
                          </pic:cNvPicPr>
                        </pic:nvPicPr>
                        <pic:blipFill>
                          <a:blip r:embed="rId27"/>
                          <a:stretch>
                            <a:fillRect/>
                          </a:stretch>
                        </pic:blipFill>
                        <pic:spPr bwMode="auto">
                          <a:xfrm>
                            <a:off x="0" y="0"/>
                            <a:ext cx="554990" cy="554990"/>
                          </a:xfrm>
                          <a:prstGeom prst="rect">
                            <a:avLst/>
                          </a:prstGeom>
                        </pic:spPr>
                      </pic:pic>
                    </a:graphicData>
                  </a:graphic>
                </wp:inline>
              </w:drawing>
            </w:r>
            <w:r>
              <w:rPr/>
              <w:t xml:space="preserve">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120" w:type="dxa"/>
            <w:tcBorders>
              <w:bottom w:val="single" w:sz="6" w:space="0" w:color="7F7F7F"/>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Angela Brock-Kyle</w:t>
            </w:r>
          </w:p>
          <w:p>
            <w:pPr>
              <w:pStyle w:val="TableContents"/>
              <w:bidi w:val="0"/>
              <w:spacing w:before="0" w:after="20"/>
              <w:jc w:val="left"/>
              <w:rPr>
                <w:rFonts w:ascii="arial" w:hAnsi="arial"/>
                <w:sz w:val="18"/>
              </w:rPr>
            </w:pPr>
            <w:r>
              <w:rPr>
                <w:rFonts w:ascii="arial" w:hAnsi="arial"/>
                <w:sz w:val="18"/>
              </w:rPr>
              <w:t>Director</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425" w:type="dxa"/>
            <w:tcBorders>
              <w:bottom w:val="single" w:sz="6" w:space="0" w:color="7F7F7F"/>
            </w:tcBorders>
            <w:tcMar>
              <w:bottom w:w="80" w:type="dxa"/>
            </w:tcMar>
            <w:vAlign w:val="center"/>
          </w:tcPr>
          <w:p>
            <w:pPr>
              <w:pStyle w:val="TableContents"/>
              <w:bidi w:val="0"/>
              <w:spacing w:before="0" w:after="283"/>
              <w:jc w:val="center"/>
              <w:rPr>
                <w:sz w:val="18"/>
              </w:rPr>
            </w:pPr>
            <w:r>
              <w:rPr>
                <w:sz w:val="18"/>
              </w:rPr>
              <w:t>66</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875" w:type="dxa"/>
            <w:tcBorders>
              <w:bottom w:val="single" w:sz="6" w:space="0" w:color="7F7F7F"/>
            </w:tcBorders>
            <w:tcMar>
              <w:bottom w:w="80" w:type="dxa"/>
            </w:tcMar>
            <w:vAlign w:val="center"/>
          </w:tcPr>
          <w:p>
            <w:pPr>
              <w:pStyle w:val="TableContents"/>
              <w:bidi w:val="0"/>
              <w:spacing w:before="0" w:after="283"/>
              <w:jc w:val="center"/>
              <w:rPr>
                <w:sz w:val="18"/>
              </w:rPr>
            </w:pPr>
            <w:r>
              <w:rPr>
                <w:sz w:val="18"/>
              </w:rPr>
              <w:t>2026</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310"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765" w:type="dxa"/>
            <w:tcBorders>
              <w:bottom w:val="single" w:sz="6" w:space="0" w:color="7F7F7F"/>
            </w:tcBorders>
            <w:tcMar>
              <w:bottom w:w="80" w:type="dxa"/>
            </w:tcMar>
            <w:vAlign w:val="center"/>
          </w:tcPr>
          <w:p>
            <w:pPr>
              <w:pStyle w:val="TableContents"/>
              <w:bidi w:val="0"/>
              <w:spacing w:before="0" w:after="0"/>
              <w:jc w:val="center"/>
              <w:rPr>
                <w:rFonts w:ascii="arial" w:hAnsi="arial"/>
                <w:sz w:val="17"/>
              </w:rPr>
            </w:pPr>
            <w:r>
              <w:rPr>
                <w:rFonts w:ascii="arial" w:hAnsi="arial"/>
                <w:sz w:val="17"/>
              </w:rPr>
              <w:t>Corporate Governance</w:t>
            </w:r>
          </w:p>
          <w:p>
            <w:pPr>
              <w:pStyle w:val="TableContents"/>
              <w:bidi w:val="0"/>
              <w:spacing w:before="0" w:after="20"/>
              <w:jc w:val="center"/>
              <w:rPr>
                <w:rFonts w:ascii="arial" w:hAnsi="arial"/>
                <w:sz w:val="17"/>
              </w:rPr>
            </w:pPr>
            <w:r>
              <w:rPr>
                <w:rFonts w:ascii="arial" w:hAnsi="arial"/>
                <w:sz w:val="17"/>
              </w:rPr>
              <w:t>and Nominating</w:t>
            </w:r>
          </w:p>
        </w:tc>
      </w:tr>
      <w:tr>
        <w:trPr/>
        <w:tc>
          <w:tcPr>
            <w:tcW w:w="950" w:type="dxa"/>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2825"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bottom w:val="single" w:sz="6" w:space="0" w:color="7F7F7F"/>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554990" cy="554990"/>
                  <wp:effectExtent l="0" t="0" r="0" b="0"/>
                  <wp:docPr id="3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5" descr=""/>
                          <pic:cNvPicPr>
                            <a:picLocks noChangeAspect="1" noChangeArrowheads="1"/>
                          </pic:cNvPicPr>
                        </pic:nvPicPr>
                        <pic:blipFill>
                          <a:blip r:embed="rId28"/>
                          <a:stretch>
                            <a:fillRect/>
                          </a:stretch>
                        </pic:blipFill>
                        <pic:spPr bwMode="auto">
                          <a:xfrm>
                            <a:off x="0" y="0"/>
                            <a:ext cx="554990" cy="554990"/>
                          </a:xfrm>
                          <a:prstGeom prst="rect">
                            <a:avLst/>
                          </a:prstGeom>
                        </pic:spPr>
                      </pic:pic>
                    </a:graphicData>
                  </a:graphic>
                </wp:inline>
              </w:drawing>
            </w:r>
            <w:r>
              <w:rPr/>
              <w:t xml:space="preserve">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120" w:type="dxa"/>
            <w:tcBorders>
              <w:bottom w:val="single" w:sz="6" w:space="0" w:color="7F7F7F"/>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Robert S. Cubbin</w:t>
            </w:r>
          </w:p>
          <w:p>
            <w:pPr>
              <w:pStyle w:val="TableContents"/>
              <w:bidi w:val="0"/>
              <w:spacing w:before="0" w:after="20"/>
              <w:jc w:val="left"/>
              <w:rPr>
                <w:rFonts w:ascii="arial" w:hAnsi="arial"/>
                <w:sz w:val="18"/>
              </w:rPr>
            </w:pPr>
            <w:r>
              <w:rPr>
                <w:rFonts w:ascii="arial" w:hAnsi="arial"/>
                <w:sz w:val="18"/>
              </w:rPr>
              <w:t>Director</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425" w:type="dxa"/>
            <w:tcBorders>
              <w:bottom w:val="single" w:sz="6" w:space="0" w:color="7F7F7F"/>
            </w:tcBorders>
            <w:tcMar>
              <w:bottom w:w="80" w:type="dxa"/>
            </w:tcMar>
            <w:vAlign w:val="center"/>
          </w:tcPr>
          <w:p>
            <w:pPr>
              <w:pStyle w:val="TableContents"/>
              <w:bidi w:val="0"/>
              <w:spacing w:before="0" w:after="283"/>
              <w:jc w:val="center"/>
              <w:rPr>
                <w:sz w:val="18"/>
              </w:rPr>
            </w:pPr>
            <w:r>
              <w:rPr>
                <w:sz w:val="18"/>
              </w:rPr>
              <w:t>68</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875" w:type="dxa"/>
            <w:tcBorders>
              <w:bottom w:val="single" w:sz="6" w:space="0" w:color="7F7F7F"/>
            </w:tcBorders>
            <w:tcMar>
              <w:bottom w:w="80" w:type="dxa"/>
            </w:tcMar>
            <w:vAlign w:val="center"/>
          </w:tcPr>
          <w:p>
            <w:pPr>
              <w:pStyle w:val="TableContents"/>
              <w:bidi w:val="0"/>
              <w:spacing w:before="0" w:after="283"/>
              <w:jc w:val="center"/>
              <w:rPr>
                <w:sz w:val="18"/>
              </w:rPr>
            </w:pPr>
            <w:r>
              <w:rPr>
                <w:sz w:val="18"/>
              </w:rPr>
              <w:t>2014</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310"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765" w:type="dxa"/>
            <w:tcBorders>
              <w:bottom w:val="single" w:sz="6" w:space="0" w:color="7F7F7F"/>
            </w:tcBorders>
            <w:tcMar>
              <w:bottom w:w="80" w:type="dxa"/>
            </w:tcMar>
            <w:vAlign w:val="center"/>
          </w:tcPr>
          <w:p>
            <w:pPr>
              <w:pStyle w:val="TableContents"/>
              <w:bidi w:val="0"/>
              <w:spacing w:before="0" w:after="0"/>
              <w:jc w:val="center"/>
              <w:rPr>
                <w:rFonts w:ascii="arial" w:hAnsi="arial"/>
                <w:sz w:val="17"/>
              </w:rPr>
            </w:pPr>
            <w:r>
              <w:rPr>
                <w:rFonts w:ascii="arial" w:hAnsi="arial"/>
                <w:sz w:val="17"/>
              </w:rPr>
              <w:t>Audit, Compensation, and Talent</w:t>
            </w:r>
          </w:p>
          <w:p>
            <w:pPr>
              <w:pStyle w:val="TableContents"/>
              <w:bidi w:val="0"/>
              <w:spacing w:before="0" w:after="20"/>
              <w:jc w:val="center"/>
              <w:rPr>
                <w:rFonts w:ascii="arial" w:hAnsi="arial"/>
                <w:sz w:val="17"/>
              </w:rPr>
            </w:pPr>
            <w:r>
              <w:rPr>
                <w:rFonts w:ascii="arial" w:hAnsi="arial"/>
                <w:sz w:val="17"/>
              </w:rPr>
              <w:t xml:space="preserve">Management </w:t>
            </w:r>
            <w:r>
              <w:rPr>
                <w:rFonts w:ascii="arial" w:hAnsi="arial"/>
                <w:b/>
                <w:sz w:val="17"/>
              </w:rPr>
              <w:t>(Chair)</w:t>
            </w:r>
          </w:p>
        </w:tc>
      </w:tr>
      <w:tr>
        <w:trPr/>
        <w:tc>
          <w:tcPr>
            <w:tcW w:w="950" w:type="dxa"/>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2825"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bottom w:val="single" w:sz="6" w:space="0" w:color="7F7F7F"/>
            </w:tcBorders>
            <w:tcMar>
              <w:bottom w:w="8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554990" cy="554990"/>
                  <wp:effectExtent l="0" t="0" r="0" b="0"/>
                  <wp:docPr id="3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6" descr=""/>
                          <pic:cNvPicPr>
                            <a:picLocks noChangeAspect="1" noChangeArrowheads="1"/>
                          </pic:cNvPicPr>
                        </pic:nvPicPr>
                        <pic:blipFill>
                          <a:blip r:embed="rId29"/>
                          <a:stretch>
                            <a:fillRect/>
                          </a:stretch>
                        </pic:blipFill>
                        <pic:spPr bwMode="auto">
                          <a:xfrm>
                            <a:off x="0" y="0"/>
                            <a:ext cx="554990" cy="554990"/>
                          </a:xfrm>
                          <a:prstGeom prst="rect">
                            <a:avLst/>
                          </a:prstGeom>
                        </pic:spPr>
                      </pic:pic>
                    </a:graphicData>
                  </a:graphic>
                </wp:inline>
              </w:drawing>
            </w:r>
            <w:r>
              <w:rPr/>
              <w:t xml:space="preserve">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120" w:type="dxa"/>
            <w:tcBorders>
              <w:bottom w:val="single" w:sz="6" w:space="0" w:color="7F7F7F"/>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Amala Duggirala</w:t>
            </w:r>
          </w:p>
          <w:p>
            <w:pPr>
              <w:pStyle w:val="TableContents"/>
              <w:bidi w:val="0"/>
              <w:spacing w:before="0" w:after="20"/>
              <w:jc w:val="left"/>
              <w:rPr>
                <w:rFonts w:ascii="arial" w:hAnsi="arial"/>
                <w:sz w:val="18"/>
              </w:rPr>
            </w:pPr>
            <w:r>
              <w:rPr>
                <w:rFonts w:ascii="arial" w:hAnsi="arial"/>
                <w:sz w:val="18"/>
              </w:rPr>
              <w:t>Director</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425" w:type="dxa"/>
            <w:tcBorders>
              <w:bottom w:val="single" w:sz="6" w:space="0" w:color="7F7F7F"/>
            </w:tcBorders>
            <w:tcMar>
              <w:bottom w:w="80" w:type="dxa"/>
            </w:tcMar>
            <w:vAlign w:val="center"/>
          </w:tcPr>
          <w:p>
            <w:pPr>
              <w:pStyle w:val="TableContents"/>
              <w:bidi w:val="0"/>
              <w:spacing w:before="0" w:after="283"/>
              <w:jc w:val="center"/>
              <w:rPr>
                <w:sz w:val="18"/>
              </w:rPr>
            </w:pPr>
            <w:r>
              <w:rPr>
                <w:sz w:val="18"/>
              </w:rPr>
              <w:t>51</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875" w:type="dxa"/>
            <w:tcBorders>
              <w:bottom w:val="single" w:sz="6" w:space="0" w:color="7F7F7F"/>
            </w:tcBorders>
            <w:tcMar>
              <w:bottom w:w="80" w:type="dxa"/>
            </w:tcMar>
            <w:vAlign w:val="center"/>
          </w:tcPr>
          <w:p>
            <w:pPr>
              <w:pStyle w:val="TableContents"/>
              <w:bidi w:val="0"/>
              <w:spacing w:before="0" w:after="283"/>
              <w:jc w:val="center"/>
              <w:rPr>
                <w:sz w:val="18"/>
              </w:rPr>
            </w:pPr>
            <w:r>
              <w:rPr>
                <w:sz w:val="18"/>
              </w:rPr>
              <w:t>2022</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310"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765" w:type="dxa"/>
            <w:tcBorders>
              <w:bottom w:val="single" w:sz="6" w:space="0" w:color="7F7F7F"/>
            </w:tcBorders>
            <w:tcMar>
              <w:bottom w:w="80" w:type="dxa"/>
            </w:tcMar>
            <w:vAlign w:val="center"/>
          </w:tcPr>
          <w:p>
            <w:pPr>
              <w:pStyle w:val="TableContents"/>
              <w:bidi w:val="0"/>
              <w:spacing w:before="0" w:after="283"/>
              <w:jc w:val="center"/>
              <w:rPr/>
            </w:pPr>
            <w:r>
              <w:rPr/>
              <w:t>Audit</w:t>
            </w:r>
          </w:p>
        </w:tc>
      </w:tr>
      <w:tr>
        <w:trPr/>
        <w:tc>
          <w:tcPr>
            <w:tcW w:w="950" w:type="dxa"/>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2825"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bottom w:val="single" w:sz="6" w:space="0" w:color="7F7F7F"/>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554990" cy="554990"/>
                  <wp:effectExtent l="0" t="0" r="0" b="0"/>
                  <wp:docPr id="3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7" descr=""/>
                          <pic:cNvPicPr>
                            <a:picLocks noChangeAspect="1" noChangeArrowheads="1"/>
                          </pic:cNvPicPr>
                        </pic:nvPicPr>
                        <pic:blipFill>
                          <a:blip r:embed="rId30"/>
                          <a:stretch>
                            <a:fillRect/>
                          </a:stretch>
                        </pic:blipFill>
                        <pic:spPr bwMode="auto">
                          <a:xfrm>
                            <a:off x="0" y="0"/>
                            <a:ext cx="554990" cy="554990"/>
                          </a:xfrm>
                          <a:prstGeom prst="rect">
                            <a:avLst/>
                          </a:prstGeom>
                        </pic:spPr>
                      </pic:pic>
                    </a:graphicData>
                  </a:graphic>
                </wp:inline>
              </w:drawing>
            </w:r>
            <w:r>
              <w:rPr/>
              <w:t xml:space="preserve">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120" w:type="dxa"/>
            <w:tcBorders>
              <w:bottom w:val="single" w:sz="6" w:space="0" w:color="7F7F7F"/>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Edward Escudero</w:t>
            </w:r>
          </w:p>
          <w:p>
            <w:pPr>
              <w:pStyle w:val="TableContents"/>
              <w:bidi w:val="0"/>
              <w:spacing w:before="0" w:after="20"/>
              <w:jc w:val="left"/>
              <w:rPr>
                <w:rFonts w:ascii="arial" w:hAnsi="arial"/>
                <w:sz w:val="18"/>
              </w:rPr>
            </w:pPr>
            <w:r>
              <w:rPr>
                <w:rFonts w:ascii="arial" w:hAnsi="arial"/>
                <w:sz w:val="18"/>
              </w:rPr>
              <w:t>Director</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425" w:type="dxa"/>
            <w:tcBorders>
              <w:bottom w:val="single" w:sz="6" w:space="0" w:color="7F7F7F"/>
            </w:tcBorders>
            <w:tcMar>
              <w:bottom w:w="80" w:type="dxa"/>
            </w:tcMar>
            <w:vAlign w:val="center"/>
          </w:tcPr>
          <w:p>
            <w:pPr>
              <w:pStyle w:val="TableContents"/>
              <w:bidi w:val="0"/>
              <w:spacing w:before="0" w:after="283"/>
              <w:jc w:val="center"/>
              <w:rPr>
                <w:sz w:val="18"/>
              </w:rPr>
            </w:pPr>
            <w:r>
              <w:rPr>
                <w:sz w:val="18"/>
              </w:rPr>
              <w:t>55</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875" w:type="dxa"/>
            <w:tcBorders>
              <w:bottom w:val="single" w:sz="6" w:space="0" w:color="7F7F7F"/>
            </w:tcBorders>
            <w:tcMar>
              <w:bottom w:w="80" w:type="dxa"/>
            </w:tcMar>
            <w:vAlign w:val="center"/>
          </w:tcPr>
          <w:p>
            <w:pPr>
              <w:pStyle w:val="TableContents"/>
              <w:bidi w:val="0"/>
              <w:spacing w:before="0" w:after="283"/>
              <w:jc w:val="center"/>
              <w:rPr>
                <w:sz w:val="18"/>
              </w:rPr>
            </w:pPr>
            <w:r>
              <w:rPr>
                <w:sz w:val="18"/>
              </w:rPr>
              <w:t>2026</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310"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765" w:type="dxa"/>
            <w:tcBorders>
              <w:bottom w:val="single" w:sz="6" w:space="0" w:color="7F7F7F"/>
            </w:tcBorders>
            <w:tcMar>
              <w:bottom w:w="80" w:type="dxa"/>
            </w:tcMar>
            <w:vAlign w:val="center"/>
          </w:tcPr>
          <w:p>
            <w:pPr>
              <w:pStyle w:val="TableContents"/>
              <w:bidi w:val="0"/>
              <w:spacing w:before="0" w:after="0"/>
              <w:jc w:val="center"/>
              <w:rPr>
                <w:rFonts w:ascii="arial" w:hAnsi="arial"/>
                <w:sz w:val="17"/>
              </w:rPr>
            </w:pPr>
            <w:r>
              <w:rPr>
                <w:rFonts w:ascii="arial" w:hAnsi="arial"/>
                <w:sz w:val="17"/>
              </w:rPr>
              <w:t>Compensation and Talent</w:t>
            </w:r>
          </w:p>
          <w:p>
            <w:pPr>
              <w:pStyle w:val="TableContents"/>
              <w:bidi w:val="0"/>
              <w:spacing w:before="0" w:after="20"/>
              <w:jc w:val="center"/>
              <w:rPr>
                <w:rFonts w:ascii="arial" w:hAnsi="arial"/>
                <w:sz w:val="17"/>
              </w:rPr>
            </w:pPr>
            <w:r>
              <w:rPr>
                <w:rFonts w:ascii="arial" w:hAnsi="arial"/>
                <w:sz w:val="17"/>
              </w:rPr>
              <w:t>Management</w:t>
            </w:r>
          </w:p>
        </w:tc>
      </w:tr>
      <w:tr>
        <w:trPr/>
        <w:tc>
          <w:tcPr>
            <w:tcW w:w="950" w:type="dxa"/>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2825"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bottom w:val="single" w:sz="6" w:space="0" w:color="7F7F7F"/>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554990" cy="554990"/>
                  <wp:effectExtent l="0" t="0" r="0" b="0"/>
                  <wp:docPr id="3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8" descr=""/>
                          <pic:cNvPicPr>
                            <a:picLocks noChangeAspect="1" noChangeArrowheads="1"/>
                          </pic:cNvPicPr>
                        </pic:nvPicPr>
                        <pic:blipFill>
                          <a:blip r:embed="rId31"/>
                          <a:stretch>
                            <a:fillRect/>
                          </a:stretch>
                        </pic:blipFill>
                        <pic:spPr bwMode="auto">
                          <a:xfrm>
                            <a:off x="0" y="0"/>
                            <a:ext cx="554990" cy="554990"/>
                          </a:xfrm>
                          <a:prstGeom prst="rect">
                            <a:avLst/>
                          </a:prstGeom>
                        </pic:spPr>
                      </pic:pic>
                    </a:graphicData>
                  </a:graphic>
                </wp:inline>
              </w:drawing>
            </w:r>
            <w:r>
              <w:rPr/>
              <w:t xml:space="preserve">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120" w:type="dxa"/>
            <w:tcBorders>
              <w:bottom w:val="single" w:sz="6" w:space="0" w:color="7F7F7F"/>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James K. Hunt</w:t>
            </w:r>
          </w:p>
          <w:p>
            <w:pPr>
              <w:pStyle w:val="TableContents"/>
              <w:bidi w:val="0"/>
              <w:spacing w:before="0" w:after="20"/>
              <w:jc w:val="left"/>
              <w:rPr>
                <w:rFonts w:ascii="arial" w:hAnsi="arial"/>
                <w:sz w:val="18"/>
              </w:rPr>
            </w:pPr>
            <w:r>
              <w:rPr>
                <w:rFonts w:ascii="arial" w:hAnsi="arial"/>
                <w:sz w:val="18"/>
              </w:rPr>
              <w:t>Director</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425" w:type="dxa"/>
            <w:tcBorders>
              <w:bottom w:val="single" w:sz="6" w:space="0" w:color="7F7F7F"/>
            </w:tcBorders>
            <w:tcMar>
              <w:bottom w:w="80" w:type="dxa"/>
            </w:tcMar>
            <w:vAlign w:val="center"/>
          </w:tcPr>
          <w:p>
            <w:pPr>
              <w:pStyle w:val="TableContents"/>
              <w:bidi w:val="0"/>
              <w:spacing w:before="0" w:after="283"/>
              <w:jc w:val="center"/>
              <w:rPr>
                <w:sz w:val="18"/>
              </w:rPr>
            </w:pPr>
            <w:r>
              <w:rPr>
                <w:sz w:val="18"/>
              </w:rPr>
              <w:t>74</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875" w:type="dxa"/>
            <w:tcBorders>
              <w:bottom w:val="single" w:sz="6" w:space="0" w:color="7F7F7F"/>
            </w:tcBorders>
            <w:tcMar>
              <w:bottom w:w="80" w:type="dxa"/>
            </w:tcMar>
            <w:vAlign w:val="center"/>
          </w:tcPr>
          <w:p>
            <w:pPr>
              <w:pStyle w:val="TableContents"/>
              <w:bidi w:val="0"/>
              <w:spacing w:before="0" w:after="283"/>
              <w:jc w:val="center"/>
              <w:rPr>
                <w:sz w:val="18"/>
              </w:rPr>
            </w:pPr>
            <w:r>
              <w:rPr>
                <w:sz w:val="18"/>
              </w:rPr>
              <w:t>2026</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310"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765" w:type="dxa"/>
            <w:tcBorders>
              <w:bottom w:val="single" w:sz="6" w:space="0" w:color="7F7F7F"/>
            </w:tcBorders>
            <w:tcMar>
              <w:bottom w:w="80" w:type="dxa"/>
            </w:tcMar>
            <w:vAlign w:val="center"/>
          </w:tcPr>
          <w:p>
            <w:pPr>
              <w:pStyle w:val="TableContents"/>
              <w:bidi w:val="0"/>
              <w:spacing w:before="0" w:after="0"/>
              <w:jc w:val="center"/>
              <w:rPr>
                <w:rFonts w:ascii="arial" w:hAnsi="arial"/>
                <w:sz w:val="17"/>
              </w:rPr>
            </w:pPr>
            <w:r>
              <w:rPr>
                <w:rFonts w:ascii="arial" w:hAnsi="arial"/>
                <w:sz w:val="17"/>
              </w:rPr>
              <w:t>Lead Director</w:t>
              <w:br/>
              <w:t>Corporate Governance</w:t>
            </w:r>
          </w:p>
          <w:p>
            <w:pPr>
              <w:pStyle w:val="TableContents"/>
              <w:bidi w:val="0"/>
              <w:spacing w:before="0" w:after="20"/>
              <w:jc w:val="center"/>
              <w:rPr>
                <w:rFonts w:ascii="arial" w:hAnsi="arial"/>
                <w:sz w:val="17"/>
              </w:rPr>
            </w:pPr>
            <w:r>
              <w:rPr>
                <w:rFonts w:ascii="arial" w:hAnsi="arial"/>
                <w:sz w:val="17"/>
              </w:rPr>
              <w:t>and Nominating</w:t>
            </w:r>
          </w:p>
        </w:tc>
      </w:tr>
      <w:tr>
        <w:trPr/>
        <w:tc>
          <w:tcPr>
            <w:tcW w:w="950" w:type="dxa"/>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2825"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bottom w:val="single" w:sz="6" w:space="0" w:color="7F7F7F"/>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554990" cy="554990"/>
                  <wp:effectExtent l="0" t="0" r="0" b="0"/>
                  <wp:docPr id="3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9" descr=""/>
                          <pic:cNvPicPr>
                            <a:picLocks noChangeAspect="1" noChangeArrowheads="1"/>
                          </pic:cNvPicPr>
                        </pic:nvPicPr>
                        <pic:blipFill>
                          <a:blip r:embed="rId32"/>
                          <a:stretch>
                            <a:fillRect/>
                          </a:stretch>
                        </pic:blipFill>
                        <pic:spPr bwMode="auto">
                          <a:xfrm>
                            <a:off x="0" y="0"/>
                            <a:ext cx="554990" cy="554990"/>
                          </a:xfrm>
                          <a:prstGeom prst="rect">
                            <a:avLst/>
                          </a:prstGeom>
                        </pic:spPr>
                      </pic:pic>
                    </a:graphicData>
                  </a:graphic>
                </wp:inline>
              </w:drawing>
            </w:r>
            <w:r>
              <w:rPr/>
              <w:t xml:space="preserve">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120" w:type="dxa"/>
            <w:tcBorders>
              <w:bottom w:val="single" w:sz="6" w:space="0" w:color="7F7F7F"/>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Ryan B. McCrory</w:t>
            </w:r>
          </w:p>
          <w:p>
            <w:pPr>
              <w:pStyle w:val="TableContents"/>
              <w:bidi w:val="0"/>
              <w:spacing w:before="0" w:after="20"/>
              <w:jc w:val="left"/>
              <w:rPr>
                <w:rFonts w:ascii="arial" w:hAnsi="arial"/>
                <w:sz w:val="18"/>
              </w:rPr>
            </w:pPr>
            <w:r>
              <w:rPr>
                <w:rFonts w:ascii="arial" w:hAnsi="arial"/>
                <w:sz w:val="18"/>
              </w:rPr>
              <w:t>Director</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425" w:type="dxa"/>
            <w:tcBorders>
              <w:bottom w:val="single" w:sz="6" w:space="0" w:color="7F7F7F"/>
            </w:tcBorders>
            <w:tcMar>
              <w:bottom w:w="80" w:type="dxa"/>
            </w:tcMar>
            <w:vAlign w:val="center"/>
          </w:tcPr>
          <w:p>
            <w:pPr>
              <w:pStyle w:val="TableContents"/>
              <w:bidi w:val="0"/>
              <w:spacing w:before="0" w:after="283"/>
              <w:jc w:val="center"/>
              <w:rPr>
                <w:sz w:val="18"/>
              </w:rPr>
            </w:pPr>
            <w:r>
              <w:rPr>
                <w:sz w:val="18"/>
              </w:rPr>
              <w:t>38</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875" w:type="dxa"/>
            <w:tcBorders>
              <w:bottom w:val="single" w:sz="6" w:space="0" w:color="7F7F7F"/>
            </w:tcBorders>
            <w:tcMar>
              <w:bottom w:w="80" w:type="dxa"/>
            </w:tcMar>
            <w:vAlign w:val="center"/>
          </w:tcPr>
          <w:p>
            <w:pPr>
              <w:pStyle w:val="TableContents"/>
              <w:bidi w:val="0"/>
              <w:spacing w:before="0" w:after="283"/>
              <w:jc w:val="center"/>
              <w:rPr>
                <w:sz w:val="18"/>
              </w:rPr>
            </w:pPr>
            <w:r>
              <w:rPr>
                <w:sz w:val="18"/>
              </w:rPr>
              <w:t>2026</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31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765" w:type="dxa"/>
            <w:tcBorders>
              <w:bottom w:val="single" w:sz="6" w:space="0" w:color="7F7F7F"/>
            </w:tcBorders>
            <w:tcMar>
              <w:bottom w:w="28" w:type="dxa"/>
            </w:tcMar>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2825"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bottom w:val="single" w:sz="6" w:space="0" w:color="7F7F7F"/>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554990" cy="554990"/>
                  <wp:effectExtent l="0" t="0" r="0" b="0"/>
                  <wp:docPr id="4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0" descr=""/>
                          <pic:cNvPicPr>
                            <a:picLocks noChangeAspect="1" noChangeArrowheads="1"/>
                          </pic:cNvPicPr>
                        </pic:nvPicPr>
                        <pic:blipFill>
                          <a:blip r:embed="rId33"/>
                          <a:stretch>
                            <a:fillRect/>
                          </a:stretch>
                        </pic:blipFill>
                        <pic:spPr bwMode="auto">
                          <a:xfrm>
                            <a:off x="0" y="0"/>
                            <a:ext cx="554990" cy="554990"/>
                          </a:xfrm>
                          <a:prstGeom prst="rect">
                            <a:avLst/>
                          </a:prstGeom>
                        </pic:spPr>
                      </pic:pic>
                    </a:graphicData>
                  </a:graphic>
                </wp:inline>
              </w:drawing>
            </w:r>
            <w:r>
              <w:rPr/>
              <w:t xml:space="preserve">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120" w:type="dxa"/>
            <w:tcBorders>
              <w:bottom w:val="single" w:sz="6" w:space="0" w:color="7F7F7F"/>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Leslie A. Murphy</w:t>
            </w:r>
          </w:p>
          <w:p>
            <w:pPr>
              <w:pStyle w:val="TableContents"/>
              <w:bidi w:val="0"/>
              <w:spacing w:before="0" w:after="20"/>
              <w:jc w:val="left"/>
              <w:rPr>
                <w:rFonts w:ascii="arial" w:hAnsi="arial"/>
                <w:sz w:val="18"/>
              </w:rPr>
            </w:pPr>
            <w:r>
              <w:rPr>
                <w:rFonts w:ascii="arial" w:hAnsi="arial"/>
                <w:sz w:val="18"/>
              </w:rPr>
              <w:t>Director</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425" w:type="dxa"/>
            <w:tcBorders>
              <w:bottom w:val="single" w:sz="6" w:space="0" w:color="7F7F7F"/>
            </w:tcBorders>
            <w:tcMar>
              <w:bottom w:w="80" w:type="dxa"/>
            </w:tcMar>
            <w:vAlign w:val="center"/>
          </w:tcPr>
          <w:p>
            <w:pPr>
              <w:pStyle w:val="TableContents"/>
              <w:bidi w:val="0"/>
              <w:spacing w:before="0" w:after="283"/>
              <w:jc w:val="center"/>
              <w:rPr>
                <w:sz w:val="18"/>
              </w:rPr>
            </w:pPr>
            <w:r>
              <w:rPr>
                <w:sz w:val="18"/>
              </w:rPr>
              <w:t>74</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875" w:type="dxa"/>
            <w:tcBorders>
              <w:bottom w:val="single" w:sz="6" w:space="0" w:color="7F7F7F"/>
            </w:tcBorders>
            <w:tcMar>
              <w:bottom w:w="80" w:type="dxa"/>
            </w:tcMar>
            <w:vAlign w:val="center"/>
          </w:tcPr>
          <w:p>
            <w:pPr>
              <w:pStyle w:val="TableContents"/>
              <w:bidi w:val="0"/>
              <w:spacing w:before="0" w:after="283"/>
              <w:jc w:val="center"/>
              <w:rPr>
                <w:sz w:val="18"/>
              </w:rPr>
            </w:pPr>
            <w:r>
              <w:rPr>
                <w:sz w:val="18"/>
              </w:rPr>
              <w:t>2008</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310"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765" w:type="dxa"/>
            <w:tcBorders>
              <w:bottom w:val="single" w:sz="6" w:space="0" w:color="7F7F7F"/>
            </w:tcBorders>
            <w:tcMar>
              <w:bottom w:w="80" w:type="dxa"/>
            </w:tcMar>
            <w:vAlign w:val="center"/>
          </w:tcPr>
          <w:p>
            <w:pPr>
              <w:pStyle w:val="TableContents"/>
              <w:bidi w:val="0"/>
              <w:spacing w:before="0" w:after="283"/>
              <w:jc w:val="center"/>
              <w:rPr/>
            </w:pPr>
            <w:r>
              <w:rPr/>
              <w:t xml:space="preserve">Audit </w:t>
            </w:r>
            <w:r>
              <w:rPr>
                <w:b/>
              </w:rPr>
              <w:t>(Chair)</w:t>
            </w:r>
          </w:p>
        </w:tc>
      </w:tr>
      <w:tr>
        <w:trPr/>
        <w:tc>
          <w:tcPr>
            <w:tcW w:w="950" w:type="dxa"/>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2825"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bottom w:val="single" w:sz="6" w:space="0" w:color="7F7F7F"/>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554990" cy="554990"/>
                  <wp:effectExtent l="0" t="0" r="0" b="0"/>
                  <wp:docPr id="4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1" descr=""/>
                          <pic:cNvPicPr>
                            <a:picLocks noChangeAspect="1" noChangeArrowheads="1"/>
                          </pic:cNvPicPr>
                        </pic:nvPicPr>
                        <pic:blipFill>
                          <a:blip r:embed="rId34"/>
                          <a:stretch>
                            <a:fillRect/>
                          </a:stretch>
                        </pic:blipFill>
                        <pic:spPr bwMode="auto">
                          <a:xfrm>
                            <a:off x="0" y="0"/>
                            <a:ext cx="554990" cy="554990"/>
                          </a:xfrm>
                          <a:prstGeom prst="rect">
                            <a:avLst/>
                          </a:prstGeom>
                        </pic:spPr>
                      </pic:pic>
                    </a:graphicData>
                  </a:graphic>
                </wp:inline>
              </w:drawing>
            </w:r>
            <w:r>
              <w:rPr/>
              <w:t xml:space="preserve">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120" w:type="dxa"/>
            <w:tcBorders>
              <w:bottom w:val="single" w:sz="6" w:space="0" w:color="7F7F7F"/>
            </w:tcBorders>
            <w:tcMar>
              <w:bottom w:w="80" w:type="dxa"/>
            </w:tcMar>
            <w:vAlign w:val="center"/>
          </w:tcPr>
          <w:p>
            <w:pPr>
              <w:pStyle w:val="TableContents"/>
              <w:bidi w:val="0"/>
              <w:spacing w:before="0" w:after="283"/>
              <w:jc w:val="left"/>
              <w:rPr>
                <w:b/>
                <w:sz w:val="18"/>
              </w:rPr>
            </w:pPr>
            <w:r>
              <w:rPr>
                <w:b/>
                <w:sz w:val="18"/>
              </w:rPr>
              <w:t>Michael J. Wartell</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425" w:type="dxa"/>
            <w:tcBorders>
              <w:bottom w:val="single" w:sz="6" w:space="0" w:color="7F7F7F"/>
            </w:tcBorders>
            <w:tcMar>
              <w:bottom w:w="80" w:type="dxa"/>
            </w:tcMar>
            <w:vAlign w:val="center"/>
          </w:tcPr>
          <w:p>
            <w:pPr>
              <w:pStyle w:val="TableContents"/>
              <w:bidi w:val="0"/>
              <w:spacing w:before="0" w:after="283"/>
              <w:jc w:val="center"/>
              <w:rPr>
                <w:sz w:val="18"/>
              </w:rPr>
            </w:pPr>
            <w:r>
              <w:rPr>
                <w:sz w:val="18"/>
              </w:rPr>
              <w:t>57</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875" w:type="dxa"/>
            <w:tcBorders>
              <w:bottom w:val="single" w:sz="6" w:space="0" w:color="7F7F7F"/>
            </w:tcBorders>
            <w:tcMar>
              <w:bottom w:w="80" w:type="dxa"/>
            </w:tcMar>
            <w:vAlign w:val="center"/>
          </w:tcPr>
          <w:p>
            <w:pPr>
              <w:pStyle w:val="TableContents"/>
              <w:bidi w:val="0"/>
              <w:spacing w:before="0" w:after="283"/>
              <w:jc w:val="center"/>
              <w:rPr>
                <w:sz w:val="18"/>
              </w:rPr>
            </w:pPr>
            <w:r>
              <w:rPr>
                <w:sz w:val="18"/>
              </w:rPr>
              <w:t>2026</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310"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765" w:type="dxa"/>
            <w:tcBorders>
              <w:bottom w:val="single" w:sz="6" w:space="0" w:color="7F7F7F"/>
            </w:tcBorders>
            <w:tcMar>
              <w:bottom w:w="28" w:type="dxa"/>
            </w:tcMar>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2825"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bottom w:val="single" w:sz="6" w:space="0" w:color="7F7F7F"/>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555625" cy="555625"/>
                  <wp:effectExtent l="0" t="0" r="0" b="0"/>
                  <wp:docPr id="4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2" descr=""/>
                          <pic:cNvPicPr>
                            <a:picLocks noChangeAspect="1" noChangeArrowheads="1"/>
                          </pic:cNvPicPr>
                        </pic:nvPicPr>
                        <pic:blipFill>
                          <a:blip r:embed="rId35"/>
                          <a:stretch>
                            <a:fillRect/>
                          </a:stretch>
                        </pic:blipFill>
                        <pic:spPr bwMode="auto">
                          <a:xfrm>
                            <a:off x="0" y="0"/>
                            <a:ext cx="555625" cy="555625"/>
                          </a:xfrm>
                          <a:prstGeom prst="rect">
                            <a:avLst/>
                          </a:prstGeom>
                        </pic:spPr>
                      </pic:pic>
                    </a:graphicData>
                  </a:graphic>
                </wp:inline>
              </w:drawing>
            </w:r>
            <w:r>
              <w:rPr/>
              <w:t xml:space="preserve">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120" w:type="dxa"/>
            <w:tcBorders>
              <w:bottom w:val="single" w:sz="6" w:space="0" w:color="7F7F7F"/>
            </w:tcBorders>
            <w:tcMar>
              <w:bottom w:w="80" w:type="dxa"/>
            </w:tcMar>
            <w:vAlign w:val="center"/>
          </w:tcPr>
          <w:p>
            <w:pPr>
              <w:pStyle w:val="TableContents"/>
              <w:bidi w:val="0"/>
              <w:spacing w:before="0" w:after="283"/>
              <w:jc w:val="left"/>
              <w:rPr>
                <w:b/>
                <w:sz w:val="18"/>
              </w:rPr>
            </w:pPr>
            <w:r>
              <w:rPr>
                <w:b/>
                <w:sz w:val="18"/>
              </w:rPr>
              <w:t>George Young III</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425" w:type="dxa"/>
            <w:tcBorders>
              <w:bottom w:val="single" w:sz="6" w:space="0" w:color="7F7F7F"/>
            </w:tcBorders>
            <w:tcMar>
              <w:bottom w:w="80" w:type="dxa"/>
            </w:tcMar>
            <w:vAlign w:val="center"/>
          </w:tcPr>
          <w:p>
            <w:pPr>
              <w:pStyle w:val="TableContents"/>
              <w:bidi w:val="0"/>
              <w:spacing w:before="0" w:after="283"/>
              <w:jc w:val="center"/>
              <w:rPr>
                <w:sz w:val="18"/>
              </w:rPr>
            </w:pPr>
            <w:r>
              <w:rPr>
                <w:sz w:val="18"/>
              </w:rPr>
              <w:t>67</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875" w:type="dxa"/>
            <w:tcBorders>
              <w:bottom w:val="single" w:sz="6" w:space="0" w:color="7F7F7F"/>
            </w:tcBorders>
            <w:tcMar>
              <w:bottom w:w="80" w:type="dxa"/>
            </w:tcMar>
            <w:vAlign w:val="center"/>
          </w:tcPr>
          <w:p>
            <w:pPr>
              <w:pStyle w:val="TableContents"/>
              <w:bidi w:val="0"/>
              <w:spacing w:before="0" w:after="283"/>
              <w:jc w:val="center"/>
              <w:rPr>
                <w:sz w:val="18"/>
              </w:rPr>
            </w:pPr>
            <w:r>
              <w:rPr>
                <w:sz w:val="18"/>
              </w:rPr>
              <w:t>2026</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310"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765" w:type="dxa"/>
            <w:tcBorders>
              <w:bottom w:val="single" w:sz="6" w:space="0" w:color="7F7F7F"/>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924" w:type="dxa"/>
        <w:jc w:val="left"/>
        <w:tblInd w:w="0" w:type="dxa"/>
        <w:tblLayout w:type="fixed"/>
        <w:tblCellMar>
          <w:top w:w="0" w:type="dxa"/>
          <w:left w:w="0" w:type="dxa"/>
          <w:bottom w:w="0" w:type="dxa"/>
          <w:right w:w="0" w:type="dxa"/>
        </w:tblCellMar>
      </w:tblPr>
      <w:tblGrid>
        <w:gridCol w:w="75"/>
        <w:gridCol w:w="38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6 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4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3" descr=""/>
                          <pic:cNvPicPr>
                            <a:picLocks noChangeAspect="1" noChangeArrowheads="1"/>
                          </pic:cNvPicPr>
                        </pic:nvPicPr>
                        <pic:blipFill>
                          <a:blip r:embed="rId36"/>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Proxy Summary </w:t>
      </w:r>
    </w:p>
    <w:p>
      <w:pPr>
        <w:pStyle w:val="TextBody"/>
        <w:bidi w:val="0"/>
        <w:spacing w:before="0" w:after="0"/>
        <w:jc w:val="left"/>
        <w:rPr/>
      </w:pPr>
      <w:r>
        <w:rPr/>
        <w:t> </w:t>
      </w:r>
    </w:p>
    <w:p>
      <w:pPr>
        <w:pStyle w:val="TextBody"/>
        <w:bidi w:val="0"/>
        <w:spacing w:before="0" w:after="0"/>
        <w:jc w:val="left"/>
        <w:rPr>
          <w:rFonts w:ascii="arial" w:hAnsi="arial"/>
          <w:b/>
          <w:sz w:val="24"/>
        </w:rPr>
      </w:pPr>
      <w:bookmarkStart w:id="7" w:name="toc37355_5"/>
      <w:bookmarkEnd w:id="7"/>
      <w:r>
        <w:rPr>
          <w:rFonts w:ascii="arial" w:hAnsi="arial"/>
          <w:b/>
          <w:sz w:val="24"/>
        </w:rPr>
        <w:t xml:space="preserve">Corporate Governance Highlights </w:t>
      </w:r>
    </w:p>
    <w:p>
      <w:pPr>
        <w:pStyle w:val="TextBody"/>
        <w:bidi w:val="0"/>
        <w:spacing w:before="80" w:after="0"/>
        <w:jc w:val="left"/>
        <w:rPr>
          <w:rFonts w:ascii="arial" w:hAnsi="arial"/>
          <w:sz w:val="18"/>
        </w:rPr>
      </w:pPr>
      <w:r>
        <w:rPr>
          <w:rFonts w:ascii="arial" w:hAnsi="arial"/>
          <w:sz w:val="18"/>
        </w:rPr>
        <w:t xml:space="preserve">Kelly is committed to sound corporate governance as a means of enhancing long-term shareholder value. The following table summarizes certain of our governance practices and processes.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09"/>
        <w:gridCol w:w="120"/>
        <w:gridCol w:w="2491"/>
        <w:gridCol w:w="120"/>
        <w:gridCol w:w="2665"/>
      </w:tblGrid>
      <w:tr>
        <w:trPr/>
        <w:tc>
          <w:tcPr>
            <w:tcW w:w="48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r>
      <w:tr>
        <w:trPr/>
        <w:tc>
          <w:tcPr>
            <w:tcW w:w="4809"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Independence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491"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Accountability</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665"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Best Practices</w:t>
            </w:r>
          </w:p>
        </w:tc>
      </w:tr>
      <w:tr>
        <w:trPr/>
        <w:tc>
          <w:tcPr>
            <w:tcW w:w="4809" w:type="dxa"/>
            <w:tcBorders/>
            <w:vAlign w:val="center"/>
          </w:tcPr>
          <w:p>
            <w:pPr>
              <w:pStyle w:val="TableContents"/>
              <w:bidi w:val="0"/>
              <w:spacing w:before="0" w:after="283"/>
              <w:jc w:val="left"/>
              <w:rPr>
                <w:sz w:val="4"/>
                <w:szCs w:val="4"/>
              </w:rPr>
            </w:pPr>
            <w:r>
              <w:rPr>
                <w:sz w:val="4"/>
                <w:szCs w:val="4"/>
              </w:rPr>
            </w:r>
          </w:p>
        </w:tc>
        <w:tc>
          <w:tcPr>
            <w:tcW w:w="2611" w:type="dxa"/>
            <w:gridSpan w:val="2"/>
            <w:tcBorders/>
            <w:vAlign w:val="center"/>
          </w:tcPr>
          <w:p>
            <w:pPr>
              <w:pStyle w:val="TableContents"/>
              <w:bidi w:val="0"/>
              <w:spacing w:before="0" w:after="283"/>
              <w:jc w:val="left"/>
              <w:rPr>
                <w:sz w:val="4"/>
                <w:szCs w:val="4"/>
              </w:rPr>
            </w:pPr>
            <w:r>
              <w:rPr>
                <w:sz w:val="4"/>
                <w:szCs w:val="4"/>
              </w:rPr>
            </w:r>
          </w:p>
        </w:tc>
        <w:tc>
          <w:tcPr>
            <w:tcW w:w="2785" w:type="dxa"/>
            <w:gridSpan w:val="2"/>
            <w:tcBorders/>
            <w:vAlign w:val="center"/>
          </w:tcPr>
          <w:p>
            <w:pPr>
              <w:pStyle w:val="TableContents"/>
              <w:bidi w:val="0"/>
              <w:spacing w:before="0" w:after="283"/>
              <w:jc w:val="left"/>
              <w:rPr>
                <w:sz w:val="4"/>
                <w:szCs w:val="4"/>
              </w:rPr>
            </w:pPr>
            <w:r>
              <w:rPr>
                <w:sz w:val="4"/>
                <w:szCs w:val="4"/>
              </w:rPr>
            </w:r>
          </w:p>
        </w:tc>
      </w:tr>
      <w:tr>
        <w:trPr/>
        <w:tc>
          <w:tcPr>
            <w:tcW w:w="4809" w:type="dxa"/>
            <w:tcBorders>
              <w:bottom w:val="single" w:sz="6" w:space="0" w:color="7F7F7F"/>
            </w:tcBorders>
            <w:tcMar>
              <w:bottom w:w="8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Majority independent Board (88%), including independent Chairman of the Board, through January 30, 2026 and Lead Director and Chairman thereafter</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491" w:type="dxa"/>
            <w:tcBorders>
              <w:bottom w:val="single" w:sz="6" w:space="0" w:color="7F7F7F"/>
            </w:tcBorders>
            <w:tcMar>
              <w:bottom w:w="8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Annual election of all directors, including the Chairman of the Board</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665" w:type="dxa"/>
            <w:tcBorders>
              <w:bottom w:val="single" w:sz="6" w:space="0" w:color="7F7F7F"/>
            </w:tcBorders>
            <w:tcMar>
              <w:bottom w:w="8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Robust director selection process resulting in a diverse Board relative to gender, race, ethnicity, experience, and skills</w:t>
            </w:r>
          </w:p>
        </w:tc>
      </w:tr>
      <w:tr>
        <w:trPr/>
        <w:tc>
          <w:tcPr>
            <w:tcW w:w="4809" w:type="dxa"/>
            <w:tcBorders/>
            <w:vAlign w:val="center"/>
          </w:tcPr>
          <w:p>
            <w:pPr>
              <w:pStyle w:val="TableContents"/>
              <w:bidi w:val="0"/>
              <w:spacing w:before="0" w:after="283"/>
              <w:jc w:val="left"/>
              <w:rPr>
                <w:sz w:val="4"/>
                <w:szCs w:val="4"/>
              </w:rPr>
            </w:pPr>
            <w:r>
              <w:rPr>
                <w:sz w:val="4"/>
                <w:szCs w:val="4"/>
              </w:rPr>
            </w:r>
          </w:p>
        </w:tc>
        <w:tc>
          <w:tcPr>
            <w:tcW w:w="2611" w:type="dxa"/>
            <w:gridSpan w:val="2"/>
            <w:tcBorders/>
            <w:vAlign w:val="center"/>
          </w:tcPr>
          <w:p>
            <w:pPr>
              <w:pStyle w:val="TableContents"/>
              <w:bidi w:val="0"/>
              <w:spacing w:before="0" w:after="283"/>
              <w:jc w:val="left"/>
              <w:rPr>
                <w:sz w:val="4"/>
                <w:szCs w:val="4"/>
              </w:rPr>
            </w:pPr>
            <w:r>
              <w:rPr>
                <w:sz w:val="4"/>
                <w:szCs w:val="4"/>
              </w:rPr>
            </w:r>
          </w:p>
        </w:tc>
        <w:tc>
          <w:tcPr>
            <w:tcW w:w="2785" w:type="dxa"/>
            <w:gridSpan w:val="2"/>
            <w:tcBorders/>
            <w:vAlign w:val="center"/>
          </w:tcPr>
          <w:p>
            <w:pPr>
              <w:pStyle w:val="TableContents"/>
              <w:bidi w:val="0"/>
              <w:spacing w:before="0" w:after="283"/>
              <w:jc w:val="left"/>
              <w:rPr>
                <w:sz w:val="4"/>
                <w:szCs w:val="4"/>
              </w:rPr>
            </w:pPr>
            <w:r>
              <w:rPr>
                <w:sz w:val="4"/>
                <w:szCs w:val="4"/>
              </w:rPr>
            </w:r>
          </w:p>
        </w:tc>
      </w:tr>
      <w:tr>
        <w:trPr/>
        <w:tc>
          <w:tcPr>
            <w:tcW w:w="4809" w:type="dxa"/>
            <w:tcBorders>
              <w:bottom w:val="single" w:sz="6" w:space="0" w:color="7F7F7F"/>
            </w:tcBorders>
            <w:tcMar>
              <w:bottom w:w="8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100% Independent Board Committees, through January 30, 2026. Controlled company exception exercised for Compensation and Talent Management and Corporate Governance and Nominating Committees thereafter</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491" w:type="dxa"/>
            <w:tcBorders>
              <w:bottom w:val="single" w:sz="6" w:space="0" w:color="7F7F7F"/>
            </w:tcBorders>
            <w:tcMar>
              <w:bottom w:w="8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Strong oversight of strategic planning, objectives, and financial performance, including a dedicated annual Board meeting focused on strategic planning</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665" w:type="dxa"/>
            <w:tcBorders>
              <w:bottom w:val="single" w:sz="6" w:space="0" w:color="7F7F7F"/>
            </w:tcBorders>
            <w:tcMar>
              <w:bottom w:w="8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Board attendance of 98.4% during 2025</w:t>
            </w:r>
          </w:p>
        </w:tc>
      </w:tr>
      <w:tr>
        <w:trPr/>
        <w:tc>
          <w:tcPr>
            <w:tcW w:w="4809" w:type="dxa"/>
            <w:tcBorders/>
            <w:vAlign w:val="center"/>
          </w:tcPr>
          <w:p>
            <w:pPr>
              <w:pStyle w:val="TableContents"/>
              <w:bidi w:val="0"/>
              <w:spacing w:before="0" w:after="283"/>
              <w:jc w:val="left"/>
              <w:rPr>
                <w:sz w:val="4"/>
                <w:szCs w:val="4"/>
              </w:rPr>
            </w:pPr>
            <w:r>
              <w:rPr>
                <w:sz w:val="4"/>
                <w:szCs w:val="4"/>
              </w:rPr>
            </w:r>
          </w:p>
        </w:tc>
        <w:tc>
          <w:tcPr>
            <w:tcW w:w="2611" w:type="dxa"/>
            <w:gridSpan w:val="2"/>
            <w:tcBorders/>
            <w:vAlign w:val="center"/>
          </w:tcPr>
          <w:p>
            <w:pPr>
              <w:pStyle w:val="TableContents"/>
              <w:bidi w:val="0"/>
              <w:spacing w:before="0" w:after="283"/>
              <w:jc w:val="left"/>
              <w:rPr>
                <w:sz w:val="4"/>
                <w:szCs w:val="4"/>
              </w:rPr>
            </w:pPr>
            <w:r>
              <w:rPr>
                <w:sz w:val="4"/>
                <w:szCs w:val="4"/>
              </w:rPr>
            </w:r>
          </w:p>
        </w:tc>
        <w:tc>
          <w:tcPr>
            <w:tcW w:w="2785" w:type="dxa"/>
            <w:gridSpan w:val="2"/>
            <w:tcBorders/>
            <w:vAlign w:val="center"/>
          </w:tcPr>
          <w:p>
            <w:pPr>
              <w:pStyle w:val="TableContents"/>
              <w:bidi w:val="0"/>
              <w:spacing w:before="0" w:after="283"/>
              <w:jc w:val="left"/>
              <w:rPr>
                <w:sz w:val="4"/>
                <w:szCs w:val="4"/>
              </w:rPr>
            </w:pPr>
            <w:r>
              <w:rPr>
                <w:sz w:val="4"/>
                <w:szCs w:val="4"/>
              </w:rPr>
            </w:r>
          </w:p>
        </w:tc>
      </w:tr>
      <w:tr>
        <w:trPr/>
        <w:tc>
          <w:tcPr>
            <w:tcW w:w="4809" w:type="dxa"/>
            <w:tcBorders>
              <w:bottom w:val="single" w:sz="6" w:space="0" w:color="7F7F7F"/>
            </w:tcBorders>
            <w:tcMar>
              <w:bottom w:w="8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Diverse and highly skilled Board that provides a range of viewpoints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491" w:type="dxa"/>
            <w:tcBorders>
              <w:bottom w:val="single" w:sz="6" w:space="0" w:color="7F7F7F"/>
            </w:tcBorders>
            <w:tcMar>
              <w:bottom w:w="8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Annual evaluation of the CEO (including compensation) by independent directors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665" w:type="dxa"/>
            <w:tcBorders>
              <w:bottom w:val="single" w:sz="6" w:space="0" w:color="7F7F7F"/>
            </w:tcBorders>
            <w:tcMar>
              <w:bottom w:w="8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Strong oversight of the integrity of the Company’s financial statements, as well as cybersecurity, AI and Enterprise Risk Management (“ERM”) by the Board and Audit Committee</w:t>
            </w:r>
          </w:p>
        </w:tc>
      </w:tr>
      <w:tr>
        <w:trPr/>
        <w:tc>
          <w:tcPr>
            <w:tcW w:w="4809" w:type="dxa"/>
            <w:tcBorders/>
            <w:vAlign w:val="center"/>
          </w:tcPr>
          <w:p>
            <w:pPr>
              <w:pStyle w:val="TableContents"/>
              <w:bidi w:val="0"/>
              <w:spacing w:before="0" w:after="283"/>
              <w:jc w:val="left"/>
              <w:rPr>
                <w:sz w:val="4"/>
                <w:szCs w:val="4"/>
              </w:rPr>
            </w:pPr>
            <w:r>
              <w:rPr>
                <w:sz w:val="4"/>
                <w:szCs w:val="4"/>
              </w:rPr>
            </w:r>
          </w:p>
        </w:tc>
        <w:tc>
          <w:tcPr>
            <w:tcW w:w="2611" w:type="dxa"/>
            <w:gridSpan w:val="2"/>
            <w:tcBorders/>
            <w:vAlign w:val="center"/>
          </w:tcPr>
          <w:p>
            <w:pPr>
              <w:pStyle w:val="TableContents"/>
              <w:bidi w:val="0"/>
              <w:spacing w:before="0" w:after="283"/>
              <w:jc w:val="left"/>
              <w:rPr>
                <w:sz w:val="4"/>
                <w:szCs w:val="4"/>
              </w:rPr>
            </w:pPr>
            <w:r>
              <w:rPr>
                <w:sz w:val="4"/>
                <w:szCs w:val="4"/>
              </w:rPr>
            </w:r>
          </w:p>
        </w:tc>
        <w:tc>
          <w:tcPr>
            <w:tcW w:w="2785" w:type="dxa"/>
            <w:gridSpan w:val="2"/>
            <w:tcBorders/>
            <w:vAlign w:val="center"/>
          </w:tcPr>
          <w:p>
            <w:pPr>
              <w:pStyle w:val="TableContents"/>
              <w:bidi w:val="0"/>
              <w:spacing w:before="0" w:after="283"/>
              <w:jc w:val="left"/>
              <w:rPr>
                <w:sz w:val="4"/>
                <w:szCs w:val="4"/>
              </w:rPr>
            </w:pPr>
            <w:r>
              <w:rPr>
                <w:sz w:val="4"/>
                <w:szCs w:val="4"/>
              </w:rPr>
            </w:r>
          </w:p>
        </w:tc>
      </w:tr>
      <w:tr>
        <w:trPr/>
        <w:tc>
          <w:tcPr>
            <w:tcW w:w="4809" w:type="dxa"/>
            <w:tcBorders>
              <w:bottom w:val="single" w:sz="6" w:space="0" w:color="7F7F7F"/>
            </w:tcBorders>
            <w:tcMar>
              <w:bottom w:w="8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Frequent executive sessions where independent directors meet without management and non-independent directors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491" w:type="dxa"/>
            <w:tcBorders>
              <w:bottom w:val="single" w:sz="6" w:space="0" w:color="7F7F7F"/>
            </w:tcBorders>
            <w:tcMar>
              <w:bottom w:w="8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Annual Board and Committee self-evaluations and bi-annual peer review</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665" w:type="dxa"/>
            <w:tcBorders>
              <w:bottom w:val="single" w:sz="6" w:space="0" w:color="7F7F7F"/>
            </w:tcBorders>
            <w:tcMar>
              <w:bottom w:w="8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CEO and executive leadership succession planning and annual talent review of key and rising talent by the Board and Compensation and Talent Management Committee</w:t>
            </w:r>
          </w:p>
        </w:tc>
      </w:tr>
      <w:tr>
        <w:trPr/>
        <w:tc>
          <w:tcPr>
            <w:tcW w:w="4809" w:type="dxa"/>
            <w:tcBorders/>
            <w:vAlign w:val="center"/>
          </w:tcPr>
          <w:p>
            <w:pPr>
              <w:pStyle w:val="TableContents"/>
              <w:bidi w:val="0"/>
              <w:spacing w:before="0" w:after="283"/>
              <w:jc w:val="left"/>
              <w:rPr>
                <w:sz w:val="4"/>
                <w:szCs w:val="4"/>
              </w:rPr>
            </w:pPr>
            <w:r>
              <w:rPr>
                <w:sz w:val="4"/>
                <w:szCs w:val="4"/>
              </w:rPr>
            </w:r>
          </w:p>
        </w:tc>
        <w:tc>
          <w:tcPr>
            <w:tcW w:w="2611" w:type="dxa"/>
            <w:gridSpan w:val="2"/>
            <w:tcBorders/>
            <w:vAlign w:val="center"/>
          </w:tcPr>
          <w:p>
            <w:pPr>
              <w:pStyle w:val="TableContents"/>
              <w:bidi w:val="0"/>
              <w:spacing w:before="0" w:after="283"/>
              <w:jc w:val="left"/>
              <w:rPr>
                <w:sz w:val="4"/>
                <w:szCs w:val="4"/>
              </w:rPr>
            </w:pPr>
            <w:r>
              <w:rPr>
                <w:sz w:val="4"/>
                <w:szCs w:val="4"/>
              </w:rPr>
            </w:r>
          </w:p>
        </w:tc>
        <w:tc>
          <w:tcPr>
            <w:tcW w:w="2785" w:type="dxa"/>
            <w:gridSpan w:val="2"/>
            <w:tcBorders/>
            <w:vAlign w:val="center"/>
          </w:tcPr>
          <w:p>
            <w:pPr>
              <w:pStyle w:val="TableContents"/>
              <w:bidi w:val="0"/>
              <w:spacing w:before="0" w:after="283"/>
              <w:jc w:val="left"/>
              <w:rPr>
                <w:sz w:val="4"/>
                <w:szCs w:val="4"/>
              </w:rPr>
            </w:pPr>
            <w:r>
              <w:rPr>
                <w:sz w:val="4"/>
                <w:szCs w:val="4"/>
              </w:rPr>
            </w:r>
          </w:p>
        </w:tc>
      </w:tr>
      <w:tr>
        <w:trPr/>
        <w:tc>
          <w:tcPr>
            <w:tcW w:w="4809" w:type="dxa"/>
            <w:tcBorders>
              <w:bottom w:val="single" w:sz="6" w:space="0" w:color="7F7F7F"/>
            </w:tcBorders>
            <w:tcMar>
              <w:bottom w:w="8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access to internal and external experts and advisors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491" w:type="dxa"/>
            <w:tcBorders>
              <w:bottom w:val="single" w:sz="6" w:space="0" w:color="7F7F7F"/>
            </w:tcBorders>
            <w:tcMar>
              <w:bottom w:w="8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Annual review of corporate governance documents to align with best practices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665" w:type="dxa"/>
            <w:tcBorders>
              <w:bottom w:val="single" w:sz="6" w:space="0" w:color="7F7F7F"/>
            </w:tcBorders>
            <w:tcMar>
              <w:bottom w:w="8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Policies prohibiting short-sales, hedging, pledging, and margin accounts</w:t>
            </w:r>
          </w:p>
        </w:tc>
      </w:tr>
      <w:tr>
        <w:trPr/>
        <w:tc>
          <w:tcPr>
            <w:tcW w:w="4809" w:type="dxa"/>
            <w:tcBorders/>
            <w:vAlign w:val="center"/>
          </w:tcPr>
          <w:p>
            <w:pPr>
              <w:pStyle w:val="TableContents"/>
              <w:bidi w:val="0"/>
              <w:spacing w:before="0" w:after="283"/>
              <w:jc w:val="left"/>
              <w:rPr>
                <w:sz w:val="4"/>
                <w:szCs w:val="4"/>
              </w:rPr>
            </w:pPr>
            <w:r>
              <w:rPr>
                <w:sz w:val="4"/>
                <w:szCs w:val="4"/>
              </w:rPr>
            </w:r>
          </w:p>
        </w:tc>
        <w:tc>
          <w:tcPr>
            <w:tcW w:w="2611" w:type="dxa"/>
            <w:gridSpan w:val="2"/>
            <w:tcBorders/>
            <w:vAlign w:val="center"/>
          </w:tcPr>
          <w:p>
            <w:pPr>
              <w:pStyle w:val="TableContents"/>
              <w:bidi w:val="0"/>
              <w:spacing w:before="0" w:after="283"/>
              <w:jc w:val="left"/>
              <w:rPr>
                <w:sz w:val="4"/>
                <w:szCs w:val="4"/>
              </w:rPr>
            </w:pPr>
            <w:r>
              <w:rPr>
                <w:sz w:val="4"/>
                <w:szCs w:val="4"/>
              </w:rPr>
            </w:r>
          </w:p>
        </w:tc>
        <w:tc>
          <w:tcPr>
            <w:tcW w:w="2785" w:type="dxa"/>
            <w:gridSpan w:val="2"/>
            <w:tcBorders/>
            <w:vAlign w:val="center"/>
          </w:tcPr>
          <w:p>
            <w:pPr>
              <w:pStyle w:val="TableContents"/>
              <w:bidi w:val="0"/>
              <w:spacing w:before="0" w:after="283"/>
              <w:jc w:val="left"/>
              <w:rPr>
                <w:sz w:val="4"/>
                <w:szCs w:val="4"/>
              </w:rPr>
            </w:pPr>
            <w:r>
              <w:rPr>
                <w:sz w:val="4"/>
                <w:szCs w:val="4"/>
              </w:rPr>
            </w:r>
          </w:p>
        </w:tc>
      </w:tr>
      <w:tr>
        <w:trPr/>
        <w:tc>
          <w:tcPr>
            <w:tcW w:w="4809" w:type="dxa"/>
            <w:vMerge w:val="restart"/>
            <w:tcBorders>
              <w:bottom w:val="single" w:sz="6" w:space="0" w:color="7F7F7F"/>
            </w:tcBorders>
            <w:tcMar>
              <w:bottom w:w="8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No related-party transactions between the Company and senior management; however, members of the Board are officers or directors of the Hunt Companies, affiliate of controlling stockholder Hunt Equity Opportunities, LLC (“Hunt”); Hunt is entitled to request inclusion of all or any part of its common stock in any registration of securities by the Company on Forms S-1 or S-3 under the Securities Act of 1933, as amended</w:t>
            </w:r>
          </w:p>
        </w:tc>
        <w:tc>
          <w:tcPr>
            <w:tcW w:w="120" w:type="dxa"/>
            <w:tcBorders/>
            <w:vAlign w:val="center"/>
          </w:tcPr>
          <w:p>
            <w:pPr>
              <w:pStyle w:val="TableContents"/>
              <w:bidi w:val="0"/>
              <w:spacing w:before="0" w:after="283"/>
              <w:jc w:val="left"/>
              <w:rPr/>
            </w:pPr>
            <w:r>
              <w:rPr/>
              <w:t>  </w:t>
            </w:r>
          </w:p>
        </w:tc>
        <w:tc>
          <w:tcPr>
            <w:tcW w:w="2491" w:type="dxa"/>
            <w:tcBorders/>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A longstanding Clawback Policy that applies to short-term and long-term incentive compensation plans for senior management</w:t>
            </w:r>
          </w:p>
        </w:tc>
        <w:tc>
          <w:tcPr>
            <w:tcW w:w="120" w:type="dxa"/>
            <w:tcBorders/>
            <w:vAlign w:val="center"/>
          </w:tcPr>
          <w:p>
            <w:pPr>
              <w:pStyle w:val="TableContents"/>
              <w:bidi w:val="0"/>
              <w:spacing w:before="0" w:after="283"/>
              <w:jc w:val="left"/>
              <w:rPr/>
            </w:pPr>
            <w:r>
              <w:rPr/>
              <w:t>  </w:t>
            </w:r>
          </w:p>
        </w:tc>
        <w:tc>
          <w:tcPr>
            <w:tcW w:w="2665" w:type="dxa"/>
            <w:tcBorders/>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Strong oversight of Environmental, Social, and Governance (“ESG”) standards by the Board and Corporate Governance and Nominating Committee</w:t>
            </w:r>
          </w:p>
        </w:tc>
      </w:tr>
      <w:tr>
        <w:trPr/>
        <w:tc>
          <w:tcPr>
            <w:tcW w:w="4809" w:type="dxa"/>
            <w:vMerge w:val="continue"/>
            <w:tcBorders>
              <w:bottom w:val="single" w:sz="6" w:space="0" w:color="7F7F7F"/>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491" w:type="dxa"/>
            <w:tcBorders/>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Stock ownership requirements for directors and senior management</w:t>
            </w:r>
          </w:p>
        </w:tc>
        <w:tc>
          <w:tcPr>
            <w:tcW w:w="120" w:type="dxa"/>
            <w:tcBorders/>
            <w:vAlign w:val="center"/>
          </w:tcPr>
          <w:p>
            <w:pPr>
              <w:pStyle w:val="TableContents"/>
              <w:bidi w:val="0"/>
              <w:spacing w:before="0" w:after="283"/>
              <w:jc w:val="left"/>
              <w:rPr/>
            </w:pPr>
            <w:r>
              <w:rPr/>
              <w:t>  </w:t>
            </w:r>
          </w:p>
        </w:tc>
        <w:tc>
          <w:tcPr>
            <w:tcW w:w="2665" w:type="dxa"/>
            <w:tcBorders/>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Comprehensive orientation program for new directors and robust continuing education programs for the Board</w:t>
            </w:r>
          </w:p>
        </w:tc>
      </w:tr>
      <w:tr>
        <w:trPr/>
        <w:tc>
          <w:tcPr>
            <w:tcW w:w="4809" w:type="dxa"/>
            <w:vMerge w:val="continue"/>
            <w:tcBorders>
              <w:bottom w:val="single" w:sz="6" w:space="0" w:color="7F7F7F"/>
            </w:tcBorders>
            <w:tcMar>
              <w:bottom w:w="80" w:type="dxa"/>
            </w:tcMar>
            <w:vAlign w:val="center"/>
          </w:tcPr>
          <w:p>
            <w:pPr>
              <w:pStyle w:val="Normal"/>
              <w:bidi w:val="0"/>
              <w:jc w:val="left"/>
              <w:rPr/>
            </w:pPr>
            <w:r>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491"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665" w:type="dxa"/>
            <w:tcBorders>
              <w:bottom w:val="single" w:sz="6" w:space="0" w:color="7F7F7F"/>
            </w:tcBorders>
            <w:tcMar>
              <w:bottom w:w="8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Robust Code of Business Conduct and Ethics for the Board, senior management, and all employees that includes an annual certification requirement</w:t>
            </w:r>
          </w:p>
        </w:tc>
      </w:tr>
    </w:tbl>
    <w:p>
      <w:pPr>
        <w:pStyle w:val="TextBody"/>
        <w:bidi w:val="0"/>
        <w:spacing w:before="0" w:after="0"/>
        <w:jc w:val="left"/>
        <w:rPr/>
      </w:pPr>
      <w:r>
        <w:rPr/>
        <w:t> </w:t>
      </w:r>
    </w:p>
    <w:tbl>
      <w:tblPr>
        <w:tblW w:w="1744" w:type="dxa"/>
        <w:jc w:val="left"/>
        <w:tblInd w:w="0" w:type="dxa"/>
        <w:tblLayout w:type="fixed"/>
        <w:tblCellMar>
          <w:top w:w="0" w:type="dxa"/>
          <w:left w:w="0" w:type="dxa"/>
          <w:bottom w:w="0" w:type="dxa"/>
          <w:right w:w="0" w:type="dxa"/>
        </w:tblCellMar>
      </w:tblPr>
      <w:tblGrid>
        <w:gridCol w:w="1349"/>
        <w:gridCol w:w="120"/>
        <w:gridCol w:w="60"/>
        <w:gridCol w:w="14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4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4" descr=""/>
                          <pic:cNvPicPr>
                            <a:picLocks noChangeAspect="1" noChangeArrowheads="1"/>
                          </pic:cNvPicPr>
                        </pic:nvPicPr>
                        <pic:blipFill>
                          <a:blip r:embed="rId37"/>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Proxy Summary </w:t>
      </w:r>
    </w:p>
    <w:p>
      <w:pPr>
        <w:pStyle w:val="TextBody"/>
        <w:bidi w:val="0"/>
        <w:spacing w:before="0" w:after="0"/>
        <w:jc w:val="left"/>
        <w:rPr/>
      </w:pPr>
      <w:r>
        <w:rPr/>
        <w:t> </w:t>
      </w:r>
    </w:p>
    <w:p>
      <w:pPr>
        <w:pStyle w:val="TextBody"/>
        <w:bidi w:val="0"/>
        <w:spacing w:before="0" w:after="0"/>
        <w:jc w:val="left"/>
        <w:rPr>
          <w:rFonts w:ascii="arial" w:hAnsi="arial"/>
          <w:b/>
          <w:sz w:val="24"/>
        </w:rPr>
      </w:pPr>
      <w:bookmarkStart w:id="8" w:name="toc37355_6"/>
      <w:bookmarkEnd w:id="8"/>
      <w:r>
        <w:rPr>
          <w:rFonts w:ascii="arial" w:hAnsi="arial"/>
          <w:b/>
          <w:sz w:val="24"/>
        </w:rPr>
        <w:t xml:space="preserve">Meet Today’s Kelly </w:t>
      </w:r>
    </w:p>
    <w:p>
      <w:pPr>
        <w:pStyle w:val="TextBody"/>
        <w:bidi w:val="0"/>
        <w:spacing w:before="80" w:after="0"/>
        <w:jc w:val="left"/>
        <w:rPr>
          <w:rFonts w:ascii="arial" w:hAnsi="arial"/>
          <w:sz w:val="18"/>
        </w:rPr>
      </w:pPr>
      <w:r>
        <w:rPr>
          <w:rFonts w:ascii="arial" w:hAnsi="arial"/>
          <w:sz w:val="18"/>
        </w:rPr>
        <w:t xml:space="preserve">We’re building on 79 years of industry leadership. </w:t>
      </w:r>
    </w:p>
    <w:p>
      <w:pPr>
        <w:pStyle w:val="TextBody"/>
        <w:bidi w:val="0"/>
        <w:spacing w:before="0" w:after="0"/>
        <w:jc w:val="left"/>
        <w:rPr/>
      </w:pPr>
      <w:r>
        <w:rPr/>
        <w:t> </w:t>
      </w:r>
    </w:p>
    <w:p>
      <w:pPr>
        <w:pStyle w:val="TextBody"/>
        <w:bidi w:val="0"/>
        <w:spacing w:before="0" w:after="0"/>
        <w:jc w:val="center"/>
        <w:rPr/>
      </w:pPr>
      <w:r>
        <w:rPr/>
        <w:drawing>
          <wp:inline distT="0" distB="0" distL="0" distR="0">
            <wp:extent cx="6551930" cy="3223260"/>
            <wp:effectExtent l="0" t="0" r="0" b="0"/>
            <wp:docPr id="4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5" descr=""/>
                    <pic:cNvPicPr>
                      <a:picLocks noChangeAspect="1" noChangeArrowheads="1"/>
                    </pic:cNvPicPr>
                  </pic:nvPicPr>
                  <pic:blipFill>
                    <a:blip r:embed="rId38"/>
                    <a:stretch>
                      <a:fillRect/>
                    </a:stretch>
                  </pic:blipFill>
                  <pic:spPr bwMode="auto">
                    <a:xfrm>
                      <a:off x="0" y="0"/>
                      <a:ext cx="6551930" cy="3223260"/>
                    </a:xfrm>
                    <a:prstGeom prst="rect">
                      <a:avLst/>
                    </a:prstGeom>
                  </pic:spPr>
                </pic:pic>
              </a:graphicData>
            </a:graphic>
          </wp:inline>
        </w:drawing>
      </w:r>
      <w:r>
        <w:rPr/>
        <w:t xml:space="preserve"> </w:t>
      </w:r>
    </w:p>
    <w:p>
      <w:pPr>
        <w:pStyle w:val="TextBody"/>
        <w:bidi w:val="0"/>
        <w:spacing w:before="360" w:after="0"/>
        <w:jc w:val="left"/>
        <w:rPr>
          <w:rFonts w:ascii="arial" w:hAnsi="arial"/>
          <w:b/>
          <w:sz w:val="24"/>
        </w:rPr>
      </w:pPr>
      <w:bookmarkStart w:id="9" w:name="toc37355_7"/>
      <w:bookmarkEnd w:id="9"/>
      <w:r>
        <w:rPr>
          <w:rFonts w:ascii="arial" w:hAnsi="arial"/>
          <w:b/>
          <w:sz w:val="24"/>
        </w:rPr>
        <w:t xml:space="preserve">A Year in Review </w:t>
      </w:r>
    </w:p>
    <w:p>
      <w:pPr>
        <w:pStyle w:val="TextBody"/>
        <w:bidi w:val="0"/>
        <w:spacing w:before="80" w:after="0"/>
        <w:jc w:val="left"/>
        <w:rPr>
          <w:rFonts w:ascii="arial" w:hAnsi="arial"/>
          <w:sz w:val="18"/>
        </w:rPr>
      </w:pPr>
      <w:r>
        <w:rPr>
          <w:rFonts w:ascii="arial" w:hAnsi="arial"/>
          <w:sz w:val="18"/>
        </w:rPr>
        <w:t xml:space="preserve">In 2025, Kelly continued to advance its multi-year transformation, building on the decisive actions taken in 2023 and 2024 to streamline the portfolio, sharpen strategic focus, and expand into higher margin, higher-growth specialties. We remained focused on capturing a greater market share, converting a higher proportion of revenue into bottom-line performance, and positioning Kelly to benefit from an eventual recovery in the staffing environment. </w:t>
      </w:r>
    </w:p>
    <w:p>
      <w:pPr>
        <w:pStyle w:val="TextBody"/>
        <w:bidi w:val="0"/>
        <w:spacing w:before="80" w:after="0"/>
        <w:jc w:val="left"/>
        <w:rPr>
          <w:rFonts w:ascii="arial" w:hAnsi="arial"/>
          <w:sz w:val="18"/>
        </w:rPr>
      </w:pPr>
      <w:r>
        <w:rPr>
          <w:rFonts w:ascii="arial" w:hAnsi="arial"/>
          <w:sz w:val="18"/>
        </w:rPr>
        <w:t xml:space="preserve">Kelly entered 2025 with a simplified operating model concentrated on North American staffing, business process outsourcing (“BPO”) and specialty solutions and global Managed Service Provider (“MSP”) and recruitment process outsourcing (“RPO”) offerings, following the 2024 sale of its European staffing operations, and acquisition of Motion Recruitment Partners (“MRP”) and Children’s Therapy Center (“CTC”). These portfolio actions reflected a deliberate shift toward businesses with more attractive growth profiles, scalable platforms, and improved EBITDA margin potential. </w:t>
      </w:r>
    </w:p>
    <w:p>
      <w:pPr>
        <w:pStyle w:val="TextBody"/>
        <w:bidi w:val="0"/>
        <w:spacing w:before="80" w:after="0"/>
        <w:jc w:val="left"/>
        <w:rPr>
          <w:rFonts w:ascii="arial" w:hAnsi="arial"/>
          <w:sz w:val="18"/>
        </w:rPr>
      </w:pPr>
      <w:r>
        <w:rPr>
          <w:rFonts w:ascii="arial" w:hAnsi="arial"/>
          <w:sz w:val="18"/>
        </w:rPr>
        <w:t xml:space="preserve">We continued to execute our refreshed go-to-market strategy, designed to deliver the full suite of Kelly solutions to large enterprise customers and capture a greater share of wallet while maintaining high service levels for customers of all sizes. This strategy was supported by ongoing commitment to delivering greater effectiveness and data-driven sales processes and initiatives. </w:t>
      </w:r>
    </w:p>
    <w:p>
      <w:pPr>
        <w:pStyle w:val="TextBody"/>
        <w:bidi w:val="0"/>
        <w:spacing w:before="80" w:after="0"/>
        <w:jc w:val="left"/>
        <w:rPr>
          <w:rFonts w:ascii="arial" w:hAnsi="arial"/>
          <w:sz w:val="18"/>
        </w:rPr>
      </w:pPr>
      <w:r>
        <w:rPr>
          <w:rFonts w:ascii="arial" w:hAnsi="arial"/>
          <w:sz w:val="18"/>
        </w:rPr>
        <w:t xml:space="preserve">Critical to positioning Kelly for future growth was the hiring of Chris Layden as President and Chief Executive Officer in September 2025. Layden succeeded Peter Quigley, who announced his intention to retire in February 2025. Layden brings dynamic industry leadership and extensive experience leading organizations through periods of significant change, while delivering growth and strengthening competitive positioning. Layden’s hiring underscores Kelly’s commitment to enhancing its operational capabilities and service delivery while transforming its technology processes and platforms. </w:t>
      </w:r>
    </w:p>
    <w:p>
      <w:pPr>
        <w:pStyle w:val="TextBody"/>
        <w:bidi w:val="0"/>
        <w:spacing w:before="80" w:after="0"/>
        <w:jc w:val="left"/>
        <w:rPr>
          <w:rFonts w:ascii="arial" w:hAnsi="arial"/>
          <w:sz w:val="18"/>
        </w:rPr>
      </w:pPr>
      <w:r>
        <w:rPr>
          <w:rFonts w:ascii="arial" w:hAnsi="arial"/>
          <w:sz w:val="18"/>
        </w:rPr>
        <w:t xml:space="preserve">During 2025, Kelly faced a dynamic macroeconomic environment characterized by sluggish labor market demand and policy shifts which had significant impacts on the industry, including Kelly. In the face of these headwinds, Kelly demonstrated measurable progress in cost discipline and selective market strength. At the same time, we accelerated structural and demand-driven cost optimization initiatives, including technology modernization, acquisition integration and process efficiencies to enhance execution and agility while positioning Kelly to capture market share and improve profitability when staffing market conditions rebound. </w:t>
      </w:r>
    </w:p>
    <w:p>
      <w:pPr>
        <w:pStyle w:val="TextBody"/>
        <w:bidi w:val="0"/>
        <w:spacing w:before="80" w:after="0"/>
        <w:jc w:val="left"/>
        <w:rPr>
          <w:rFonts w:ascii="arial" w:hAnsi="arial"/>
          <w:sz w:val="18"/>
        </w:rPr>
      </w:pPr>
      <w:r>
        <w:rPr>
          <w:rFonts w:ascii="arial" w:hAnsi="arial"/>
          <w:sz w:val="18"/>
        </w:rPr>
        <w:t xml:space="preserve">Structural cost actions, operating model simplification, acquisition integration, and portfolio reshaping are expected to support continued improvement in Kelly’s growth prospects and financial profile as we move through 2026 and beyond. </w:t>
      </w:r>
    </w:p>
    <w:p>
      <w:pPr>
        <w:pStyle w:val="TextBody"/>
        <w:bidi w:val="0"/>
        <w:spacing w:before="0" w:after="0"/>
        <w:jc w:val="left"/>
        <w:rPr/>
      </w:pPr>
      <w:r>
        <w:rPr/>
        <w:t> </w:t>
      </w:r>
    </w:p>
    <w:tbl>
      <w:tblPr>
        <w:tblW w:w="1924" w:type="dxa"/>
        <w:jc w:val="left"/>
        <w:tblInd w:w="0" w:type="dxa"/>
        <w:tblLayout w:type="fixed"/>
        <w:tblCellMar>
          <w:top w:w="0" w:type="dxa"/>
          <w:left w:w="0" w:type="dxa"/>
          <w:bottom w:w="0" w:type="dxa"/>
          <w:right w:w="0" w:type="dxa"/>
        </w:tblCellMar>
      </w:tblPr>
      <w:tblGrid>
        <w:gridCol w:w="75"/>
        <w:gridCol w:w="38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8 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4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6" descr=""/>
                          <pic:cNvPicPr>
                            <a:picLocks noChangeAspect="1" noChangeArrowheads="1"/>
                          </pic:cNvPicPr>
                        </pic:nvPicPr>
                        <pic:blipFill>
                          <a:blip r:embed="rId39"/>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Proxy Summary </w:t>
      </w:r>
    </w:p>
    <w:p>
      <w:pPr>
        <w:pStyle w:val="TextBody"/>
        <w:bidi w:val="0"/>
        <w:spacing w:before="0" w:after="0"/>
        <w:jc w:val="left"/>
        <w:rPr/>
      </w:pPr>
      <w:r>
        <w:rPr/>
        <w:t> </w:t>
      </w:r>
    </w:p>
    <w:p>
      <w:pPr>
        <w:pStyle w:val="TextBody"/>
        <w:bidi w:val="0"/>
        <w:spacing w:before="0" w:after="0"/>
        <w:jc w:val="left"/>
        <w:rPr>
          <w:rFonts w:ascii="arial" w:hAnsi="arial"/>
          <w:b/>
          <w:sz w:val="24"/>
        </w:rPr>
      </w:pPr>
      <w:bookmarkStart w:id="10" w:name="toc37355_8"/>
      <w:bookmarkEnd w:id="10"/>
      <w:r>
        <w:rPr>
          <w:rFonts w:ascii="arial" w:hAnsi="arial"/>
          <w:b/>
          <w:sz w:val="24"/>
        </w:rPr>
        <w:t xml:space="preserve">2025 Financial Highlights </w:t>
      </w:r>
    </w:p>
    <w:p>
      <w:pPr>
        <w:pStyle w:val="TextBody"/>
        <w:bidi w:val="0"/>
        <w:spacing w:before="80" w:after="0"/>
        <w:jc w:val="left"/>
        <w:rPr>
          <w:rFonts w:ascii="arial" w:hAnsi="arial"/>
          <w:i/>
          <w:sz w:val="20"/>
        </w:rPr>
      </w:pPr>
      <w:r>
        <w:rPr>
          <w:rFonts w:ascii="arial" w:hAnsi="arial"/>
          <w:i/>
          <w:sz w:val="20"/>
        </w:rPr>
        <w:t xml:space="preserve">Full Year 2025 Financial Summary </w:t>
      </w:r>
    </w:p>
    <w:p>
      <w:pPr>
        <w:pStyle w:val="TextBody"/>
        <w:bidi w:val="0"/>
        <w:spacing w:before="0" w:after="0"/>
        <w:jc w:val="left"/>
        <w:rPr/>
      </w:pPr>
      <w:r>
        <w:rPr/>
        <w:t> </w:t>
      </w:r>
    </w:p>
    <w:tbl>
      <w:tblPr>
        <w:tblW w:w="6725" w:type="dxa"/>
        <w:jc w:val="left"/>
        <w:tblInd w:w="0" w:type="dxa"/>
        <w:tblLayout w:type="fixed"/>
        <w:tblCellMar>
          <w:top w:w="0" w:type="dxa"/>
          <w:left w:w="0" w:type="dxa"/>
          <w:bottom w:w="0" w:type="dxa"/>
          <w:right w:w="0" w:type="dxa"/>
        </w:tblCellMar>
      </w:tblPr>
      <w:tblGrid>
        <w:gridCol w:w="2000"/>
        <w:gridCol w:w="120"/>
        <w:gridCol w:w="1490"/>
        <w:gridCol w:w="120"/>
        <w:gridCol w:w="1310"/>
        <w:gridCol w:w="120"/>
        <w:gridCol w:w="1565"/>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95" w:type="dxa"/>
            <w:gridSpan w:val="3"/>
            <w:tcBorders>
              <w:bottom w:val="single" w:sz="8" w:space="0" w:color="000000"/>
            </w:tcBorders>
            <w:tcMar>
              <w:bottom w:w="28" w:type="dxa"/>
            </w:tcMar>
            <w:vAlign w:val="center"/>
          </w:tcPr>
          <w:p>
            <w:pPr>
              <w:pStyle w:val="TableContents"/>
              <w:bidi w:val="0"/>
              <w:spacing w:before="0" w:after="283"/>
              <w:jc w:val="center"/>
              <w:rPr>
                <w:b/>
                <w:color w:val="00AE4F"/>
              </w:rPr>
            </w:pPr>
            <w:r>
              <w:rPr>
                <w:b/>
                <w:color w:val="00AE4F"/>
              </w:rPr>
              <w:t>Change Increase/(Decrease)</w:t>
            </w:r>
          </w:p>
        </w:tc>
      </w:tr>
      <w:tr>
        <w:trPr/>
        <w:tc>
          <w:tcPr>
            <w:tcW w:w="2000"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90"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Actual Results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As Reported</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65"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As Adjusted(1)</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Revenue</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490" w:type="dxa"/>
            <w:tcBorders>
              <w:bottom w:val="single" w:sz="6" w:space="0" w:color="7F7F7F"/>
            </w:tcBorders>
            <w:tcMar>
              <w:bottom w:w="80" w:type="dxa"/>
            </w:tcMar>
            <w:vAlign w:val="center"/>
          </w:tcPr>
          <w:p>
            <w:pPr>
              <w:pStyle w:val="TableContents"/>
              <w:bidi w:val="0"/>
              <w:spacing w:before="0" w:after="283"/>
              <w:jc w:val="center"/>
              <w:rPr/>
            </w:pPr>
            <w:r>
              <w:rPr/>
              <w:t>$4.3B</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10" w:type="dxa"/>
            <w:tcBorders>
              <w:bottom w:val="single" w:sz="6" w:space="0" w:color="7F7F7F"/>
            </w:tcBorders>
            <w:tcMar>
              <w:bottom w:w="80" w:type="dxa"/>
            </w:tcMar>
            <w:vAlign w:val="center"/>
          </w:tcPr>
          <w:p>
            <w:pPr>
              <w:pStyle w:val="TableContents"/>
              <w:bidi w:val="0"/>
              <w:spacing w:before="0" w:after="283"/>
              <w:jc w:val="center"/>
              <w:rPr/>
            </w:pPr>
            <w:r>
              <w:rPr/>
              <w:t>(1.9%)</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565" w:type="dxa"/>
            <w:tcBorders>
              <w:bottom w:val="single" w:sz="6" w:space="0" w:color="7F7F7F"/>
            </w:tcBorders>
            <w:tcMar>
              <w:bottom w:w="80" w:type="dxa"/>
            </w:tcMar>
            <w:vAlign w:val="center"/>
          </w:tcPr>
          <w:p>
            <w:pPr>
              <w:pStyle w:val="TableContents"/>
              <w:bidi w:val="0"/>
              <w:spacing w:before="0" w:after="283"/>
              <w:jc w:val="center"/>
              <w:rPr/>
            </w:pPr>
            <w:r>
              <w:rPr/>
              <w:t>(1.9%)</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Gross Profit Rate</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490" w:type="dxa"/>
            <w:tcBorders>
              <w:bottom w:val="single" w:sz="6" w:space="0" w:color="7F7F7F"/>
            </w:tcBorders>
            <w:tcMar>
              <w:bottom w:w="80" w:type="dxa"/>
            </w:tcMar>
            <w:vAlign w:val="center"/>
          </w:tcPr>
          <w:p>
            <w:pPr>
              <w:pStyle w:val="TableContents"/>
              <w:bidi w:val="0"/>
              <w:spacing w:before="0" w:after="283"/>
              <w:jc w:val="center"/>
              <w:rPr/>
            </w:pPr>
            <w:r>
              <w:rPr/>
              <w:t>20.1%</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10" w:type="dxa"/>
            <w:tcBorders>
              <w:bottom w:val="single" w:sz="6" w:space="0" w:color="7F7F7F"/>
            </w:tcBorders>
            <w:tcMar>
              <w:bottom w:w="80" w:type="dxa"/>
            </w:tcMar>
            <w:vAlign w:val="center"/>
          </w:tcPr>
          <w:p>
            <w:pPr>
              <w:pStyle w:val="TableContents"/>
              <w:bidi w:val="0"/>
              <w:spacing w:before="0" w:after="283"/>
              <w:jc w:val="center"/>
              <w:rPr/>
            </w:pPr>
            <w:r>
              <w:rPr/>
              <w:t>(30) bps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565" w:type="dxa"/>
            <w:tcBorders>
              <w:bottom w:val="single" w:sz="6" w:space="0" w:color="7F7F7F"/>
            </w:tcBorders>
            <w:tcMar>
              <w:bottom w:w="80" w:type="dxa"/>
            </w:tcMar>
            <w:vAlign w:val="center"/>
          </w:tcPr>
          <w:p>
            <w:pPr>
              <w:pStyle w:val="TableContents"/>
              <w:bidi w:val="0"/>
              <w:spacing w:before="0" w:after="283"/>
              <w:jc w:val="center"/>
              <w:rPr/>
            </w:pPr>
            <w:r>
              <w:rPr/>
              <w:t>(30) bps</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Loss from Operations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490" w:type="dxa"/>
            <w:tcBorders>
              <w:bottom w:val="single" w:sz="6" w:space="0" w:color="7F7F7F"/>
            </w:tcBorders>
            <w:tcMar>
              <w:bottom w:w="80" w:type="dxa"/>
            </w:tcMar>
            <w:vAlign w:val="center"/>
          </w:tcPr>
          <w:p>
            <w:pPr>
              <w:pStyle w:val="TableContents"/>
              <w:bidi w:val="0"/>
              <w:spacing w:before="0" w:after="283"/>
              <w:jc w:val="center"/>
              <w:rPr/>
            </w:pPr>
            <w:r>
              <w:rPr/>
              <w:t>($69.8M)</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10" w:type="dxa"/>
            <w:tcBorders>
              <w:bottom w:val="single" w:sz="6" w:space="0" w:color="7F7F7F"/>
            </w:tcBorders>
            <w:tcMar>
              <w:bottom w:w="80" w:type="dxa"/>
            </w:tcMar>
            <w:vAlign w:val="center"/>
          </w:tcPr>
          <w:p>
            <w:pPr>
              <w:pStyle w:val="TableContents"/>
              <w:bidi w:val="0"/>
              <w:spacing w:before="0" w:after="283"/>
              <w:jc w:val="center"/>
              <w:rPr/>
            </w:pPr>
            <w:r>
              <w:rPr/>
              <w:t>(362.3%)</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565" w:type="dxa"/>
            <w:tcBorders>
              <w:bottom w:val="single" w:sz="6" w:space="0" w:color="7F7F7F"/>
            </w:tcBorders>
            <w:tcMar>
              <w:bottom w:w="80" w:type="dxa"/>
            </w:tcMar>
            <w:vAlign w:val="center"/>
          </w:tcPr>
          <w:p>
            <w:pPr>
              <w:pStyle w:val="TableContents"/>
              <w:bidi w:val="0"/>
              <w:spacing w:before="0" w:after="283"/>
              <w:jc w:val="center"/>
              <w:rPr/>
            </w:pPr>
            <w:r>
              <w:rPr/>
              <w:t>(35.6%)</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Diluted Loss per Share</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490" w:type="dxa"/>
            <w:tcBorders>
              <w:bottom w:val="single" w:sz="6" w:space="0" w:color="7F7F7F"/>
            </w:tcBorders>
            <w:tcMar>
              <w:bottom w:w="80" w:type="dxa"/>
            </w:tcMar>
            <w:vAlign w:val="center"/>
          </w:tcPr>
          <w:p>
            <w:pPr>
              <w:pStyle w:val="TableContents"/>
              <w:bidi w:val="0"/>
              <w:spacing w:before="0" w:after="283"/>
              <w:jc w:val="center"/>
              <w:rPr/>
            </w:pPr>
            <w:r>
              <w:rPr/>
              <w:t>($7.24)</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10" w:type="dxa"/>
            <w:tcBorders>
              <w:bottom w:val="single" w:sz="6" w:space="0" w:color="7F7F7F"/>
            </w:tcBorders>
            <w:tcMar>
              <w:bottom w:w="80" w:type="dxa"/>
            </w:tcMar>
            <w:vAlign w:val="center"/>
          </w:tcPr>
          <w:p>
            <w:pPr>
              <w:pStyle w:val="TableContents"/>
              <w:bidi w:val="0"/>
              <w:spacing w:before="0" w:after="283"/>
              <w:jc w:val="center"/>
              <w:rPr/>
            </w:pPr>
            <w:r>
              <w:rPr/>
              <w:t>($7.22)</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565" w:type="dxa"/>
            <w:tcBorders>
              <w:bottom w:val="single" w:sz="6" w:space="0" w:color="7F7F7F"/>
            </w:tcBorders>
            <w:tcMar>
              <w:bottom w:w="80" w:type="dxa"/>
            </w:tcMar>
            <w:vAlign w:val="center"/>
          </w:tcPr>
          <w:p>
            <w:pPr>
              <w:pStyle w:val="TableContents"/>
              <w:bidi w:val="0"/>
              <w:spacing w:before="0" w:after="283"/>
              <w:jc w:val="center"/>
              <w:rPr/>
            </w:pPr>
            <w:r>
              <w:rPr/>
              <w:t>($1.00)</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Adjusted EBITDA</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490" w:type="dxa"/>
            <w:tcBorders>
              <w:bottom w:val="single" w:sz="6" w:space="0" w:color="7F7F7F"/>
            </w:tcBorders>
            <w:tcMar>
              <w:bottom w:w="80" w:type="dxa"/>
            </w:tcMar>
            <w:vAlign w:val="center"/>
          </w:tcPr>
          <w:p>
            <w:pPr>
              <w:pStyle w:val="TableContents"/>
              <w:bidi w:val="0"/>
              <w:spacing w:before="0" w:after="283"/>
              <w:jc w:val="center"/>
              <w:rPr/>
            </w:pPr>
            <w:r>
              <w:rPr/>
              <w:t>$109.4M</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10"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565" w:type="dxa"/>
            <w:tcBorders>
              <w:bottom w:val="single" w:sz="6" w:space="0" w:color="7F7F7F"/>
            </w:tcBorders>
            <w:tcMar>
              <w:bottom w:w="80" w:type="dxa"/>
            </w:tcMar>
            <w:vAlign w:val="center"/>
          </w:tcPr>
          <w:p>
            <w:pPr>
              <w:pStyle w:val="TableContents"/>
              <w:bidi w:val="0"/>
              <w:spacing w:before="0" w:after="283"/>
              <w:jc w:val="center"/>
              <w:rPr/>
            </w:pPr>
            <w:r>
              <w:rPr/>
              <w:t>(23.8%)</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Adjusted EBITDA Margin</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490" w:type="dxa"/>
            <w:tcBorders>
              <w:bottom w:val="single" w:sz="6" w:space="0" w:color="7F7F7F"/>
            </w:tcBorders>
            <w:tcMar>
              <w:bottom w:w="80" w:type="dxa"/>
            </w:tcMar>
            <w:vAlign w:val="center"/>
          </w:tcPr>
          <w:p>
            <w:pPr>
              <w:pStyle w:val="TableContents"/>
              <w:bidi w:val="0"/>
              <w:spacing w:before="0" w:after="283"/>
              <w:jc w:val="center"/>
              <w:rPr/>
            </w:pPr>
            <w:r>
              <w:rPr/>
              <w:t>2.6%</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10"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565" w:type="dxa"/>
            <w:tcBorders>
              <w:bottom w:val="single" w:sz="6" w:space="0" w:color="7F7F7F"/>
            </w:tcBorders>
            <w:tcMar>
              <w:bottom w:w="80" w:type="dxa"/>
            </w:tcMar>
            <w:vAlign w:val="center"/>
          </w:tcPr>
          <w:p>
            <w:pPr>
              <w:pStyle w:val="TableContents"/>
              <w:bidi w:val="0"/>
              <w:spacing w:before="0" w:after="283"/>
              <w:jc w:val="center"/>
              <w:rPr/>
            </w:pPr>
            <w:r>
              <w:rPr/>
              <w:t>(70) bps</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365"/>
        <w:gridCol w:w="5600"/>
      </w:tblGrid>
      <w:tr>
        <w:trPr/>
        <w:tc>
          <w:tcPr>
            <w:tcW w:w="365" w:type="dxa"/>
            <w:tcBorders/>
            <w:vAlign w:val="center"/>
          </w:tcPr>
          <w:p>
            <w:pPr>
              <w:pStyle w:val="TableContents"/>
              <w:bidi w:val="0"/>
              <w:spacing w:before="0" w:after="283"/>
              <w:jc w:val="left"/>
              <w:rPr/>
            </w:pPr>
            <w:r>
              <w:rPr/>
              <w:t>(1) </w:t>
            </w:r>
          </w:p>
        </w:tc>
        <w:tc>
          <w:tcPr>
            <w:tcW w:w="5600" w:type="dxa"/>
            <w:tcBorders/>
            <w:vAlign w:val="center"/>
          </w:tcPr>
          <w:p>
            <w:pPr>
              <w:pStyle w:val="TableContents"/>
              <w:bidi w:val="0"/>
              <w:spacing w:before="0" w:after="0"/>
              <w:jc w:val="left"/>
              <w:rPr>
                <w:rFonts w:ascii="arial" w:hAnsi="arial"/>
                <w:sz w:val="14"/>
              </w:rPr>
            </w:pPr>
            <w:r>
              <w:rPr>
                <w:rFonts w:ascii="arial" w:hAnsi="arial"/>
                <w:sz w:val="14"/>
              </w:rPr>
              <w:t xml:space="preserve">See reconciliation of Non-GAAP Measures included in Form 8-K dated February 12, 2026. </w:t>
            </w:r>
          </w:p>
        </w:tc>
      </w:tr>
    </w:tbl>
    <w:p>
      <w:pPr>
        <w:pStyle w:val="TextBody"/>
        <w:bidi w:val="0"/>
        <w:spacing w:before="0" w:after="0"/>
        <w:jc w:val="left"/>
        <w:rPr/>
      </w:pPr>
      <w:r>
        <w:rPr/>
        <w:t> </w:t>
      </w:r>
    </w:p>
    <w:tbl>
      <w:tblPr>
        <w:tblW w:w="1744" w:type="dxa"/>
        <w:jc w:val="left"/>
        <w:tblInd w:w="0" w:type="dxa"/>
        <w:tblLayout w:type="fixed"/>
        <w:tblCellMar>
          <w:top w:w="0" w:type="dxa"/>
          <w:left w:w="0" w:type="dxa"/>
          <w:bottom w:w="0" w:type="dxa"/>
          <w:right w:w="0" w:type="dxa"/>
        </w:tblCellMar>
      </w:tblPr>
      <w:tblGrid>
        <w:gridCol w:w="1349"/>
        <w:gridCol w:w="120"/>
        <w:gridCol w:w="60"/>
        <w:gridCol w:w="14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4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7" descr=""/>
                          <pic:cNvPicPr>
                            <a:picLocks noChangeAspect="1" noChangeArrowheads="1"/>
                          </pic:cNvPicPr>
                        </pic:nvPicPr>
                        <pic:blipFill>
                          <a:blip r:embed="rId40"/>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Proxy Summary </w:t>
      </w:r>
    </w:p>
    <w:p>
      <w:pPr>
        <w:pStyle w:val="TextBody"/>
        <w:bidi w:val="0"/>
        <w:spacing w:before="0" w:after="0"/>
        <w:jc w:val="left"/>
        <w:rPr/>
      </w:pPr>
      <w:r>
        <w:rPr/>
        <w:t> </w:t>
      </w:r>
    </w:p>
    <w:p>
      <w:pPr>
        <w:pStyle w:val="TextBody"/>
        <w:bidi w:val="0"/>
        <w:spacing w:before="0" w:after="0"/>
        <w:jc w:val="left"/>
        <w:rPr>
          <w:rFonts w:ascii="arial" w:hAnsi="arial"/>
          <w:i/>
          <w:sz w:val="20"/>
        </w:rPr>
      </w:pPr>
      <w:r>
        <w:rPr>
          <w:rFonts w:ascii="arial" w:hAnsi="arial"/>
          <w:i/>
          <w:sz w:val="20"/>
        </w:rPr>
        <w:t xml:space="preserve">Our Operating Model Aligns to these Specialties </w:t>
      </w:r>
    </w:p>
    <w:p>
      <w:pPr>
        <w:pStyle w:val="TextBody"/>
        <w:bidi w:val="0"/>
        <w:spacing w:before="80" w:after="0"/>
        <w:jc w:val="left"/>
        <w:rPr>
          <w:rFonts w:ascii="arial" w:hAnsi="arial"/>
          <w:b/>
          <w:sz w:val="20"/>
        </w:rPr>
      </w:pPr>
      <w:r>
        <w:rPr>
          <w:rFonts w:ascii="arial" w:hAnsi="arial"/>
          <w:b/>
          <w:sz w:val="20"/>
        </w:rPr>
        <w:t xml:space="preserve">(As Reported, by Business Unit) </w:t>
      </w:r>
    </w:p>
    <w:p>
      <w:pPr>
        <w:pStyle w:val="TextBody"/>
        <w:bidi w:val="0"/>
        <w:spacing w:before="0" w:after="0"/>
        <w:jc w:val="left"/>
        <w:rPr/>
      </w:pPr>
      <w:r>
        <w:rPr/>
        <w:t> </w:t>
      </w:r>
    </w:p>
    <w:tbl>
      <w:tblPr>
        <w:tblW w:w="8195" w:type="dxa"/>
        <w:jc w:val="left"/>
        <w:tblInd w:w="0" w:type="dxa"/>
        <w:tblLayout w:type="fixed"/>
        <w:tblCellMar>
          <w:top w:w="0" w:type="dxa"/>
          <w:left w:w="0" w:type="dxa"/>
          <w:bottom w:w="0" w:type="dxa"/>
          <w:right w:w="0" w:type="dxa"/>
        </w:tblCellMar>
      </w:tblPr>
      <w:tblGrid>
        <w:gridCol w:w="1805"/>
        <w:gridCol w:w="120"/>
        <w:gridCol w:w="2075"/>
        <w:gridCol w:w="120"/>
        <w:gridCol w:w="1985"/>
        <w:gridCol w:w="120"/>
        <w:gridCol w:w="1970"/>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top w:val="single" w:sz="6" w:space="0" w:color="00552B"/>
              <w:left w:val="single" w:sz="6" w:space="0" w:color="00552B"/>
              <w:bottom w:val="single" w:sz="6" w:space="0" w:color="000000"/>
            </w:tcBorders>
            <w:shd w:fill="EAEAE9" w:val="clear"/>
            <w:tcMar>
              <w:top w:w="28" w:type="dxa"/>
              <w:left w:w="28" w:type="dxa"/>
              <w:bottom w:w="28" w:type="dxa"/>
            </w:tcMar>
            <w:vAlign w:val="center"/>
          </w:tcPr>
          <w:p>
            <w:pPr>
              <w:pStyle w:val="TableContents"/>
              <w:bidi w:val="0"/>
              <w:spacing w:before="0" w:after="283"/>
              <w:jc w:val="left"/>
              <w:rPr/>
            </w:pPr>
            <w:r>
              <w:rPr/>
              <w:t>  </w:t>
            </w:r>
          </w:p>
        </w:tc>
        <w:tc>
          <w:tcPr>
            <w:tcW w:w="2075" w:type="dxa"/>
            <w:tcBorders>
              <w:top w:val="single" w:sz="6" w:space="0" w:color="00552B"/>
              <w:bottom w:val="single" w:sz="6" w:space="0" w:color="000000"/>
              <w:right w:val="single" w:sz="6" w:space="0" w:color="00552B"/>
            </w:tcBorders>
            <w:shd w:fill="EAEAE9" w:val="clear"/>
            <w:tcMar>
              <w:top w:w="28" w:type="dxa"/>
              <w:bottom w:w="28" w:type="dxa"/>
              <w:right w:w="28" w:type="dxa"/>
            </w:tcMar>
            <w:vAlign w:val="center"/>
          </w:tcPr>
          <w:p>
            <w:pPr>
              <w:pStyle w:val="TableContents"/>
              <w:bidi w:val="0"/>
              <w:spacing w:before="0" w:after="283"/>
              <w:jc w:val="left"/>
              <w:rPr>
                <w:b/>
              </w:rPr>
            </w:pPr>
            <w:r>
              <w:rPr>
                <w:b/>
                <w:color w:val="00AE4F"/>
              </w:rPr>
              <w:t>Kelly</w:t>
            </w:r>
            <w:r>
              <w:rPr>
                <w:b/>
              </w:rPr>
              <w:t xml:space="preserve"> Enterprise</w:t>
              <w:br/>
              <w:t>Talent Management</w:t>
              <w:br/>
              <w:t>(ETM)</w:t>
            </w:r>
          </w:p>
        </w:tc>
        <w:tc>
          <w:tcPr>
            <w:tcW w:w="120" w:type="dxa"/>
            <w:tcBorders>
              <w:top w:val="single" w:sz="6" w:space="0" w:color="00AE4F"/>
              <w:bottom w:val="single" w:sz="6" w:space="0" w:color="000000"/>
            </w:tcBorders>
            <w:shd w:fill="E5F6ED" w:val="clear"/>
            <w:tcMar>
              <w:top w:w="28" w:type="dxa"/>
              <w:bottom w:w="28" w:type="dxa"/>
            </w:tcMar>
            <w:vAlign w:val="center"/>
          </w:tcPr>
          <w:p>
            <w:pPr>
              <w:pStyle w:val="TableContents"/>
              <w:bidi w:val="0"/>
              <w:spacing w:before="0" w:after="283"/>
              <w:jc w:val="left"/>
              <w:rPr/>
            </w:pPr>
            <w:r>
              <w:rPr/>
              <w:t>  </w:t>
            </w:r>
          </w:p>
        </w:tc>
        <w:tc>
          <w:tcPr>
            <w:tcW w:w="1985" w:type="dxa"/>
            <w:tcBorders>
              <w:top w:val="single" w:sz="6" w:space="0" w:color="00AE4F"/>
              <w:bottom w:val="single" w:sz="6" w:space="0" w:color="000000"/>
            </w:tcBorders>
            <w:shd w:fill="E5F6ED" w:val="clear"/>
            <w:tcMar>
              <w:top w:w="28" w:type="dxa"/>
              <w:bottom w:w="28" w:type="dxa"/>
            </w:tcMar>
            <w:vAlign w:val="center"/>
          </w:tcPr>
          <w:p>
            <w:pPr>
              <w:pStyle w:val="TableContents"/>
              <w:bidi w:val="0"/>
              <w:spacing w:before="0" w:after="283"/>
              <w:jc w:val="left"/>
              <w:rPr>
                <w:b/>
              </w:rPr>
            </w:pPr>
            <w:r>
              <w:rPr>
                <w:b/>
                <w:color w:val="00AE4F"/>
              </w:rPr>
              <w:t>Kelly</w:t>
            </w:r>
            <w:r>
              <w:rPr>
                <w:b/>
              </w:rPr>
              <w:t xml:space="preserve"> Science,</w:t>
              <w:br/>
              <w:t>Engineering &amp;</w:t>
              <w:br/>
              <w:t>Technology (SET)</w:t>
            </w:r>
          </w:p>
        </w:tc>
        <w:tc>
          <w:tcPr>
            <w:tcW w:w="120" w:type="dxa"/>
            <w:tcBorders>
              <w:top w:val="single" w:sz="6" w:space="0" w:color="00AE4F"/>
              <w:bottom w:val="single" w:sz="6" w:space="0" w:color="000000"/>
            </w:tcBorders>
            <w:shd w:fill="E5F6ED" w:val="clear"/>
            <w:tcMar>
              <w:top w:w="28" w:type="dxa"/>
              <w:bottom w:w="28" w:type="dxa"/>
            </w:tcMar>
            <w:vAlign w:val="center"/>
          </w:tcPr>
          <w:p>
            <w:pPr>
              <w:pStyle w:val="TableContents"/>
              <w:bidi w:val="0"/>
              <w:spacing w:before="0" w:after="283"/>
              <w:jc w:val="left"/>
              <w:rPr/>
            </w:pPr>
            <w:r>
              <w:rPr/>
              <w:t>  </w:t>
            </w:r>
          </w:p>
        </w:tc>
        <w:tc>
          <w:tcPr>
            <w:tcW w:w="1970" w:type="dxa"/>
            <w:tcBorders>
              <w:top w:val="single" w:sz="6" w:space="0" w:color="00AE4F"/>
              <w:bottom w:val="single" w:sz="6" w:space="0" w:color="000000"/>
              <w:right w:val="single" w:sz="6" w:space="0" w:color="00AE4F"/>
            </w:tcBorders>
            <w:shd w:fill="E5F6ED" w:val="clear"/>
            <w:tcMar>
              <w:top w:w="28" w:type="dxa"/>
              <w:bottom w:w="28" w:type="dxa"/>
              <w:right w:w="40" w:type="dxa"/>
            </w:tcMar>
            <w:vAlign w:val="center"/>
          </w:tcPr>
          <w:p>
            <w:pPr>
              <w:pStyle w:val="TableContents"/>
              <w:bidi w:val="0"/>
              <w:spacing w:before="0" w:after="283"/>
              <w:jc w:val="left"/>
              <w:rPr>
                <w:b/>
              </w:rPr>
            </w:pPr>
            <w:r>
              <w:rPr>
                <w:b/>
                <w:color w:val="00AE4F"/>
              </w:rPr>
              <w:t>Kelly</w:t>
            </w:r>
            <w:r>
              <w:rPr>
                <w:b/>
              </w:rPr>
              <w:t xml:space="preserve"> Education</w:t>
              <w:br/>
              <w:t>(EDU)</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2195" w:type="dxa"/>
            <w:gridSpan w:val="2"/>
            <w:tcBorders>
              <w:left w:val="single" w:sz="6" w:space="0" w:color="00552B"/>
              <w:right w:val="single" w:sz="6" w:space="0" w:color="00552B"/>
            </w:tcBorders>
            <w:shd w:fill="EAEAE9" w:val="clear"/>
            <w:tcMar>
              <w:left w:w="28" w:type="dxa"/>
              <w:right w:w="28" w:type="dxa"/>
            </w:tcMar>
            <w:vAlign w:val="center"/>
          </w:tcPr>
          <w:p>
            <w:pPr>
              <w:pStyle w:val="TableContents"/>
              <w:bidi w:val="0"/>
              <w:spacing w:before="0" w:after="283"/>
              <w:jc w:val="left"/>
              <w:rPr/>
            </w:pPr>
            <w:r>
              <w:rPr/>
              <w:t> </w:t>
            </w:r>
          </w:p>
        </w:tc>
        <w:tc>
          <w:tcPr>
            <w:tcW w:w="2105" w:type="dxa"/>
            <w:gridSpan w:val="2"/>
            <w:tcBorders/>
            <w:shd w:fill="E5F6ED" w:val="clear"/>
            <w:vAlign w:val="center"/>
          </w:tcPr>
          <w:p>
            <w:pPr>
              <w:pStyle w:val="TableContents"/>
              <w:bidi w:val="0"/>
              <w:spacing w:before="0" w:after="283"/>
              <w:jc w:val="left"/>
              <w:rPr>
                <w:sz w:val="4"/>
                <w:szCs w:val="4"/>
              </w:rPr>
            </w:pPr>
            <w:r>
              <w:rPr>
                <w:sz w:val="4"/>
                <w:szCs w:val="4"/>
              </w:rPr>
            </w:r>
          </w:p>
        </w:tc>
        <w:tc>
          <w:tcPr>
            <w:tcW w:w="2090" w:type="dxa"/>
            <w:gridSpan w:val="2"/>
            <w:tcBorders>
              <w:right w:val="single" w:sz="6" w:space="0" w:color="00AE4F"/>
            </w:tcBorders>
            <w:shd w:fill="E5F6ED" w:val="clear"/>
            <w:tcMar>
              <w:right w:w="28" w:type="dxa"/>
            </w:tcMar>
            <w:vAlign w:val="center"/>
          </w:tcPr>
          <w:p>
            <w:pPr>
              <w:pStyle w:val="TableContents"/>
              <w:bidi w:val="0"/>
              <w:spacing w:before="0" w:after="283"/>
              <w:jc w:val="left"/>
              <w:rPr/>
            </w:pPr>
            <w:r>
              <w:rPr/>
              <w:t> </w:t>
            </w:r>
          </w:p>
        </w:tc>
      </w:tr>
      <w:tr>
        <w:trPr/>
        <w:tc>
          <w:tcPr>
            <w:tcW w:w="1805"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Revenue(1)</w:t>
            </w:r>
          </w:p>
        </w:tc>
        <w:tc>
          <w:tcPr>
            <w:tcW w:w="120" w:type="dxa"/>
            <w:tcBorders>
              <w:left w:val="single" w:sz="6" w:space="0" w:color="00552B"/>
              <w:bottom w:val="single" w:sz="6" w:space="0" w:color="7F7F7F"/>
            </w:tcBorders>
            <w:shd w:fill="EAEAE9" w:val="clear"/>
            <w:tcMar>
              <w:left w:w="28" w:type="dxa"/>
              <w:bottom w:w="28" w:type="dxa"/>
            </w:tcMar>
            <w:vAlign w:val="center"/>
          </w:tcPr>
          <w:p>
            <w:pPr>
              <w:pStyle w:val="TableContents"/>
              <w:bidi w:val="0"/>
              <w:spacing w:before="0" w:after="283"/>
              <w:jc w:val="left"/>
              <w:rPr/>
            </w:pPr>
            <w:r>
              <w:rPr/>
              <w:t>  </w:t>
            </w:r>
          </w:p>
        </w:tc>
        <w:tc>
          <w:tcPr>
            <w:tcW w:w="2075" w:type="dxa"/>
            <w:tcBorders>
              <w:bottom w:val="single" w:sz="6" w:space="0" w:color="7F7F7F"/>
              <w:right w:val="single" w:sz="6" w:space="0" w:color="00552B"/>
            </w:tcBorders>
            <w:shd w:fill="EAEAE9" w:val="clear"/>
            <w:tcMar>
              <w:bottom w:w="80" w:type="dxa"/>
              <w:right w:w="28" w:type="dxa"/>
            </w:tcMar>
            <w:vAlign w:val="center"/>
          </w:tcPr>
          <w:p>
            <w:pPr>
              <w:pStyle w:val="TableContents"/>
              <w:bidi w:val="0"/>
              <w:spacing w:before="0" w:after="283"/>
              <w:jc w:val="left"/>
              <w:rPr/>
            </w:pPr>
            <w:r>
              <w:rPr/>
              <w:t>$2.0B</w:t>
            </w:r>
          </w:p>
        </w:tc>
        <w:tc>
          <w:tcPr>
            <w:tcW w:w="120" w:type="dxa"/>
            <w:tcBorders>
              <w:bottom w:val="single" w:sz="6" w:space="0" w:color="7F7F7F"/>
            </w:tcBorders>
            <w:shd w:fill="E5F6ED" w:val="clear"/>
            <w:tcMar>
              <w:bottom w:w="28" w:type="dxa"/>
            </w:tcMar>
            <w:vAlign w:val="center"/>
          </w:tcPr>
          <w:p>
            <w:pPr>
              <w:pStyle w:val="TableContents"/>
              <w:bidi w:val="0"/>
              <w:spacing w:before="0" w:after="283"/>
              <w:jc w:val="left"/>
              <w:rPr/>
            </w:pPr>
            <w:r>
              <w:rPr/>
              <w:t>  </w:t>
            </w:r>
          </w:p>
        </w:tc>
        <w:tc>
          <w:tcPr>
            <w:tcW w:w="1985" w:type="dxa"/>
            <w:tcBorders>
              <w:bottom w:val="single" w:sz="6" w:space="0" w:color="7F7F7F"/>
            </w:tcBorders>
            <w:shd w:fill="E5F6ED" w:val="clear"/>
            <w:tcMar>
              <w:bottom w:w="80" w:type="dxa"/>
            </w:tcMar>
            <w:vAlign w:val="center"/>
          </w:tcPr>
          <w:p>
            <w:pPr>
              <w:pStyle w:val="TableContents"/>
              <w:bidi w:val="0"/>
              <w:spacing w:before="0" w:after="283"/>
              <w:jc w:val="left"/>
              <w:rPr/>
            </w:pPr>
            <w:r>
              <w:rPr/>
              <w:t>$1.2B</w:t>
            </w:r>
          </w:p>
        </w:tc>
        <w:tc>
          <w:tcPr>
            <w:tcW w:w="120" w:type="dxa"/>
            <w:tcBorders>
              <w:bottom w:val="single" w:sz="6" w:space="0" w:color="7F7F7F"/>
            </w:tcBorders>
            <w:shd w:fill="E5F6ED" w:val="clear"/>
            <w:tcMar>
              <w:bottom w:w="28" w:type="dxa"/>
            </w:tcMar>
            <w:vAlign w:val="center"/>
          </w:tcPr>
          <w:p>
            <w:pPr>
              <w:pStyle w:val="TableContents"/>
              <w:bidi w:val="0"/>
              <w:spacing w:before="0" w:after="283"/>
              <w:jc w:val="left"/>
              <w:rPr/>
            </w:pPr>
            <w:r>
              <w:rPr/>
              <w:t>  </w:t>
            </w:r>
          </w:p>
        </w:tc>
        <w:tc>
          <w:tcPr>
            <w:tcW w:w="1970" w:type="dxa"/>
            <w:tcBorders>
              <w:bottom w:val="single" w:sz="6" w:space="0" w:color="7F7F7F"/>
              <w:right w:val="single" w:sz="6" w:space="0" w:color="00AE4F"/>
            </w:tcBorders>
            <w:shd w:fill="E5F6ED" w:val="clear"/>
            <w:tcMar>
              <w:bottom w:w="80" w:type="dxa"/>
              <w:right w:w="40" w:type="dxa"/>
            </w:tcMar>
            <w:vAlign w:val="center"/>
          </w:tcPr>
          <w:p>
            <w:pPr>
              <w:pStyle w:val="TableContents"/>
              <w:bidi w:val="0"/>
              <w:spacing w:before="0" w:after="283"/>
              <w:jc w:val="left"/>
              <w:rPr/>
            </w:pPr>
            <w:r>
              <w:rPr/>
              <w:t>$1.0B</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2195" w:type="dxa"/>
            <w:gridSpan w:val="2"/>
            <w:tcBorders>
              <w:left w:val="single" w:sz="6" w:space="0" w:color="00552B"/>
              <w:right w:val="single" w:sz="6" w:space="0" w:color="00552B"/>
            </w:tcBorders>
            <w:shd w:fill="EAEAE9" w:val="clear"/>
            <w:tcMar>
              <w:left w:w="28" w:type="dxa"/>
              <w:right w:w="28" w:type="dxa"/>
            </w:tcMar>
            <w:vAlign w:val="center"/>
          </w:tcPr>
          <w:p>
            <w:pPr>
              <w:pStyle w:val="TableContents"/>
              <w:bidi w:val="0"/>
              <w:spacing w:before="0" w:after="283"/>
              <w:jc w:val="left"/>
              <w:rPr/>
            </w:pPr>
            <w:r>
              <w:rPr/>
              <w:t> </w:t>
            </w:r>
          </w:p>
        </w:tc>
        <w:tc>
          <w:tcPr>
            <w:tcW w:w="2105" w:type="dxa"/>
            <w:gridSpan w:val="2"/>
            <w:tcBorders/>
            <w:shd w:fill="E5F6ED" w:val="clear"/>
            <w:vAlign w:val="center"/>
          </w:tcPr>
          <w:p>
            <w:pPr>
              <w:pStyle w:val="TableContents"/>
              <w:bidi w:val="0"/>
              <w:spacing w:before="0" w:after="283"/>
              <w:jc w:val="left"/>
              <w:rPr>
                <w:sz w:val="4"/>
                <w:szCs w:val="4"/>
              </w:rPr>
            </w:pPr>
            <w:r>
              <w:rPr>
                <w:sz w:val="4"/>
                <w:szCs w:val="4"/>
              </w:rPr>
            </w:r>
          </w:p>
        </w:tc>
        <w:tc>
          <w:tcPr>
            <w:tcW w:w="2090" w:type="dxa"/>
            <w:gridSpan w:val="2"/>
            <w:tcBorders>
              <w:right w:val="single" w:sz="6" w:space="0" w:color="00AE4F"/>
            </w:tcBorders>
            <w:shd w:fill="E5F6ED" w:val="clear"/>
            <w:tcMar>
              <w:right w:w="28" w:type="dxa"/>
            </w:tcMar>
            <w:vAlign w:val="center"/>
          </w:tcPr>
          <w:p>
            <w:pPr>
              <w:pStyle w:val="TableContents"/>
              <w:bidi w:val="0"/>
              <w:spacing w:before="0" w:after="283"/>
              <w:jc w:val="left"/>
              <w:rPr/>
            </w:pPr>
            <w:r>
              <w:rPr/>
              <w:t> </w:t>
            </w:r>
          </w:p>
        </w:tc>
      </w:tr>
      <w:tr>
        <w:trPr/>
        <w:tc>
          <w:tcPr>
            <w:tcW w:w="1805"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GP Margin</w:t>
            </w:r>
          </w:p>
        </w:tc>
        <w:tc>
          <w:tcPr>
            <w:tcW w:w="120" w:type="dxa"/>
            <w:tcBorders>
              <w:left w:val="single" w:sz="6" w:space="0" w:color="00552B"/>
              <w:bottom w:val="single" w:sz="6" w:space="0" w:color="7F7F7F"/>
            </w:tcBorders>
            <w:shd w:fill="EAEAE9" w:val="clear"/>
            <w:tcMar>
              <w:left w:w="28" w:type="dxa"/>
              <w:bottom w:w="28" w:type="dxa"/>
            </w:tcMar>
            <w:vAlign w:val="center"/>
          </w:tcPr>
          <w:p>
            <w:pPr>
              <w:pStyle w:val="TableContents"/>
              <w:bidi w:val="0"/>
              <w:spacing w:before="0" w:after="283"/>
              <w:jc w:val="left"/>
              <w:rPr/>
            </w:pPr>
            <w:r>
              <w:rPr/>
              <w:t>  </w:t>
            </w:r>
          </w:p>
        </w:tc>
        <w:tc>
          <w:tcPr>
            <w:tcW w:w="2075" w:type="dxa"/>
            <w:tcBorders>
              <w:bottom w:val="single" w:sz="6" w:space="0" w:color="7F7F7F"/>
              <w:right w:val="single" w:sz="6" w:space="0" w:color="00552B"/>
            </w:tcBorders>
            <w:shd w:fill="EAEAE9" w:val="clear"/>
            <w:tcMar>
              <w:bottom w:w="80" w:type="dxa"/>
              <w:right w:w="28" w:type="dxa"/>
            </w:tcMar>
            <w:vAlign w:val="center"/>
          </w:tcPr>
          <w:p>
            <w:pPr>
              <w:pStyle w:val="TableContents"/>
              <w:bidi w:val="0"/>
              <w:spacing w:before="0" w:after="283"/>
              <w:jc w:val="left"/>
              <w:rPr/>
            </w:pPr>
            <w:r>
              <w:rPr/>
              <w:t>19.6%</w:t>
            </w:r>
          </w:p>
        </w:tc>
        <w:tc>
          <w:tcPr>
            <w:tcW w:w="120" w:type="dxa"/>
            <w:tcBorders>
              <w:bottom w:val="single" w:sz="6" w:space="0" w:color="7F7F7F"/>
            </w:tcBorders>
            <w:shd w:fill="E5F6ED" w:val="clear"/>
            <w:tcMar>
              <w:bottom w:w="28" w:type="dxa"/>
            </w:tcMar>
            <w:vAlign w:val="center"/>
          </w:tcPr>
          <w:p>
            <w:pPr>
              <w:pStyle w:val="TableContents"/>
              <w:bidi w:val="0"/>
              <w:spacing w:before="0" w:after="283"/>
              <w:jc w:val="left"/>
              <w:rPr/>
            </w:pPr>
            <w:r>
              <w:rPr/>
              <w:t>  </w:t>
            </w:r>
          </w:p>
        </w:tc>
        <w:tc>
          <w:tcPr>
            <w:tcW w:w="1985" w:type="dxa"/>
            <w:tcBorders>
              <w:bottom w:val="single" w:sz="6" w:space="0" w:color="7F7F7F"/>
            </w:tcBorders>
            <w:shd w:fill="E5F6ED" w:val="clear"/>
            <w:tcMar>
              <w:bottom w:w="80" w:type="dxa"/>
            </w:tcMar>
            <w:vAlign w:val="center"/>
          </w:tcPr>
          <w:p>
            <w:pPr>
              <w:pStyle w:val="TableContents"/>
              <w:bidi w:val="0"/>
              <w:spacing w:before="0" w:after="283"/>
              <w:jc w:val="left"/>
              <w:rPr/>
            </w:pPr>
            <w:r>
              <w:rPr/>
              <w:t>25.3%</w:t>
            </w:r>
          </w:p>
        </w:tc>
        <w:tc>
          <w:tcPr>
            <w:tcW w:w="120" w:type="dxa"/>
            <w:tcBorders>
              <w:bottom w:val="single" w:sz="6" w:space="0" w:color="7F7F7F"/>
            </w:tcBorders>
            <w:shd w:fill="E5F6ED" w:val="clear"/>
            <w:tcMar>
              <w:bottom w:w="28" w:type="dxa"/>
            </w:tcMar>
            <w:vAlign w:val="center"/>
          </w:tcPr>
          <w:p>
            <w:pPr>
              <w:pStyle w:val="TableContents"/>
              <w:bidi w:val="0"/>
              <w:spacing w:before="0" w:after="283"/>
              <w:jc w:val="left"/>
              <w:rPr/>
            </w:pPr>
            <w:r>
              <w:rPr/>
              <w:t>  </w:t>
            </w:r>
          </w:p>
        </w:tc>
        <w:tc>
          <w:tcPr>
            <w:tcW w:w="1970" w:type="dxa"/>
            <w:tcBorders>
              <w:bottom w:val="single" w:sz="6" w:space="0" w:color="7F7F7F"/>
              <w:right w:val="single" w:sz="6" w:space="0" w:color="00AE4F"/>
            </w:tcBorders>
            <w:shd w:fill="E5F6ED" w:val="clear"/>
            <w:tcMar>
              <w:bottom w:w="80" w:type="dxa"/>
              <w:right w:w="40" w:type="dxa"/>
            </w:tcMar>
            <w:vAlign w:val="center"/>
          </w:tcPr>
          <w:p>
            <w:pPr>
              <w:pStyle w:val="TableContents"/>
              <w:bidi w:val="0"/>
              <w:spacing w:before="0" w:after="283"/>
              <w:jc w:val="left"/>
              <w:rPr/>
            </w:pPr>
            <w:r>
              <w:rPr/>
              <w:t>14.5%</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2195" w:type="dxa"/>
            <w:gridSpan w:val="2"/>
            <w:tcBorders>
              <w:left w:val="single" w:sz="6" w:space="0" w:color="00552B"/>
              <w:right w:val="single" w:sz="6" w:space="0" w:color="00552B"/>
            </w:tcBorders>
            <w:shd w:fill="EAEAE9" w:val="clear"/>
            <w:tcMar>
              <w:left w:w="28" w:type="dxa"/>
              <w:right w:w="28" w:type="dxa"/>
            </w:tcMar>
            <w:vAlign w:val="center"/>
          </w:tcPr>
          <w:p>
            <w:pPr>
              <w:pStyle w:val="TableContents"/>
              <w:bidi w:val="0"/>
              <w:spacing w:before="0" w:after="283"/>
              <w:jc w:val="left"/>
              <w:rPr/>
            </w:pPr>
            <w:r>
              <w:rPr/>
              <w:t> </w:t>
            </w:r>
          </w:p>
        </w:tc>
        <w:tc>
          <w:tcPr>
            <w:tcW w:w="2105" w:type="dxa"/>
            <w:gridSpan w:val="2"/>
            <w:tcBorders/>
            <w:shd w:fill="E5F6ED" w:val="clear"/>
            <w:vAlign w:val="center"/>
          </w:tcPr>
          <w:p>
            <w:pPr>
              <w:pStyle w:val="TableContents"/>
              <w:bidi w:val="0"/>
              <w:spacing w:before="0" w:after="283"/>
              <w:jc w:val="left"/>
              <w:rPr>
                <w:sz w:val="4"/>
                <w:szCs w:val="4"/>
              </w:rPr>
            </w:pPr>
            <w:r>
              <w:rPr>
                <w:sz w:val="4"/>
                <w:szCs w:val="4"/>
              </w:rPr>
            </w:r>
          </w:p>
        </w:tc>
        <w:tc>
          <w:tcPr>
            <w:tcW w:w="2090" w:type="dxa"/>
            <w:gridSpan w:val="2"/>
            <w:tcBorders>
              <w:right w:val="single" w:sz="6" w:space="0" w:color="00AE4F"/>
            </w:tcBorders>
            <w:shd w:fill="E5F6ED" w:val="clear"/>
            <w:tcMar>
              <w:right w:w="28" w:type="dxa"/>
            </w:tcMar>
            <w:vAlign w:val="center"/>
          </w:tcPr>
          <w:p>
            <w:pPr>
              <w:pStyle w:val="TableContents"/>
              <w:bidi w:val="0"/>
              <w:spacing w:before="0" w:after="283"/>
              <w:jc w:val="left"/>
              <w:rPr/>
            </w:pPr>
            <w:r>
              <w:rPr/>
              <w:t> </w:t>
            </w:r>
          </w:p>
        </w:tc>
      </w:tr>
      <w:tr>
        <w:trPr/>
        <w:tc>
          <w:tcPr>
            <w:tcW w:w="1805"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Adj. EBITDA Margin(2)</w:t>
            </w:r>
          </w:p>
        </w:tc>
        <w:tc>
          <w:tcPr>
            <w:tcW w:w="120" w:type="dxa"/>
            <w:tcBorders>
              <w:left w:val="single" w:sz="6" w:space="0" w:color="00552B"/>
              <w:bottom w:val="single" w:sz="6" w:space="0" w:color="7F7F7F"/>
            </w:tcBorders>
            <w:shd w:fill="EAEAE9" w:val="clear"/>
            <w:tcMar>
              <w:left w:w="28" w:type="dxa"/>
              <w:bottom w:w="28" w:type="dxa"/>
            </w:tcMar>
            <w:vAlign w:val="center"/>
          </w:tcPr>
          <w:p>
            <w:pPr>
              <w:pStyle w:val="TableContents"/>
              <w:bidi w:val="0"/>
              <w:spacing w:before="0" w:after="283"/>
              <w:jc w:val="left"/>
              <w:rPr/>
            </w:pPr>
            <w:r>
              <w:rPr/>
              <w:t>  </w:t>
            </w:r>
          </w:p>
        </w:tc>
        <w:tc>
          <w:tcPr>
            <w:tcW w:w="2075" w:type="dxa"/>
            <w:tcBorders>
              <w:bottom w:val="single" w:sz="6" w:space="0" w:color="7F7F7F"/>
              <w:right w:val="single" w:sz="6" w:space="0" w:color="00552B"/>
            </w:tcBorders>
            <w:shd w:fill="EAEAE9" w:val="clear"/>
            <w:tcMar>
              <w:bottom w:w="80" w:type="dxa"/>
              <w:right w:w="28" w:type="dxa"/>
            </w:tcMar>
            <w:vAlign w:val="center"/>
          </w:tcPr>
          <w:p>
            <w:pPr>
              <w:pStyle w:val="TableContents"/>
              <w:bidi w:val="0"/>
              <w:spacing w:before="0" w:after="283"/>
              <w:jc w:val="left"/>
              <w:rPr/>
            </w:pPr>
            <w:r>
              <w:rPr/>
              <w:t>1.4%</w:t>
            </w:r>
          </w:p>
        </w:tc>
        <w:tc>
          <w:tcPr>
            <w:tcW w:w="120" w:type="dxa"/>
            <w:tcBorders>
              <w:bottom w:val="single" w:sz="6" w:space="0" w:color="7F7F7F"/>
            </w:tcBorders>
            <w:shd w:fill="E5F6ED" w:val="clear"/>
            <w:tcMar>
              <w:bottom w:w="28" w:type="dxa"/>
            </w:tcMar>
            <w:vAlign w:val="center"/>
          </w:tcPr>
          <w:p>
            <w:pPr>
              <w:pStyle w:val="TableContents"/>
              <w:bidi w:val="0"/>
              <w:spacing w:before="0" w:after="283"/>
              <w:jc w:val="left"/>
              <w:rPr/>
            </w:pPr>
            <w:r>
              <w:rPr/>
              <w:t>  </w:t>
            </w:r>
          </w:p>
        </w:tc>
        <w:tc>
          <w:tcPr>
            <w:tcW w:w="1985" w:type="dxa"/>
            <w:tcBorders>
              <w:bottom w:val="single" w:sz="6" w:space="0" w:color="7F7F7F"/>
            </w:tcBorders>
            <w:shd w:fill="E5F6ED" w:val="clear"/>
            <w:tcMar>
              <w:bottom w:w="80" w:type="dxa"/>
            </w:tcMar>
            <w:vAlign w:val="center"/>
          </w:tcPr>
          <w:p>
            <w:pPr>
              <w:pStyle w:val="TableContents"/>
              <w:bidi w:val="0"/>
              <w:spacing w:before="0" w:after="283"/>
              <w:jc w:val="left"/>
              <w:rPr/>
            </w:pPr>
            <w:r>
              <w:rPr/>
              <w:t>5.5%</w:t>
            </w:r>
          </w:p>
        </w:tc>
        <w:tc>
          <w:tcPr>
            <w:tcW w:w="120" w:type="dxa"/>
            <w:tcBorders>
              <w:bottom w:val="single" w:sz="6" w:space="0" w:color="7F7F7F"/>
            </w:tcBorders>
            <w:shd w:fill="E5F6ED" w:val="clear"/>
            <w:tcMar>
              <w:bottom w:w="28" w:type="dxa"/>
            </w:tcMar>
            <w:vAlign w:val="center"/>
          </w:tcPr>
          <w:p>
            <w:pPr>
              <w:pStyle w:val="TableContents"/>
              <w:bidi w:val="0"/>
              <w:spacing w:before="0" w:after="283"/>
              <w:jc w:val="left"/>
              <w:rPr/>
            </w:pPr>
            <w:r>
              <w:rPr/>
              <w:t>  </w:t>
            </w:r>
          </w:p>
        </w:tc>
        <w:tc>
          <w:tcPr>
            <w:tcW w:w="1970" w:type="dxa"/>
            <w:tcBorders>
              <w:bottom w:val="single" w:sz="6" w:space="0" w:color="7F7F7F"/>
              <w:right w:val="single" w:sz="6" w:space="0" w:color="00AE4F"/>
            </w:tcBorders>
            <w:shd w:fill="E5F6ED" w:val="clear"/>
            <w:tcMar>
              <w:bottom w:w="80" w:type="dxa"/>
              <w:right w:w="40" w:type="dxa"/>
            </w:tcMar>
            <w:vAlign w:val="center"/>
          </w:tcPr>
          <w:p>
            <w:pPr>
              <w:pStyle w:val="TableContents"/>
              <w:bidi w:val="0"/>
              <w:spacing w:before="0" w:after="283"/>
              <w:jc w:val="left"/>
              <w:rPr/>
            </w:pPr>
            <w:r>
              <w:rPr/>
              <w:t>4.6%</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2195" w:type="dxa"/>
            <w:gridSpan w:val="2"/>
            <w:tcBorders>
              <w:left w:val="single" w:sz="6" w:space="0" w:color="00552B"/>
              <w:right w:val="single" w:sz="6" w:space="0" w:color="00552B"/>
            </w:tcBorders>
            <w:shd w:fill="EAEAE9" w:val="clear"/>
            <w:tcMar>
              <w:left w:w="28" w:type="dxa"/>
              <w:right w:w="28" w:type="dxa"/>
            </w:tcMar>
            <w:vAlign w:val="center"/>
          </w:tcPr>
          <w:p>
            <w:pPr>
              <w:pStyle w:val="TableContents"/>
              <w:bidi w:val="0"/>
              <w:spacing w:before="0" w:after="283"/>
              <w:jc w:val="left"/>
              <w:rPr/>
            </w:pPr>
            <w:r>
              <w:rPr/>
              <w:t> </w:t>
            </w:r>
          </w:p>
        </w:tc>
        <w:tc>
          <w:tcPr>
            <w:tcW w:w="2105" w:type="dxa"/>
            <w:gridSpan w:val="2"/>
            <w:tcBorders/>
            <w:shd w:fill="E5F6ED" w:val="clear"/>
            <w:vAlign w:val="center"/>
          </w:tcPr>
          <w:p>
            <w:pPr>
              <w:pStyle w:val="TableContents"/>
              <w:bidi w:val="0"/>
              <w:spacing w:before="0" w:after="283"/>
              <w:jc w:val="left"/>
              <w:rPr>
                <w:sz w:val="4"/>
                <w:szCs w:val="4"/>
              </w:rPr>
            </w:pPr>
            <w:r>
              <w:rPr>
                <w:sz w:val="4"/>
                <w:szCs w:val="4"/>
              </w:rPr>
            </w:r>
          </w:p>
        </w:tc>
        <w:tc>
          <w:tcPr>
            <w:tcW w:w="2090" w:type="dxa"/>
            <w:gridSpan w:val="2"/>
            <w:tcBorders>
              <w:right w:val="single" w:sz="6" w:space="0" w:color="00AE4F"/>
            </w:tcBorders>
            <w:shd w:fill="E5F6ED" w:val="clear"/>
            <w:tcMar>
              <w:right w:w="28" w:type="dxa"/>
            </w:tcMar>
            <w:vAlign w:val="center"/>
          </w:tcPr>
          <w:p>
            <w:pPr>
              <w:pStyle w:val="TableContents"/>
              <w:bidi w:val="0"/>
              <w:spacing w:before="0" w:after="283"/>
              <w:jc w:val="left"/>
              <w:rPr/>
            </w:pPr>
            <w:r>
              <w:rPr/>
              <w:t> </w:t>
            </w:r>
          </w:p>
        </w:tc>
      </w:tr>
      <w:tr>
        <w:trPr/>
        <w:tc>
          <w:tcPr>
            <w:tcW w:w="1805"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Geography</w:t>
            </w:r>
          </w:p>
        </w:tc>
        <w:tc>
          <w:tcPr>
            <w:tcW w:w="120" w:type="dxa"/>
            <w:tcBorders>
              <w:left w:val="single" w:sz="6" w:space="0" w:color="00552B"/>
              <w:bottom w:val="single" w:sz="6" w:space="0" w:color="7F7F7F"/>
            </w:tcBorders>
            <w:shd w:fill="EAEAE9" w:val="clear"/>
            <w:tcMar>
              <w:left w:w="28" w:type="dxa"/>
              <w:bottom w:w="28" w:type="dxa"/>
            </w:tcMar>
            <w:vAlign w:val="center"/>
          </w:tcPr>
          <w:p>
            <w:pPr>
              <w:pStyle w:val="TableContents"/>
              <w:bidi w:val="0"/>
              <w:spacing w:before="0" w:after="283"/>
              <w:jc w:val="left"/>
              <w:rPr/>
            </w:pPr>
            <w:r>
              <w:rPr/>
              <w:t>  </w:t>
            </w:r>
          </w:p>
        </w:tc>
        <w:tc>
          <w:tcPr>
            <w:tcW w:w="2075" w:type="dxa"/>
            <w:tcBorders>
              <w:bottom w:val="single" w:sz="6" w:space="0" w:color="7F7F7F"/>
              <w:right w:val="single" w:sz="6" w:space="0" w:color="00552B"/>
            </w:tcBorders>
            <w:shd w:fill="EAEAE9" w:val="clear"/>
            <w:tcMar>
              <w:bottom w:w="80" w:type="dxa"/>
              <w:right w:w="28" w:type="dxa"/>
            </w:tcMar>
            <w:vAlign w:val="center"/>
          </w:tcPr>
          <w:p>
            <w:pPr>
              <w:pStyle w:val="TableContents"/>
              <w:bidi w:val="0"/>
              <w:spacing w:before="0" w:after="283"/>
              <w:jc w:val="left"/>
              <w:rPr/>
            </w:pPr>
            <w:r>
              <w:rPr/>
              <w:t>Global</w:t>
            </w:r>
          </w:p>
        </w:tc>
        <w:tc>
          <w:tcPr>
            <w:tcW w:w="120" w:type="dxa"/>
            <w:tcBorders>
              <w:bottom w:val="single" w:sz="6" w:space="0" w:color="7F7F7F"/>
            </w:tcBorders>
            <w:shd w:fill="E5F6ED" w:val="clear"/>
            <w:tcMar>
              <w:bottom w:w="28" w:type="dxa"/>
            </w:tcMar>
            <w:vAlign w:val="center"/>
          </w:tcPr>
          <w:p>
            <w:pPr>
              <w:pStyle w:val="TableContents"/>
              <w:bidi w:val="0"/>
              <w:spacing w:before="0" w:after="283"/>
              <w:jc w:val="left"/>
              <w:rPr/>
            </w:pPr>
            <w:r>
              <w:rPr/>
              <w:t>  </w:t>
            </w:r>
          </w:p>
        </w:tc>
        <w:tc>
          <w:tcPr>
            <w:tcW w:w="1985" w:type="dxa"/>
            <w:tcBorders>
              <w:bottom w:val="single" w:sz="6" w:space="0" w:color="7F7F7F"/>
            </w:tcBorders>
            <w:shd w:fill="E5F6ED" w:val="clear"/>
            <w:tcMar>
              <w:bottom w:w="80" w:type="dxa"/>
            </w:tcMar>
            <w:vAlign w:val="center"/>
          </w:tcPr>
          <w:p>
            <w:pPr>
              <w:pStyle w:val="TableContents"/>
              <w:bidi w:val="0"/>
              <w:spacing w:before="0" w:after="283"/>
              <w:jc w:val="left"/>
              <w:rPr/>
            </w:pPr>
            <w:r>
              <w:rPr/>
              <w:t>North America</w:t>
            </w:r>
          </w:p>
        </w:tc>
        <w:tc>
          <w:tcPr>
            <w:tcW w:w="120" w:type="dxa"/>
            <w:tcBorders>
              <w:bottom w:val="single" w:sz="6" w:space="0" w:color="7F7F7F"/>
            </w:tcBorders>
            <w:shd w:fill="E5F6ED" w:val="clear"/>
            <w:tcMar>
              <w:bottom w:w="28" w:type="dxa"/>
            </w:tcMar>
            <w:vAlign w:val="center"/>
          </w:tcPr>
          <w:p>
            <w:pPr>
              <w:pStyle w:val="TableContents"/>
              <w:bidi w:val="0"/>
              <w:spacing w:before="0" w:after="283"/>
              <w:jc w:val="left"/>
              <w:rPr/>
            </w:pPr>
            <w:r>
              <w:rPr/>
              <w:t>  </w:t>
            </w:r>
          </w:p>
        </w:tc>
        <w:tc>
          <w:tcPr>
            <w:tcW w:w="1970" w:type="dxa"/>
            <w:tcBorders>
              <w:bottom w:val="single" w:sz="6" w:space="0" w:color="7F7F7F"/>
              <w:right w:val="single" w:sz="6" w:space="0" w:color="00AE4F"/>
            </w:tcBorders>
            <w:shd w:fill="E5F6ED" w:val="clear"/>
            <w:tcMar>
              <w:bottom w:w="80" w:type="dxa"/>
              <w:right w:w="40" w:type="dxa"/>
            </w:tcMar>
            <w:vAlign w:val="center"/>
          </w:tcPr>
          <w:p>
            <w:pPr>
              <w:pStyle w:val="TableContents"/>
              <w:bidi w:val="0"/>
              <w:spacing w:before="0" w:after="283"/>
              <w:jc w:val="left"/>
              <w:rPr/>
            </w:pPr>
            <w:r>
              <w:rPr/>
              <w:t>U.S.</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2195" w:type="dxa"/>
            <w:gridSpan w:val="2"/>
            <w:tcBorders>
              <w:left w:val="single" w:sz="6" w:space="0" w:color="00552B"/>
              <w:right w:val="single" w:sz="6" w:space="0" w:color="00552B"/>
            </w:tcBorders>
            <w:shd w:fill="EAEAE9" w:val="clear"/>
            <w:tcMar>
              <w:left w:w="28" w:type="dxa"/>
              <w:right w:w="28" w:type="dxa"/>
            </w:tcMar>
            <w:vAlign w:val="center"/>
          </w:tcPr>
          <w:p>
            <w:pPr>
              <w:pStyle w:val="TableContents"/>
              <w:bidi w:val="0"/>
              <w:spacing w:before="0" w:after="283"/>
              <w:jc w:val="left"/>
              <w:rPr/>
            </w:pPr>
            <w:r>
              <w:rPr/>
              <w:t> </w:t>
            </w:r>
          </w:p>
        </w:tc>
        <w:tc>
          <w:tcPr>
            <w:tcW w:w="2105" w:type="dxa"/>
            <w:gridSpan w:val="2"/>
            <w:tcBorders/>
            <w:shd w:fill="E5F6ED" w:val="clear"/>
            <w:vAlign w:val="center"/>
          </w:tcPr>
          <w:p>
            <w:pPr>
              <w:pStyle w:val="TableContents"/>
              <w:bidi w:val="0"/>
              <w:spacing w:before="0" w:after="283"/>
              <w:jc w:val="left"/>
              <w:rPr>
                <w:sz w:val="4"/>
                <w:szCs w:val="4"/>
              </w:rPr>
            </w:pPr>
            <w:r>
              <w:rPr>
                <w:sz w:val="4"/>
                <w:szCs w:val="4"/>
              </w:rPr>
            </w:r>
          </w:p>
        </w:tc>
        <w:tc>
          <w:tcPr>
            <w:tcW w:w="2090" w:type="dxa"/>
            <w:gridSpan w:val="2"/>
            <w:tcBorders>
              <w:right w:val="single" w:sz="6" w:space="0" w:color="00AE4F"/>
            </w:tcBorders>
            <w:shd w:fill="E5F6ED" w:val="clear"/>
            <w:tcMar>
              <w:right w:w="28" w:type="dxa"/>
            </w:tcMar>
            <w:vAlign w:val="center"/>
          </w:tcPr>
          <w:p>
            <w:pPr>
              <w:pStyle w:val="TableContents"/>
              <w:bidi w:val="0"/>
              <w:spacing w:before="0" w:after="283"/>
              <w:jc w:val="left"/>
              <w:rPr/>
            </w:pPr>
            <w:r>
              <w:rPr/>
              <w:t> </w:t>
            </w:r>
          </w:p>
        </w:tc>
      </w:tr>
      <w:tr>
        <w:trPr/>
        <w:tc>
          <w:tcPr>
            <w:tcW w:w="1805"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Solutions</w:t>
            </w:r>
          </w:p>
        </w:tc>
        <w:tc>
          <w:tcPr>
            <w:tcW w:w="120" w:type="dxa"/>
            <w:tcBorders>
              <w:left w:val="single" w:sz="6" w:space="0" w:color="00552B"/>
              <w:bottom w:val="single" w:sz="6" w:space="0" w:color="7F7F7F"/>
            </w:tcBorders>
            <w:shd w:fill="EAEAE9" w:val="clear"/>
            <w:tcMar>
              <w:left w:w="28" w:type="dxa"/>
              <w:bottom w:w="28" w:type="dxa"/>
            </w:tcMar>
            <w:vAlign w:val="center"/>
          </w:tcPr>
          <w:p>
            <w:pPr>
              <w:pStyle w:val="TableContents"/>
              <w:bidi w:val="0"/>
              <w:spacing w:before="0" w:after="283"/>
              <w:jc w:val="left"/>
              <w:rPr/>
            </w:pPr>
            <w:r>
              <w:rPr/>
              <w:t>  </w:t>
            </w:r>
          </w:p>
        </w:tc>
        <w:tc>
          <w:tcPr>
            <w:tcW w:w="2075" w:type="dxa"/>
            <w:tcBorders>
              <w:bottom w:val="single" w:sz="6" w:space="0" w:color="7F7F7F"/>
              <w:right w:val="single" w:sz="6" w:space="0" w:color="00552B"/>
            </w:tcBorders>
            <w:shd w:fill="EAEAE9" w:val="clear"/>
            <w:tcMar>
              <w:bottom w:w="80" w:type="dxa"/>
              <w:right w:w="28" w:type="dxa"/>
            </w:tcM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Temp staffing</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Perm placement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Outcome-based</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Talent solutions</w:t>
            </w:r>
          </w:p>
        </w:tc>
        <w:tc>
          <w:tcPr>
            <w:tcW w:w="120" w:type="dxa"/>
            <w:tcBorders>
              <w:bottom w:val="single" w:sz="6" w:space="0" w:color="7F7F7F"/>
            </w:tcBorders>
            <w:shd w:fill="E5F6ED" w:val="clear"/>
            <w:tcMar>
              <w:bottom w:w="28" w:type="dxa"/>
            </w:tcMar>
            <w:vAlign w:val="center"/>
          </w:tcPr>
          <w:p>
            <w:pPr>
              <w:pStyle w:val="TableContents"/>
              <w:bidi w:val="0"/>
              <w:spacing w:before="0" w:after="283"/>
              <w:jc w:val="left"/>
              <w:rPr/>
            </w:pPr>
            <w:r>
              <w:rPr/>
              <w:t>  </w:t>
            </w:r>
          </w:p>
        </w:tc>
        <w:tc>
          <w:tcPr>
            <w:tcW w:w="1985" w:type="dxa"/>
            <w:tcBorders>
              <w:bottom w:val="single" w:sz="6" w:space="0" w:color="7F7F7F"/>
            </w:tcBorders>
            <w:shd w:fill="E5F6ED" w:val="clear"/>
            <w:tcMar>
              <w:bottom w:w="80" w:type="dxa"/>
            </w:tcM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Temp staffing</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Perm placement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Outcome-based</w:t>
            </w:r>
          </w:p>
        </w:tc>
        <w:tc>
          <w:tcPr>
            <w:tcW w:w="120" w:type="dxa"/>
            <w:tcBorders>
              <w:bottom w:val="single" w:sz="6" w:space="0" w:color="7F7F7F"/>
            </w:tcBorders>
            <w:shd w:fill="E5F6ED" w:val="clear"/>
            <w:tcMar>
              <w:bottom w:w="28" w:type="dxa"/>
            </w:tcMar>
            <w:vAlign w:val="center"/>
          </w:tcPr>
          <w:p>
            <w:pPr>
              <w:pStyle w:val="TableContents"/>
              <w:bidi w:val="0"/>
              <w:spacing w:before="0" w:after="283"/>
              <w:jc w:val="left"/>
              <w:rPr/>
            </w:pPr>
            <w:r>
              <w:rPr/>
              <w:t>  </w:t>
            </w:r>
          </w:p>
        </w:tc>
        <w:tc>
          <w:tcPr>
            <w:tcW w:w="1970" w:type="dxa"/>
            <w:tcBorders>
              <w:bottom w:val="single" w:sz="6" w:space="0" w:color="7F7F7F"/>
              <w:right w:val="single" w:sz="6" w:space="0" w:color="00AE4F"/>
            </w:tcBorders>
            <w:shd w:fill="E5F6ED" w:val="clear"/>
            <w:tcMar>
              <w:bottom w:w="80" w:type="dxa"/>
              <w:right w:w="40" w:type="dxa"/>
            </w:tcM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Temp staffing</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Perm placement</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2195" w:type="dxa"/>
            <w:gridSpan w:val="2"/>
            <w:tcBorders>
              <w:left w:val="single" w:sz="6" w:space="0" w:color="00552B"/>
              <w:right w:val="single" w:sz="6" w:space="0" w:color="00552B"/>
            </w:tcBorders>
            <w:shd w:fill="EAEAE9" w:val="clear"/>
            <w:tcMar>
              <w:left w:w="28" w:type="dxa"/>
              <w:right w:w="28" w:type="dxa"/>
            </w:tcMar>
            <w:vAlign w:val="center"/>
          </w:tcPr>
          <w:p>
            <w:pPr>
              <w:pStyle w:val="TableContents"/>
              <w:bidi w:val="0"/>
              <w:spacing w:before="0" w:after="283"/>
              <w:jc w:val="left"/>
              <w:rPr/>
            </w:pPr>
            <w:r>
              <w:rPr/>
              <w:t> </w:t>
            </w:r>
          </w:p>
        </w:tc>
        <w:tc>
          <w:tcPr>
            <w:tcW w:w="2105" w:type="dxa"/>
            <w:gridSpan w:val="2"/>
            <w:tcBorders/>
            <w:shd w:fill="E5F6ED" w:val="clear"/>
            <w:vAlign w:val="center"/>
          </w:tcPr>
          <w:p>
            <w:pPr>
              <w:pStyle w:val="TableContents"/>
              <w:bidi w:val="0"/>
              <w:spacing w:before="0" w:after="283"/>
              <w:jc w:val="left"/>
              <w:rPr>
                <w:sz w:val="4"/>
                <w:szCs w:val="4"/>
              </w:rPr>
            </w:pPr>
            <w:r>
              <w:rPr>
                <w:sz w:val="4"/>
                <w:szCs w:val="4"/>
              </w:rPr>
            </w:r>
          </w:p>
        </w:tc>
        <w:tc>
          <w:tcPr>
            <w:tcW w:w="2090" w:type="dxa"/>
            <w:gridSpan w:val="2"/>
            <w:tcBorders>
              <w:right w:val="single" w:sz="6" w:space="0" w:color="00AE4F"/>
            </w:tcBorders>
            <w:shd w:fill="E5F6ED" w:val="clear"/>
            <w:tcMar>
              <w:right w:w="28" w:type="dxa"/>
            </w:tcMar>
            <w:vAlign w:val="center"/>
          </w:tcPr>
          <w:p>
            <w:pPr>
              <w:pStyle w:val="TableContents"/>
              <w:bidi w:val="0"/>
              <w:spacing w:before="0" w:after="283"/>
              <w:jc w:val="left"/>
              <w:rPr/>
            </w:pPr>
            <w:r>
              <w:rPr/>
              <w:t> </w:t>
            </w:r>
          </w:p>
        </w:tc>
      </w:tr>
      <w:tr>
        <w:trPr/>
        <w:tc>
          <w:tcPr>
            <w:tcW w:w="1805"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Specialties</w:t>
            </w:r>
          </w:p>
        </w:tc>
        <w:tc>
          <w:tcPr>
            <w:tcW w:w="120" w:type="dxa"/>
            <w:tcBorders>
              <w:left w:val="single" w:sz="6" w:space="0" w:color="00552B"/>
              <w:bottom w:val="single" w:sz="6" w:space="0" w:color="7F7F7F"/>
            </w:tcBorders>
            <w:shd w:fill="EAEAE9" w:val="clear"/>
            <w:tcMar>
              <w:left w:w="28" w:type="dxa"/>
              <w:bottom w:w="28" w:type="dxa"/>
            </w:tcMar>
            <w:vAlign w:val="center"/>
          </w:tcPr>
          <w:p>
            <w:pPr>
              <w:pStyle w:val="TableContents"/>
              <w:bidi w:val="0"/>
              <w:spacing w:before="0" w:after="283"/>
              <w:jc w:val="left"/>
              <w:rPr/>
            </w:pPr>
            <w:r>
              <w:rPr/>
              <w:t>  </w:t>
            </w:r>
          </w:p>
        </w:tc>
        <w:tc>
          <w:tcPr>
            <w:tcW w:w="2075" w:type="dxa"/>
            <w:tcBorders>
              <w:bottom w:val="single" w:sz="6" w:space="0" w:color="7F7F7F"/>
              <w:right w:val="single" w:sz="6" w:space="0" w:color="00552B"/>
            </w:tcBorders>
            <w:shd w:fill="EAEAE9" w:val="clear"/>
            <w:tcMar>
              <w:bottom w:w="80" w:type="dxa"/>
              <w:right w:w="28" w:type="dxa"/>
            </w:tcM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Industrial</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Contact Center</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Office Clerical</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MSP(3)</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RPO(3)</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PPO(3)</w:t>
            </w:r>
          </w:p>
        </w:tc>
        <w:tc>
          <w:tcPr>
            <w:tcW w:w="120" w:type="dxa"/>
            <w:tcBorders>
              <w:bottom w:val="single" w:sz="6" w:space="0" w:color="7F7F7F"/>
            </w:tcBorders>
            <w:shd w:fill="E5F6ED" w:val="clear"/>
            <w:tcMar>
              <w:bottom w:w="28" w:type="dxa"/>
            </w:tcMar>
            <w:vAlign w:val="center"/>
          </w:tcPr>
          <w:p>
            <w:pPr>
              <w:pStyle w:val="TableContents"/>
              <w:bidi w:val="0"/>
              <w:spacing w:before="0" w:after="283"/>
              <w:jc w:val="left"/>
              <w:rPr/>
            </w:pPr>
            <w:r>
              <w:rPr/>
              <w:t>  </w:t>
            </w:r>
          </w:p>
        </w:tc>
        <w:tc>
          <w:tcPr>
            <w:tcW w:w="1985" w:type="dxa"/>
            <w:tcBorders>
              <w:bottom w:val="single" w:sz="6" w:space="0" w:color="7F7F7F"/>
            </w:tcBorders>
            <w:shd w:fill="E5F6ED" w:val="clear"/>
            <w:tcMar>
              <w:bottom w:w="80" w:type="dxa"/>
            </w:tcM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Engineering</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Science &amp; Clinical</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Technology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Telecom</w:t>
            </w:r>
          </w:p>
        </w:tc>
        <w:tc>
          <w:tcPr>
            <w:tcW w:w="120" w:type="dxa"/>
            <w:tcBorders>
              <w:bottom w:val="single" w:sz="6" w:space="0" w:color="7F7F7F"/>
            </w:tcBorders>
            <w:shd w:fill="E5F6ED" w:val="clear"/>
            <w:tcMar>
              <w:bottom w:w="28" w:type="dxa"/>
            </w:tcMar>
            <w:vAlign w:val="center"/>
          </w:tcPr>
          <w:p>
            <w:pPr>
              <w:pStyle w:val="TableContents"/>
              <w:bidi w:val="0"/>
              <w:spacing w:before="0" w:after="283"/>
              <w:jc w:val="left"/>
              <w:rPr/>
            </w:pPr>
            <w:r>
              <w:rPr/>
              <w:t>  </w:t>
            </w:r>
          </w:p>
        </w:tc>
        <w:tc>
          <w:tcPr>
            <w:tcW w:w="1970" w:type="dxa"/>
            <w:tcBorders>
              <w:bottom w:val="single" w:sz="6" w:space="0" w:color="7F7F7F"/>
              <w:right w:val="single" w:sz="6" w:space="0" w:color="00AE4F"/>
            </w:tcBorders>
            <w:shd w:fill="E5F6ED" w:val="clear"/>
            <w:tcMar>
              <w:bottom w:w="80" w:type="dxa"/>
              <w:right w:w="40" w:type="dxa"/>
            </w:tcM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K-12</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Special Ed/Needs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Tutoring</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Therapy Services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Executive Search</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2195" w:type="dxa"/>
            <w:gridSpan w:val="2"/>
            <w:tcBorders>
              <w:left w:val="single" w:sz="6" w:space="0" w:color="00552B"/>
              <w:right w:val="single" w:sz="6" w:space="0" w:color="00552B"/>
            </w:tcBorders>
            <w:shd w:fill="EAEAE9" w:val="clear"/>
            <w:tcMar>
              <w:left w:w="28" w:type="dxa"/>
              <w:right w:w="28" w:type="dxa"/>
            </w:tcMar>
            <w:vAlign w:val="center"/>
          </w:tcPr>
          <w:p>
            <w:pPr>
              <w:pStyle w:val="TableContents"/>
              <w:bidi w:val="0"/>
              <w:spacing w:before="0" w:after="283"/>
              <w:jc w:val="left"/>
              <w:rPr/>
            </w:pPr>
            <w:r>
              <w:rPr/>
              <w:t> </w:t>
            </w:r>
          </w:p>
        </w:tc>
        <w:tc>
          <w:tcPr>
            <w:tcW w:w="2105" w:type="dxa"/>
            <w:gridSpan w:val="2"/>
            <w:tcBorders/>
            <w:shd w:fill="E5F6ED" w:val="clear"/>
            <w:vAlign w:val="center"/>
          </w:tcPr>
          <w:p>
            <w:pPr>
              <w:pStyle w:val="TableContents"/>
              <w:bidi w:val="0"/>
              <w:spacing w:before="0" w:after="283"/>
              <w:jc w:val="left"/>
              <w:rPr>
                <w:sz w:val="4"/>
                <w:szCs w:val="4"/>
              </w:rPr>
            </w:pPr>
            <w:r>
              <w:rPr>
                <w:sz w:val="4"/>
                <w:szCs w:val="4"/>
              </w:rPr>
            </w:r>
          </w:p>
        </w:tc>
        <w:tc>
          <w:tcPr>
            <w:tcW w:w="2090" w:type="dxa"/>
            <w:gridSpan w:val="2"/>
            <w:tcBorders>
              <w:right w:val="single" w:sz="6" w:space="0" w:color="00AE4F"/>
            </w:tcBorders>
            <w:shd w:fill="E5F6ED" w:val="clear"/>
            <w:tcMar>
              <w:right w:w="28"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552B"/>
              <w:bottom w:val="single" w:sz="6" w:space="0" w:color="00552B"/>
            </w:tcBorders>
            <w:shd w:fill="EAEAE9" w:val="clear"/>
            <w:tcMar>
              <w:left w:w="28" w:type="dxa"/>
              <w:bottom w:w="28" w:type="dxa"/>
            </w:tcMar>
            <w:vAlign w:val="center"/>
          </w:tcPr>
          <w:p>
            <w:pPr>
              <w:pStyle w:val="TableContents"/>
              <w:bidi w:val="0"/>
              <w:spacing w:before="0" w:after="283"/>
              <w:jc w:val="left"/>
              <w:rPr/>
            </w:pPr>
            <w:r>
              <w:rPr/>
              <w:t>  </w:t>
            </w:r>
          </w:p>
        </w:tc>
        <w:tc>
          <w:tcPr>
            <w:tcW w:w="2075" w:type="dxa"/>
            <w:tcBorders>
              <w:bottom w:val="single" w:sz="6" w:space="0" w:color="00552B"/>
              <w:right w:val="single" w:sz="6" w:space="0" w:color="00552B"/>
            </w:tcBorders>
            <w:shd w:fill="EAEAE9" w:val="clear"/>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00AE4F"/>
            </w:tcBorders>
            <w:shd w:fill="E5F6ED" w:val="clear"/>
            <w:tcMar>
              <w:bottom w:w="28" w:type="dxa"/>
            </w:tcMar>
            <w:vAlign w:val="center"/>
          </w:tcPr>
          <w:p>
            <w:pPr>
              <w:pStyle w:val="TableContents"/>
              <w:bidi w:val="0"/>
              <w:spacing w:before="0" w:after="283"/>
              <w:jc w:val="left"/>
              <w:rPr/>
            </w:pPr>
            <w:r>
              <w:rPr/>
              <w:t>  </w:t>
            </w:r>
          </w:p>
        </w:tc>
        <w:tc>
          <w:tcPr>
            <w:tcW w:w="1985" w:type="dxa"/>
            <w:tcBorders>
              <w:bottom w:val="single" w:sz="6" w:space="0" w:color="00AE4F"/>
            </w:tcBorders>
            <w:shd w:fill="E5F6ED" w:val="clear"/>
            <w:tcMar>
              <w:bottom w:w="28" w:type="dxa"/>
            </w:tcMar>
            <w:vAlign w:val="center"/>
          </w:tcPr>
          <w:p>
            <w:pPr>
              <w:pStyle w:val="TableContents"/>
              <w:bidi w:val="0"/>
              <w:spacing w:before="0" w:after="283"/>
              <w:jc w:val="left"/>
              <w:rPr/>
            </w:pPr>
            <w:r>
              <w:rPr/>
              <w:t> </w:t>
            </w:r>
          </w:p>
        </w:tc>
        <w:tc>
          <w:tcPr>
            <w:tcW w:w="120" w:type="dxa"/>
            <w:tcBorders>
              <w:bottom w:val="single" w:sz="6" w:space="0" w:color="00AE4F"/>
            </w:tcBorders>
            <w:shd w:fill="E5F6ED" w:val="clear"/>
            <w:tcMar>
              <w:bottom w:w="28" w:type="dxa"/>
            </w:tcMar>
            <w:vAlign w:val="center"/>
          </w:tcPr>
          <w:p>
            <w:pPr>
              <w:pStyle w:val="TableContents"/>
              <w:bidi w:val="0"/>
              <w:spacing w:before="0" w:after="283"/>
              <w:jc w:val="left"/>
              <w:rPr/>
            </w:pPr>
            <w:r>
              <w:rPr/>
              <w:t>  </w:t>
            </w:r>
          </w:p>
        </w:tc>
        <w:tc>
          <w:tcPr>
            <w:tcW w:w="1970" w:type="dxa"/>
            <w:tcBorders>
              <w:bottom w:val="single" w:sz="6" w:space="0" w:color="00AE4F"/>
              <w:right w:val="single" w:sz="6" w:space="0" w:color="00AE4F"/>
            </w:tcBorders>
            <w:shd w:fill="E5F6ED" w:val="clear"/>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305"/>
        <w:gridCol w:w="5375"/>
      </w:tblGrid>
      <w:tr>
        <w:trPr/>
        <w:tc>
          <w:tcPr>
            <w:tcW w:w="305" w:type="dxa"/>
            <w:tcBorders/>
            <w:vAlign w:val="center"/>
          </w:tcPr>
          <w:p>
            <w:pPr>
              <w:pStyle w:val="TableContents"/>
              <w:bidi w:val="0"/>
              <w:spacing w:before="0" w:after="283"/>
              <w:jc w:val="left"/>
              <w:rPr/>
            </w:pPr>
            <w:r>
              <w:rPr/>
              <w:t>(1)</w:t>
            </w:r>
          </w:p>
        </w:tc>
        <w:tc>
          <w:tcPr>
            <w:tcW w:w="5375" w:type="dxa"/>
            <w:tcBorders/>
            <w:vAlign w:val="center"/>
          </w:tcPr>
          <w:p>
            <w:pPr>
              <w:pStyle w:val="TableContents"/>
              <w:bidi w:val="0"/>
              <w:spacing w:before="0" w:after="0"/>
              <w:jc w:val="left"/>
              <w:rPr>
                <w:rFonts w:ascii="arial" w:hAnsi="arial"/>
                <w:sz w:val="14"/>
              </w:rPr>
            </w:pPr>
            <w:r>
              <w:rPr>
                <w:rFonts w:ascii="arial" w:hAnsi="arial"/>
                <w:sz w:val="14"/>
              </w:rPr>
              <w:t xml:space="preserve">Sum of Business Unit revenue may not equal total company revenue due to rounding.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305"/>
        <w:gridCol w:w="5675"/>
      </w:tblGrid>
      <w:tr>
        <w:trPr/>
        <w:tc>
          <w:tcPr>
            <w:tcW w:w="305" w:type="dxa"/>
            <w:tcBorders/>
            <w:vAlign w:val="center"/>
          </w:tcPr>
          <w:p>
            <w:pPr>
              <w:pStyle w:val="TableContents"/>
              <w:bidi w:val="0"/>
              <w:spacing w:before="0" w:after="283"/>
              <w:jc w:val="left"/>
              <w:rPr/>
            </w:pPr>
            <w:r>
              <w:rPr/>
              <w:t>(2)</w:t>
            </w:r>
          </w:p>
        </w:tc>
        <w:tc>
          <w:tcPr>
            <w:tcW w:w="5675" w:type="dxa"/>
            <w:tcBorders/>
            <w:vAlign w:val="center"/>
          </w:tcPr>
          <w:p>
            <w:pPr>
              <w:pStyle w:val="TableContents"/>
              <w:bidi w:val="0"/>
              <w:spacing w:before="0" w:after="0"/>
              <w:jc w:val="left"/>
              <w:rPr>
                <w:rFonts w:ascii="arial" w:hAnsi="arial"/>
                <w:sz w:val="14"/>
              </w:rPr>
            </w:pPr>
            <w:r>
              <w:rPr>
                <w:rFonts w:ascii="arial" w:hAnsi="arial"/>
                <w:sz w:val="14"/>
              </w:rPr>
              <w:t xml:space="preserve">See reconciliations of Non-GAAP Measures included in Form 8-K dated February 12, 2026. </w:t>
            </w:r>
          </w:p>
        </w:tc>
      </w:tr>
    </w:tbl>
    <w:p>
      <w:pPr>
        <w:pStyle w:val="TextBody"/>
        <w:bidi w:val="0"/>
        <w:spacing w:before="0" w:after="0"/>
        <w:jc w:val="left"/>
        <w:rPr/>
      </w:pPr>
      <w:r>
        <w:rPr/>
        <w:t> </w:t>
      </w:r>
    </w:p>
    <w:tbl>
      <w:tblPr>
        <w:tblW w:w="7615" w:type="dxa"/>
        <w:jc w:val="left"/>
        <w:tblInd w:w="0" w:type="dxa"/>
        <w:tblLayout w:type="fixed"/>
        <w:tblCellMar>
          <w:top w:w="0" w:type="dxa"/>
          <w:left w:w="0" w:type="dxa"/>
          <w:bottom w:w="0" w:type="dxa"/>
          <w:right w:w="0" w:type="dxa"/>
        </w:tblCellMar>
      </w:tblPr>
      <w:tblGrid>
        <w:gridCol w:w="305"/>
        <w:gridCol w:w="7310"/>
      </w:tblGrid>
      <w:tr>
        <w:trPr/>
        <w:tc>
          <w:tcPr>
            <w:tcW w:w="305" w:type="dxa"/>
            <w:tcBorders/>
            <w:vAlign w:val="center"/>
          </w:tcPr>
          <w:p>
            <w:pPr>
              <w:pStyle w:val="TableContents"/>
              <w:bidi w:val="0"/>
              <w:spacing w:before="0" w:after="283"/>
              <w:jc w:val="left"/>
              <w:rPr/>
            </w:pPr>
            <w:r>
              <w:rPr/>
              <w:t>(3)</w:t>
            </w:r>
          </w:p>
        </w:tc>
        <w:tc>
          <w:tcPr>
            <w:tcW w:w="7310" w:type="dxa"/>
            <w:tcBorders/>
            <w:vAlign w:val="center"/>
          </w:tcPr>
          <w:p>
            <w:pPr>
              <w:pStyle w:val="TableContents"/>
              <w:bidi w:val="0"/>
              <w:spacing w:before="0" w:after="0"/>
              <w:jc w:val="left"/>
              <w:rPr>
                <w:rFonts w:ascii="arial" w:hAnsi="arial"/>
                <w:sz w:val="14"/>
              </w:rPr>
            </w:pPr>
            <w:r>
              <w:rPr>
                <w:rFonts w:ascii="arial" w:hAnsi="arial"/>
                <w:sz w:val="14"/>
              </w:rPr>
              <w:t xml:space="preserve">Managed Service Provider (“MSP”); Recruitment Process Outsourcing (“RPO”); Payroll Process Outsourcing (“PPO”). </w:t>
            </w:r>
          </w:p>
        </w:tc>
      </w:tr>
    </w:tbl>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10 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4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8" descr=""/>
                          <pic:cNvPicPr>
                            <a:picLocks noChangeAspect="1" noChangeArrowheads="1"/>
                          </pic:cNvPicPr>
                        </pic:nvPicPr>
                        <pic:blipFill>
                          <a:blip r:embed="rId41"/>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Proxy Summary </w:t>
      </w:r>
    </w:p>
    <w:p>
      <w:pPr>
        <w:pStyle w:val="TextBody"/>
        <w:bidi w:val="0"/>
        <w:spacing w:before="0" w:after="0"/>
        <w:jc w:val="left"/>
        <w:rPr/>
      </w:pPr>
      <w:r>
        <w:rPr/>
        <w:t> </w:t>
      </w:r>
    </w:p>
    <w:p>
      <w:pPr>
        <w:pStyle w:val="TextBody"/>
        <w:bidi w:val="0"/>
        <w:spacing w:before="0" w:after="0"/>
        <w:jc w:val="left"/>
        <w:rPr>
          <w:rFonts w:ascii="arial" w:hAnsi="arial"/>
          <w:b/>
          <w:sz w:val="24"/>
        </w:rPr>
      </w:pPr>
      <w:bookmarkStart w:id="11" w:name="toc37355_9"/>
      <w:bookmarkEnd w:id="11"/>
      <w:r>
        <w:rPr>
          <w:rFonts w:ascii="arial" w:hAnsi="arial"/>
          <w:b/>
          <w:sz w:val="24"/>
        </w:rPr>
        <w:t xml:space="preserve">Select Awards and Recognitions </w:t>
      </w:r>
    </w:p>
    <w:p>
      <w:pPr>
        <w:pStyle w:val="TextBody"/>
        <w:bidi w:val="0"/>
        <w:spacing w:before="120" w:after="0"/>
        <w:jc w:val="left"/>
        <w:rPr>
          <w:rFonts w:ascii="arial" w:hAnsi="arial"/>
          <w:sz w:val="18"/>
        </w:rPr>
      </w:pPr>
      <w:r>
        <w:rPr>
          <w:rFonts w:ascii="arial" w:hAnsi="arial"/>
          <w:sz w:val="18"/>
        </w:rPr>
        <w:t xml:space="preserve">Recognized globally for the impact we deliver for clients and talent.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33"/>
        <w:gridCol w:w="60"/>
        <w:gridCol w:w="3283"/>
        <w:gridCol w:w="60"/>
        <w:gridCol w:w="3469"/>
      </w:tblGrid>
      <w:tr>
        <w:trPr/>
        <w:tc>
          <w:tcPr>
            <w:tcW w:w="33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9" w:type="dxa"/>
            <w:tcBorders/>
            <w:vAlign w:val="center"/>
          </w:tcPr>
          <w:p>
            <w:pPr>
              <w:pStyle w:val="TableContents"/>
              <w:bidi w:val="0"/>
              <w:spacing w:before="0" w:after="283"/>
              <w:jc w:val="left"/>
              <w:rPr>
                <w:sz w:val="4"/>
                <w:szCs w:val="4"/>
              </w:rPr>
            </w:pPr>
            <w:r>
              <w:rPr>
                <w:sz w:val="4"/>
                <w:szCs w:val="4"/>
              </w:rPr>
            </w:r>
          </w:p>
        </w:tc>
      </w:tr>
      <w:tr>
        <w:trPr/>
        <w:tc>
          <w:tcPr>
            <w:tcW w:w="3333" w:type="dxa"/>
            <w:tcBorders>
              <w:top w:val="single" w:sz="6" w:space="0" w:color="00AE4F"/>
              <w:left w:val="single" w:sz="6" w:space="0" w:color="00AE4F"/>
            </w:tcBorders>
            <w:tcMar>
              <w:top w:w="28" w:type="dxa"/>
              <w:left w:w="160" w:type="dxa"/>
            </w:tcMar>
            <w:vAlign w:val="center"/>
          </w:tcPr>
          <w:p>
            <w:pPr>
              <w:pStyle w:val="TableContents"/>
              <w:bidi w:val="0"/>
              <w:spacing w:before="0" w:after="283"/>
              <w:jc w:val="left"/>
              <w:rPr/>
            </w:pPr>
            <w:r>
              <w:rPr/>
              <w:t> </w:t>
            </w:r>
          </w:p>
        </w:tc>
        <w:tc>
          <w:tcPr>
            <w:tcW w:w="3343" w:type="dxa"/>
            <w:gridSpan w:val="2"/>
            <w:tcBorders>
              <w:top w:val="single" w:sz="6" w:space="0" w:color="00AE4F"/>
              <w:left w:val="single" w:sz="6" w:space="0" w:color="00AE4F"/>
            </w:tcBorders>
            <w:tcMar>
              <w:top w:w="28" w:type="dxa"/>
              <w:left w:w="28" w:type="dxa"/>
            </w:tcMar>
            <w:vAlign w:val="center"/>
          </w:tcPr>
          <w:p>
            <w:pPr>
              <w:pStyle w:val="TableContents"/>
              <w:bidi w:val="0"/>
              <w:spacing w:before="0" w:after="283"/>
              <w:jc w:val="left"/>
              <w:rPr/>
            </w:pPr>
            <w:r>
              <w:rPr/>
              <w:t> </w:t>
            </w:r>
          </w:p>
        </w:tc>
        <w:tc>
          <w:tcPr>
            <w:tcW w:w="3529" w:type="dxa"/>
            <w:gridSpan w:val="2"/>
            <w:tcBorders>
              <w:top w:val="single" w:sz="6" w:space="0" w:color="00AE4F"/>
              <w:left w:val="single" w:sz="6" w:space="0" w:color="00AE4F"/>
              <w:right w:val="single" w:sz="6" w:space="0" w:color="00AE4F"/>
            </w:tcBorders>
            <w:tcMar>
              <w:top w:w="28" w:type="dxa"/>
              <w:left w:w="28" w:type="dxa"/>
              <w:right w:w="28" w:type="dxa"/>
            </w:tcMar>
            <w:vAlign w:val="center"/>
          </w:tcPr>
          <w:p>
            <w:pPr>
              <w:pStyle w:val="TableContents"/>
              <w:bidi w:val="0"/>
              <w:spacing w:before="0" w:after="283"/>
              <w:jc w:val="left"/>
              <w:rPr/>
            </w:pPr>
            <w:r>
              <w:rPr/>
              <w:t> </w:t>
            </w:r>
          </w:p>
        </w:tc>
      </w:tr>
      <w:tr>
        <w:trPr/>
        <w:tc>
          <w:tcPr>
            <w:tcW w:w="3333" w:type="dxa"/>
            <w:tcBorders>
              <w:left w:val="single" w:sz="6" w:space="0" w:color="00AE4F"/>
            </w:tcBorders>
            <w:tcMar>
              <w:left w:w="160" w:type="dxa"/>
            </w:tcMar>
            <w:vAlign w:val="center"/>
          </w:tcPr>
          <w:p>
            <w:pPr>
              <w:pStyle w:val="TableContents"/>
              <w:bidi w:val="0"/>
              <w:spacing w:before="0" w:after="0"/>
              <w:jc w:val="center"/>
              <w:rPr/>
            </w:pPr>
            <w:r>
              <w:rPr/>
              <w:drawing>
                <wp:inline distT="0" distB="0" distL="0" distR="0">
                  <wp:extent cx="1085850" cy="466090"/>
                  <wp:effectExtent l="0" t="0" r="0" b="0"/>
                  <wp:docPr id="4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9" descr=""/>
                          <pic:cNvPicPr>
                            <a:picLocks noChangeAspect="1" noChangeArrowheads="1"/>
                          </pic:cNvPicPr>
                        </pic:nvPicPr>
                        <pic:blipFill>
                          <a:blip r:embed="rId42"/>
                          <a:stretch>
                            <a:fillRect/>
                          </a:stretch>
                        </pic:blipFill>
                        <pic:spPr bwMode="auto">
                          <a:xfrm>
                            <a:off x="0" y="0"/>
                            <a:ext cx="1085850" cy="466090"/>
                          </a:xfrm>
                          <a:prstGeom prst="rect">
                            <a:avLst/>
                          </a:prstGeom>
                        </pic:spPr>
                      </pic:pic>
                    </a:graphicData>
                  </a:graphic>
                </wp:inline>
              </w:drawing>
            </w:r>
            <w:r>
              <w:rPr/>
              <w:t xml:space="preserve"> </w:t>
            </w:r>
          </w:p>
        </w:tc>
        <w:tc>
          <w:tcPr>
            <w:tcW w:w="60" w:type="dxa"/>
            <w:tcBorders>
              <w:left w:val="single" w:sz="6" w:space="0" w:color="00AE4F"/>
            </w:tcBorders>
            <w:tcMar>
              <w:left w:w="28" w:type="dxa"/>
            </w:tcMar>
            <w:vAlign w:val="center"/>
          </w:tcPr>
          <w:p>
            <w:pPr>
              <w:pStyle w:val="TableContents"/>
              <w:bidi w:val="0"/>
              <w:spacing w:before="0" w:after="283"/>
              <w:jc w:val="left"/>
              <w:rPr/>
            </w:pPr>
            <w:r>
              <w:rPr/>
              <w:t> </w:t>
            </w:r>
          </w:p>
        </w:tc>
        <w:tc>
          <w:tcPr>
            <w:tcW w:w="3283" w:type="dxa"/>
            <w:tcBorders/>
            <w:vAlign w:val="center"/>
          </w:tcPr>
          <w:p>
            <w:pPr>
              <w:pStyle w:val="TableContents"/>
              <w:bidi w:val="0"/>
              <w:spacing w:before="0" w:after="0"/>
              <w:jc w:val="center"/>
              <w:rPr/>
            </w:pPr>
            <w:r>
              <w:rPr/>
              <w:drawing>
                <wp:inline distT="0" distB="0" distL="0" distR="0">
                  <wp:extent cx="977265" cy="457835"/>
                  <wp:effectExtent l="0" t="0" r="0" b="0"/>
                  <wp:docPr id="5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0" descr=""/>
                          <pic:cNvPicPr>
                            <a:picLocks noChangeAspect="1" noChangeArrowheads="1"/>
                          </pic:cNvPicPr>
                        </pic:nvPicPr>
                        <pic:blipFill>
                          <a:blip r:embed="rId43"/>
                          <a:stretch>
                            <a:fillRect/>
                          </a:stretch>
                        </pic:blipFill>
                        <pic:spPr bwMode="auto">
                          <a:xfrm>
                            <a:off x="0" y="0"/>
                            <a:ext cx="977265" cy="457835"/>
                          </a:xfrm>
                          <a:prstGeom prst="rect">
                            <a:avLst/>
                          </a:prstGeom>
                        </pic:spPr>
                      </pic:pic>
                    </a:graphicData>
                  </a:graphic>
                </wp:inline>
              </w:drawing>
            </w:r>
            <w:r>
              <w:rPr/>
              <w:t xml:space="preserve"> </w:t>
            </w:r>
          </w:p>
        </w:tc>
        <w:tc>
          <w:tcPr>
            <w:tcW w:w="60" w:type="dxa"/>
            <w:tcBorders>
              <w:left w:val="single" w:sz="6" w:space="0" w:color="00AE4F"/>
            </w:tcBorders>
            <w:tcMar>
              <w:left w:w="28" w:type="dxa"/>
            </w:tcMar>
            <w:vAlign w:val="center"/>
          </w:tcPr>
          <w:p>
            <w:pPr>
              <w:pStyle w:val="TableContents"/>
              <w:bidi w:val="0"/>
              <w:spacing w:before="0" w:after="283"/>
              <w:jc w:val="left"/>
              <w:rPr/>
            </w:pPr>
            <w:r>
              <w:rPr/>
              <w:t> </w:t>
            </w:r>
          </w:p>
        </w:tc>
        <w:tc>
          <w:tcPr>
            <w:tcW w:w="3469" w:type="dxa"/>
            <w:tcBorders>
              <w:right w:val="single" w:sz="6" w:space="0" w:color="00AE4F"/>
            </w:tcBorders>
            <w:tcMar>
              <w:right w:w="40" w:type="dxa"/>
            </w:tcMar>
            <w:vAlign w:val="center"/>
          </w:tcPr>
          <w:p>
            <w:pPr>
              <w:pStyle w:val="TableContents"/>
              <w:bidi w:val="0"/>
              <w:spacing w:before="0" w:after="0"/>
              <w:jc w:val="center"/>
              <w:rPr/>
            </w:pPr>
            <w:r>
              <w:rPr/>
              <w:drawing>
                <wp:inline distT="0" distB="0" distL="0" distR="0">
                  <wp:extent cx="1097280" cy="466090"/>
                  <wp:effectExtent l="0" t="0" r="0" b="0"/>
                  <wp:docPr id="5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1" descr=""/>
                          <pic:cNvPicPr>
                            <a:picLocks noChangeAspect="1" noChangeArrowheads="1"/>
                          </pic:cNvPicPr>
                        </pic:nvPicPr>
                        <pic:blipFill>
                          <a:blip r:embed="rId44"/>
                          <a:stretch>
                            <a:fillRect/>
                          </a:stretch>
                        </pic:blipFill>
                        <pic:spPr bwMode="auto">
                          <a:xfrm>
                            <a:off x="0" y="0"/>
                            <a:ext cx="1097280" cy="466090"/>
                          </a:xfrm>
                          <a:prstGeom prst="rect">
                            <a:avLst/>
                          </a:prstGeom>
                        </pic:spPr>
                      </pic:pic>
                    </a:graphicData>
                  </a:graphic>
                </wp:inline>
              </w:drawing>
            </w:r>
            <w:r>
              <w:rPr/>
              <w:t xml:space="preserve"> </w:t>
            </w:r>
          </w:p>
        </w:tc>
      </w:tr>
      <w:tr>
        <w:trPr/>
        <w:tc>
          <w:tcPr>
            <w:tcW w:w="3333" w:type="dxa"/>
            <w:tcBorders>
              <w:left w:val="single" w:sz="6" w:space="0" w:color="00AE4F"/>
            </w:tcBorders>
            <w:tcMar>
              <w:left w:w="160" w:type="dxa"/>
            </w:tcMar>
            <w:vAlign w:val="center"/>
          </w:tcPr>
          <w:p>
            <w:pPr>
              <w:pStyle w:val="TableContents"/>
              <w:bidi w:val="0"/>
              <w:spacing w:before="0" w:after="283"/>
              <w:jc w:val="left"/>
              <w:rPr/>
            </w:pPr>
            <w:r>
              <w:rPr/>
              <w:t> </w:t>
            </w:r>
          </w:p>
        </w:tc>
        <w:tc>
          <w:tcPr>
            <w:tcW w:w="3343" w:type="dxa"/>
            <w:gridSpan w:val="2"/>
            <w:tcBorders>
              <w:left w:val="single" w:sz="6" w:space="0" w:color="00AE4F"/>
            </w:tcBorders>
            <w:tcMar>
              <w:left w:w="28" w:type="dxa"/>
            </w:tcMar>
            <w:vAlign w:val="center"/>
          </w:tcPr>
          <w:p>
            <w:pPr>
              <w:pStyle w:val="TableContents"/>
              <w:bidi w:val="0"/>
              <w:spacing w:before="0" w:after="283"/>
              <w:jc w:val="left"/>
              <w:rPr/>
            </w:pPr>
            <w:r>
              <w:rPr/>
              <w:t> </w:t>
            </w:r>
          </w:p>
        </w:tc>
        <w:tc>
          <w:tcPr>
            <w:tcW w:w="3529" w:type="dxa"/>
            <w:gridSpan w:val="2"/>
            <w:tcBorders>
              <w:left w:val="single" w:sz="6" w:space="0" w:color="00AE4F"/>
              <w:right w:val="single" w:sz="6" w:space="0" w:color="00AE4F"/>
            </w:tcBorders>
            <w:tcMar>
              <w:left w:w="28" w:type="dxa"/>
              <w:right w:w="28" w:type="dxa"/>
            </w:tcMar>
            <w:vAlign w:val="center"/>
          </w:tcPr>
          <w:p>
            <w:pPr>
              <w:pStyle w:val="TableContents"/>
              <w:bidi w:val="0"/>
              <w:spacing w:before="0" w:after="283"/>
              <w:jc w:val="left"/>
              <w:rPr/>
            </w:pPr>
            <w:r>
              <w:rPr/>
              <w:t> </w:t>
            </w:r>
          </w:p>
        </w:tc>
      </w:tr>
      <w:tr>
        <w:trPr/>
        <w:tc>
          <w:tcPr>
            <w:tcW w:w="3333" w:type="dxa"/>
            <w:tcBorders>
              <w:left w:val="single" w:sz="6" w:space="0" w:color="00AE4F"/>
              <w:bottom w:val="single" w:sz="6" w:space="0" w:color="00AE4F"/>
            </w:tcBorders>
            <w:tcMar>
              <w:left w:w="160" w:type="dxa"/>
              <w:bottom w:w="28" w:type="dxa"/>
            </w:tcMar>
            <w:vAlign w:val="center"/>
          </w:tcPr>
          <w:p>
            <w:pPr>
              <w:pStyle w:val="TableContents"/>
              <w:bidi w:val="0"/>
              <w:spacing w:before="0" w:after="0"/>
              <w:jc w:val="center"/>
              <w:rPr>
                <w:rFonts w:ascii="arial" w:hAnsi="arial"/>
                <w:b/>
                <w:sz w:val="16"/>
              </w:rPr>
            </w:pPr>
            <w:r>
              <w:rPr>
                <w:rFonts w:ascii="arial" w:hAnsi="arial"/>
                <w:b/>
                <w:sz w:val="16"/>
              </w:rPr>
              <w:t>KellyOCG Named MSP Leader on Everest Group’s PEAK Matrix Assessment</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KellyOCG continues to drive value for its clients, building on its strong global presence and expertise in catering to diverse client needs.</w:t>
            </w:r>
          </w:p>
          <w:p>
            <w:pPr>
              <w:pStyle w:val="TableContents"/>
              <w:bidi w:val="0"/>
              <w:spacing w:before="0" w:after="20"/>
              <w:jc w:val="left"/>
              <w:rPr/>
            </w:pPr>
            <w:r>
              <w:rPr/>
              <w:t> </w:t>
            </w:r>
          </w:p>
        </w:tc>
        <w:tc>
          <w:tcPr>
            <w:tcW w:w="60" w:type="dxa"/>
            <w:tcBorders>
              <w:left w:val="single" w:sz="6" w:space="0" w:color="00AE4F"/>
              <w:bottom w:val="single" w:sz="6" w:space="0" w:color="00AE4F"/>
            </w:tcBorders>
            <w:tcMar>
              <w:left w:w="28" w:type="dxa"/>
              <w:bottom w:w="28" w:type="dxa"/>
            </w:tcMar>
            <w:vAlign w:val="center"/>
          </w:tcPr>
          <w:p>
            <w:pPr>
              <w:pStyle w:val="TableContents"/>
              <w:bidi w:val="0"/>
              <w:spacing w:before="0" w:after="283"/>
              <w:jc w:val="left"/>
              <w:rPr/>
            </w:pPr>
            <w:r>
              <w:rPr/>
              <w:t> </w:t>
            </w:r>
          </w:p>
        </w:tc>
        <w:tc>
          <w:tcPr>
            <w:tcW w:w="3283" w:type="dxa"/>
            <w:tcBorders>
              <w:bottom w:val="single" w:sz="6" w:space="0" w:color="00AE4F"/>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KellyOCG Named Services Procurement Leader, Star Performer by Everest Group</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KellyOCG has been named a services procurement leader and star performer on Everest Group’s 2025 PEAK Matrix Assessment.</w:t>
            </w:r>
          </w:p>
          <w:p>
            <w:pPr>
              <w:pStyle w:val="TableContents"/>
              <w:bidi w:val="0"/>
              <w:spacing w:before="0" w:after="20"/>
              <w:jc w:val="left"/>
              <w:rPr/>
            </w:pPr>
            <w:r>
              <w:rPr/>
              <w:t> </w:t>
            </w:r>
          </w:p>
        </w:tc>
        <w:tc>
          <w:tcPr>
            <w:tcW w:w="60" w:type="dxa"/>
            <w:tcBorders>
              <w:left w:val="single" w:sz="6" w:space="0" w:color="00AE4F"/>
              <w:bottom w:val="single" w:sz="6" w:space="0" w:color="00AE4F"/>
            </w:tcBorders>
            <w:tcMar>
              <w:left w:w="28" w:type="dxa"/>
              <w:bottom w:w="28" w:type="dxa"/>
            </w:tcMar>
            <w:vAlign w:val="center"/>
          </w:tcPr>
          <w:p>
            <w:pPr>
              <w:pStyle w:val="TableContents"/>
              <w:bidi w:val="0"/>
              <w:spacing w:before="0" w:after="283"/>
              <w:jc w:val="left"/>
              <w:rPr/>
            </w:pPr>
            <w:r>
              <w:rPr/>
              <w:t> </w:t>
            </w:r>
          </w:p>
        </w:tc>
        <w:tc>
          <w:tcPr>
            <w:tcW w:w="3469" w:type="dxa"/>
            <w:tcBorders>
              <w:bottom w:val="single" w:sz="6" w:space="0" w:color="00AE4F"/>
              <w:right w:val="single" w:sz="6" w:space="0" w:color="00AE4F"/>
            </w:tcBorders>
            <w:tcMar>
              <w:bottom w:w="28" w:type="dxa"/>
              <w:right w:w="40" w:type="dxa"/>
            </w:tcMar>
            <w:vAlign w:val="center"/>
          </w:tcPr>
          <w:p>
            <w:pPr>
              <w:pStyle w:val="TableContents"/>
              <w:bidi w:val="0"/>
              <w:spacing w:before="0" w:after="0"/>
              <w:jc w:val="center"/>
              <w:rPr>
                <w:rFonts w:ascii="arial" w:hAnsi="arial"/>
                <w:b/>
                <w:sz w:val="16"/>
              </w:rPr>
            </w:pPr>
            <w:r>
              <w:rPr>
                <w:rFonts w:ascii="arial" w:hAnsi="arial"/>
                <w:b/>
                <w:sz w:val="16"/>
              </w:rPr>
              <w:t>Kelly Professional &amp; Industrial Named Contingent Staffing Leader, Star Performer by Everest Group</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Kelly Professional &amp; Industrial has been named a leader and star performer on Everest Group’s 2025 US Contingent Staffing PEAK Matrix Assessment.</w:t>
            </w:r>
          </w:p>
          <w:p>
            <w:pPr>
              <w:pStyle w:val="TableContents"/>
              <w:bidi w:val="0"/>
              <w:spacing w:before="0" w:after="20"/>
              <w:jc w:val="left"/>
              <w:rPr/>
            </w:pPr>
            <w:r>
              <w:rPr/>
              <w:t> </w:t>
            </w:r>
          </w:p>
        </w:tc>
      </w:tr>
      <w:tr>
        <w:trPr/>
        <w:tc>
          <w:tcPr>
            <w:tcW w:w="3333" w:type="dxa"/>
            <w:tcBorders>
              <w:left w:val="single" w:sz="6" w:space="0" w:color="00AE4F"/>
            </w:tcBorders>
            <w:tcMar>
              <w:left w:w="160" w:type="dxa"/>
            </w:tcMar>
            <w:vAlign w:val="center"/>
          </w:tcPr>
          <w:p>
            <w:pPr>
              <w:pStyle w:val="TableContents"/>
              <w:bidi w:val="0"/>
              <w:spacing w:before="0" w:after="283"/>
              <w:jc w:val="left"/>
              <w:rPr/>
            </w:pPr>
            <w:r>
              <w:rPr/>
              <w:t> </w:t>
            </w:r>
          </w:p>
        </w:tc>
        <w:tc>
          <w:tcPr>
            <w:tcW w:w="3343" w:type="dxa"/>
            <w:gridSpan w:val="2"/>
            <w:tcBorders>
              <w:left w:val="single" w:sz="6" w:space="0" w:color="00AE4F"/>
            </w:tcBorders>
            <w:tcMar>
              <w:left w:w="28" w:type="dxa"/>
            </w:tcMar>
            <w:vAlign w:val="center"/>
          </w:tcPr>
          <w:p>
            <w:pPr>
              <w:pStyle w:val="TableContents"/>
              <w:bidi w:val="0"/>
              <w:spacing w:before="0" w:after="283"/>
              <w:jc w:val="left"/>
              <w:rPr/>
            </w:pPr>
            <w:r>
              <w:rPr/>
              <w:t> </w:t>
            </w:r>
          </w:p>
        </w:tc>
        <w:tc>
          <w:tcPr>
            <w:tcW w:w="3529" w:type="dxa"/>
            <w:gridSpan w:val="2"/>
            <w:tcBorders>
              <w:left w:val="single" w:sz="6" w:space="0" w:color="00AE4F"/>
              <w:right w:val="single" w:sz="6" w:space="0" w:color="00AE4F"/>
            </w:tcBorders>
            <w:tcMar>
              <w:left w:w="28" w:type="dxa"/>
              <w:right w:w="28" w:type="dxa"/>
            </w:tcMar>
            <w:vAlign w:val="center"/>
          </w:tcPr>
          <w:p>
            <w:pPr>
              <w:pStyle w:val="TableContents"/>
              <w:bidi w:val="0"/>
              <w:spacing w:before="0" w:after="283"/>
              <w:jc w:val="left"/>
              <w:rPr/>
            </w:pPr>
            <w:r>
              <w:rPr/>
              <w:t> </w:t>
            </w:r>
          </w:p>
        </w:tc>
      </w:tr>
      <w:tr>
        <w:trPr/>
        <w:tc>
          <w:tcPr>
            <w:tcW w:w="3333" w:type="dxa"/>
            <w:tcBorders>
              <w:left w:val="single" w:sz="6" w:space="0" w:color="00AE4F"/>
            </w:tcBorders>
            <w:tcMar>
              <w:left w:w="160" w:type="dxa"/>
            </w:tcMar>
            <w:vAlign w:val="center"/>
          </w:tcPr>
          <w:p>
            <w:pPr>
              <w:pStyle w:val="TableContents"/>
              <w:bidi w:val="0"/>
              <w:spacing w:before="0" w:after="0"/>
              <w:jc w:val="center"/>
              <w:rPr/>
            </w:pPr>
            <w:r>
              <w:rPr/>
              <w:drawing>
                <wp:inline distT="0" distB="0" distL="0" distR="0">
                  <wp:extent cx="1101090" cy="458470"/>
                  <wp:effectExtent l="0" t="0" r="0" b="0"/>
                  <wp:docPr id="5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2" descr=""/>
                          <pic:cNvPicPr>
                            <a:picLocks noChangeAspect="1" noChangeArrowheads="1"/>
                          </pic:cNvPicPr>
                        </pic:nvPicPr>
                        <pic:blipFill>
                          <a:blip r:embed="rId45"/>
                          <a:stretch>
                            <a:fillRect/>
                          </a:stretch>
                        </pic:blipFill>
                        <pic:spPr bwMode="auto">
                          <a:xfrm>
                            <a:off x="0" y="0"/>
                            <a:ext cx="1101090" cy="458470"/>
                          </a:xfrm>
                          <a:prstGeom prst="rect">
                            <a:avLst/>
                          </a:prstGeom>
                        </pic:spPr>
                      </pic:pic>
                    </a:graphicData>
                  </a:graphic>
                </wp:inline>
              </w:drawing>
            </w:r>
            <w:r>
              <w:rPr/>
              <w:t xml:space="preserve"> </w:t>
            </w:r>
          </w:p>
        </w:tc>
        <w:tc>
          <w:tcPr>
            <w:tcW w:w="60" w:type="dxa"/>
            <w:tcBorders>
              <w:left w:val="single" w:sz="6" w:space="0" w:color="00AE4F"/>
            </w:tcBorders>
            <w:tcMar>
              <w:left w:w="28" w:type="dxa"/>
            </w:tcMar>
            <w:vAlign w:val="center"/>
          </w:tcPr>
          <w:p>
            <w:pPr>
              <w:pStyle w:val="TableContents"/>
              <w:bidi w:val="0"/>
              <w:spacing w:before="0" w:after="283"/>
              <w:jc w:val="left"/>
              <w:rPr/>
            </w:pPr>
            <w:r>
              <w:rPr/>
              <w:t> </w:t>
            </w:r>
          </w:p>
        </w:tc>
        <w:tc>
          <w:tcPr>
            <w:tcW w:w="3283" w:type="dxa"/>
            <w:tcBorders/>
            <w:vAlign w:val="center"/>
          </w:tcPr>
          <w:p>
            <w:pPr>
              <w:pStyle w:val="TableContents"/>
              <w:bidi w:val="0"/>
              <w:spacing w:before="0" w:after="0"/>
              <w:jc w:val="center"/>
              <w:rPr/>
            </w:pPr>
            <w:r>
              <w:rPr/>
              <w:drawing>
                <wp:inline distT="0" distB="0" distL="0" distR="0">
                  <wp:extent cx="1040130" cy="470535"/>
                  <wp:effectExtent l="0" t="0" r="0" b="0"/>
                  <wp:docPr id="5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3" descr=""/>
                          <pic:cNvPicPr>
                            <a:picLocks noChangeAspect="1" noChangeArrowheads="1"/>
                          </pic:cNvPicPr>
                        </pic:nvPicPr>
                        <pic:blipFill>
                          <a:blip r:embed="rId46"/>
                          <a:stretch>
                            <a:fillRect/>
                          </a:stretch>
                        </pic:blipFill>
                        <pic:spPr bwMode="auto">
                          <a:xfrm>
                            <a:off x="0" y="0"/>
                            <a:ext cx="1040130" cy="470535"/>
                          </a:xfrm>
                          <a:prstGeom prst="rect">
                            <a:avLst/>
                          </a:prstGeom>
                        </pic:spPr>
                      </pic:pic>
                    </a:graphicData>
                  </a:graphic>
                </wp:inline>
              </w:drawing>
            </w:r>
            <w:r>
              <w:rPr/>
              <w:t xml:space="preserve"> </w:t>
            </w:r>
          </w:p>
        </w:tc>
        <w:tc>
          <w:tcPr>
            <w:tcW w:w="60" w:type="dxa"/>
            <w:tcBorders>
              <w:left w:val="single" w:sz="6" w:space="0" w:color="00AE4F"/>
            </w:tcBorders>
            <w:tcMar>
              <w:left w:w="28" w:type="dxa"/>
            </w:tcMar>
            <w:vAlign w:val="center"/>
          </w:tcPr>
          <w:p>
            <w:pPr>
              <w:pStyle w:val="TableContents"/>
              <w:bidi w:val="0"/>
              <w:spacing w:before="0" w:after="283"/>
              <w:jc w:val="left"/>
              <w:rPr/>
            </w:pPr>
            <w:r>
              <w:rPr/>
              <w:t> </w:t>
            </w:r>
          </w:p>
        </w:tc>
        <w:tc>
          <w:tcPr>
            <w:tcW w:w="3469" w:type="dxa"/>
            <w:tcBorders>
              <w:right w:val="single" w:sz="6" w:space="0" w:color="00AE4F"/>
            </w:tcBorders>
            <w:tcMar>
              <w:right w:w="40" w:type="dxa"/>
            </w:tcMar>
            <w:vAlign w:val="center"/>
          </w:tcPr>
          <w:p>
            <w:pPr>
              <w:pStyle w:val="TableContents"/>
              <w:bidi w:val="0"/>
              <w:spacing w:before="0" w:after="0"/>
              <w:jc w:val="center"/>
              <w:rPr/>
            </w:pPr>
            <w:r>
              <w:rPr/>
              <w:drawing>
                <wp:inline distT="0" distB="0" distL="0" distR="0">
                  <wp:extent cx="1038225" cy="454025"/>
                  <wp:effectExtent l="0" t="0" r="0" b="0"/>
                  <wp:docPr id="5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4" descr=""/>
                          <pic:cNvPicPr>
                            <a:picLocks noChangeAspect="1" noChangeArrowheads="1"/>
                          </pic:cNvPicPr>
                        </pic:nvPicPr>
                        <pic:blipFill>
                          <a:blip r:embed="rId47"/>
                          <a:stretch>
                            <a:fillRect/>
                          </a:stretch>
                        </pic:blipFill>
                        <pic:spPr bwMode="auto">
                          <a:xfrm>
                            <a:off x="0" y="0"/>
                            <a:ext cx="1038225" cy="454025"/>
                          </a:xfrm>
                          <a:prstGeom prst="rect">
                            <a:avLst/>
                          </a:prstGeom>
                        </pic:spPr>
                      </pic:pic>
                    </a:graphicData>
                  </a:graphic>
                </wp:inline>
              </w:drawing>
            </w:r>
            <w:r>
              <w:rPr/>
              <w:t xml:space="preserve"> </w:t>
            </w:r>
          </w:p>
        </w:tc>
      </w:tr>
      <w:tr>
        <w:trPr/>
        <w:tc>
          <w:tcPr>
            <w:tcW w:w="3333" w:type="dxa"/>
            <w:tcBorders>
              <w:left w:val="single" w:sz="6" w:space="0" w:color="00AE4F"/>
            </w:tcBorders>
            <w:tcMar>
              <w:left w:w="160" w:type="dxa"/>
            </w:tcMar>
            <w:vAlign w:val="center"/>
          </w:tcPr>
          <w:p>
            <w:pPr>
              <w:pStyle w:val="TableContents"/>
              <w:bidi w:val="0"/>
              <w:spacing w:before="0" w:after="283"/>
              <w:jc w:val="left"/>
              <w:rPr/>
            </w:pPr>
            <w:r>
              <w:rPr/>
              <w:t> </w:t>
            </w:r>
          </w:p>
        </w:tc>
        <w:tc>
          <w:tcPr>
            <w:tcW w:w="3343" w:type="dxa"/>
            <w:gridSpan w:val="2"/>
            <w:tcBorders>
              <w:left w:val="single" w:sz="6" w:space="0" w:color="00AE4F"/>
            </w:tcBorders>
            <w:tcMar>
              <w:left w:w="28" w:type="dxa"/>
            </w:tcMar>
            <w:vAlign w:val="center"/>
          </w:tcPr>
          <w:p>
            <w:pPr>
              <w:pStyle w:val="TableContents"/>
              <w:bidi w:val="0"/>
              <w:spacing w:before="0" w:after="283"/>
              <w:jc w:val="left"/>
              <w:rPr/>
            </w:pPr>
            <w:r>
              <w:rPr/>
              <w:t> </w:t>
            </w:r>
          </w:p>
        </w:tc>
        <w:tc>
          <w:tcPr>
            <w:tcW w:w="3529" w:type="dxa"/>
            <w:gridSpan w:val="2"/>
            <w:tcBorders>
              <w:left w:val="single" w:sz="6" w:space="0" w:color="00AE4F"/>
              <w:right w:val="single" w:sz="6" w:space="0" w:color="00AE4F"/>
            </w:tcBorders>
            <w:tcMar>
              <w:left w:w="28" w:type="dxa"/>
              <w:right w:w="28" w:type="dxa"/>
            </w:tcMar>
            <w:vAlign w:val="center"/>
          </w:tcPr>
          <w:p>
            <w:pPr>
              <w:pStyle w:val="TableContents"/>
              <w:bidi w:val="0"/>
              <w:spacing w:before="0" w:after="283"/>
              <w:jc w:val="left"/>
              <w:rPr/>
            </w:pPr>
            <w:r>
              <w:rPr/>
              <w:t> </w:t>
            </w:r>
          </w:p>
        </w:tc>
      </w:tr>
      <w:tr>
        <w:trPr/>
        <w:tc>
          <w:tcPr>
            <w:tcW w:w="3333" w:type="dxa"/>
            <w:tcBorders>
              <w:left w:val="single" w:sz="6" w:space="0" w:color="00AE4F"/>
              <w:bottom w:val="single" w:sz="6" w:space="0" w:color="00AE4F"/>
            </w:tcBorders>
            <w:tcMar>
              <w:left w:w="160" w:type="dxa"/>
              <w:bottom w:w="28" w:type="dxa"/>
            </w:tcMar>
            <w:vAlign w:val="center"/>
          </w:tcPr>
          <w:p>
            <w:pPr>
              <w:pStyle w:val="TableContents"/>
              <w:bidi w:val="0"/>
              <w:spacing w:before="0" w:after="0"/>
              <w:jc w:val="center"/>
              <w:rPr>
                <w:rFonts w:ascii="arial" w:hAnsi="arial"/>
                <w:b/>
                <w:sz w:val="16"/>
              </w:rPr>
            </w:pPr>
            <w:r>
              <w:rPr>
                <w:rFonts w:ascii="arial" w:hAnsi="arial"/>
                <w:b/>
                <w:sz w:val="16"/>
              </w:rPr>
              <w:t>Kelly Engineering Named a Contingent Staffing Leader, Star Performer by Everest Group</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Kelly Engineering has been named a Star Performer and Leader on Everest Group’s 2025 US Contingent Staffing PEAK Matrix Assessment.</w:t>
            </w:r>
          </w:p>
          <w:p>
            <w:pPr>
              <w:pStyle w:val="TableContents"/>
              <w:bidi w:val="0"/>
              <w:spacing w:before="0" w:after="20"/>
              <w:jc w:val="left"/>
              <w:rPr/>
            </w:pPr>
            <w:r>
              <w:rPr/>
              <w:t> </w:t>
            </w:r>
          </w:p>
        </w:tc>
        <w:tc>
          <w:tcPr>
            <w:tcW w:w="60" w:type="dxa"/>
            <w:tcBorders>
              <w:left w:val="single" w:sz="6" w:space="0" w:color="00AE4F"/>
              <w:bottom w:val="single" w:sz="6" w:space="0" w:color="00AE4F"/>
            </w:tcBorders>
            <w:tcMar>
              <w:left w:w="28" w:type="dxa"/>
              <w:bottom w:w="28" w:type="dxa"/>
            </w:tcMar>
            <w:vAlign w:val="center"/>
          </w:tcPr>
          <w:p>
            <w:pPr>
              <w:pStyle w:val="TableContents"/>
              <w:bidi w:val="0"/>
              <w:spacing w:before="0" w:after="283"/>
              <w:jc w:val="left"/>
              <w:rPr/>
            </w:pPr>
            <w:r>
              <w:rPr/>
              <w:t> </w:t>
            </w:r>
          </w:p>
        </w:tc>
        <w:tc>
          <w:tcPr>
            <w:tcW w:w="3283" w:type="dxa"/>
            <w:tcBorders>
              <w:bottom w:val="single" w:sz="6" w:space="0" w:color="00AE4F"/>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Kelly + Motion Recruitment Named IT Contingent Staffing Leader, Star Performer by Everest Group</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Kelly + Motion Recruitment has been selected as both an IT leader and star performer on Everest Group’s 2025 US Contingent Staffing PEAK Matrix Assessment.</w:t>
            </w:r>
          </w:p>
          <w:p>
            <w:pPr>
              <w:pStyle w:val="TableContents"/>
              <w:bidi w:val="0"/>
              <w:spacing w:before="0" w:after="20"/>
              <w:jc w:val="left"/>
              <w:rPr/>
            </w:pPr>
            <w:r>
              <w:rPr/>
              <w:t> </w:t>
            </w:r>
          </w:p>
        </w:tc>
        <w:tc>
          <w:tcPr>
            <w:tcW w:w="60" w:type="dxa"/>
            <w:tcBorders>
              <w:left w:val="single" w:sz="6" w:space="0" w:color="00AE4F"/>
              <w:bottom w:val="single" w:sz="6" w:space="0" w:color="00AE4F"/>
            </w:tcBorders>
            <w:tcMar>
              <w:left w:w="28" w:type="dxa"/>
              <w:bottom w:w="28" w:type="dxa"/>
            </w:tcMar>
            <w:vAlign w:val="center"/>
          </w:tcPr>
          <w:p>
            <w:pPr>
              <w:pStyle w:val="TableContents"/>
              <w:bidi w:val="0"/>
              <w:spacing w:before="0" w:after="283"/>
              <w:jc w:val="left"/>
              <w:rPr/>
            </w:pPr>
            <w:r>
              <w:rPr/>
              <w:t> </w:t>
            </w:r>
          </w:p>
        </w:tc>
        <w:tc>
          <w:tcPr>
            <w:tcW w:w="3469" w:type="dxa"/>
            <w:tcBorders>
              <w:bottom w:val="single" w:sz="6" w:space="0" w:color="00AE4F"/>
              <w:right w:val="single" w:sz="6" w:space="0" w:color="00AE4F"/>
            </w:tcBorders>
            <w:tcMar>
              <w:bottom w:w="28" w:type="dxa"/>
              <w:right w:w="40" w:type="dxa"/>
            </w:tcMar>
            <w:vAlign w:val="center"/>
          </w:tcPr>
          <w:p>
            <w:pPr>
              <w:pStyle w:val="TableContents"/>
              <w:bidi w:val="0"/>
              <w:spacing w:before="0" w:after="0"/>
              <w:jc w:val="center"/>
              <w:rPr>
                <w:rFonts w:ascii="arial" w:hAnsi="arial"/>
                <w:b/>
                <w:sz w:val="16"/>
              </w:rPr>
            </w:pPr>
            <w:r>
              <w:rPr>
                <w:rFonts w:ascii="arial" w:hAnsi="arial"/>
                <w:b/>
                <w:sz w:val="16"/>
              </w:rPr>
              <w:t>KellyOCG + Sevenstep Named RPO Leader, Star Performer by Everest Group</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KellyOCG + Sevenstep has been named a leader and star performer on Everest Group’s 2025 Recruitment Process Outsourcing Services PEAK Matrix Assessment – Global.</w:t>
            </w:r>
          </w:p>
          <w:p>
            <w:pPr>
              <w:pStyle w:val="TableContents"/>
              <w:bidi w:val="0"/>
              <w:spacing w:before="0" w:after="20"/>
              <w:jc w:val="left"/>
              <w:rPr/>
            </w:pPr>
            <w:r>
              <w:rPr/>
              <w:t> </w:t>
            </w:r>
          </w:p>
        </w:tc>
      </w:tr>
      <w:tr>
        <w:trPr/>
        <w:tc>
          <w:tcPr>
            <w:tcW w:w="3333" w:type="dxa"/>
            <w:tcBorders>
              <w:left w:val="single" w:sz="6" w:space="0" w:color="00AE4F"/>
            </w:tcBorders>
            <w:tcMar>
              <w:left w:w="160" w:type="dxa"/>
            </w:tcMar>
            <w:vAlign w:val="center"/>
          </w:tcPr>
          <w:p>
            <w:pPr>
              <w:pStyle w:val="TableContents"/>
              <w:bidi w:val="0"/>
              <w:spacing w:before="0" w:after="283"/>
              <w:jc w:val="left"/>
              <w:rPr/>
            </w:pPr>
            <w:r>
              <w:rPr/>
              <w:t> </w:t>
            </w:r>
          </w:p>
        </w:tc>
        <w:tc>
          <w:tcPr>
            <w:tcW w:w="3343" w:type="dxa"/>
            <w:gridSpan w:val="2"/>
            <w:tcBorders>
              <w:left w:val="single" w:sz="6" w:space="0" w:color="00AE4F"/>
            </w:tcBorders>
            <w:tcMar>
              <w:left w:w="28" w:type="dxa"/>
            </w:tcMar>
            <w:vAlign w:val="center"/>
          </w:tcPr>
          <w:p>
            <w:pPr>
              <w:pStyle w:val="TableContents"/>
              <w:bidi w:val="0"/>
              <w:spacing w:before="0" w:after="283"/>
              <w:jc w:val="left"/>
              <w:rPr/>
            </w:pPr>
            <w:r>
              <w:rPr/>
              <w:t> </w:t>
            </w:r>
          </w:p>
        </w:tc>
        <w:tc>
          <w:tcPr>
            <w:tcW w:w="3529" w:type="dxa"/>
            <w:gridSpan w:val="2"/>
            <w:tcBorders>
              <w:left w:val="single" w:sz="6" w:space="0" w:color="00AE4F"/>
              <w:right w:val="single" w:sz="6" w:space="0" w:color="00AE4F"/>
            </w:tcBorders>
            <w:tcMar>
              <w:left w:w="28" w:type="dxa"/>
              <w:right w:w="28" w:type="dxa"/>
            </w:tcMar>
            <w:vAlign w:val="center"/>
          </w:tcPr>
          <w:p>
            <w:pPr>
              <w:pStyle w:val="TableContents"/>
              <w:bidi w:val="0"/>
              <w:spacing w:before="0" w:after="283"/>
              <w:jc w:val="left"/>
              <w:rPr/>
            </w:pPr>
            <w:r>
              <w:rPr/>
              <w:t> </w:t>
            </w:r>
          </w:p>
        </w:tc>
      </w:tr>
      <w:tr>
        <w:trPr/>
        <w:tc>
          <w:tcPr>
            <w:tcW w:w="3333" w:type="dxa"/>
            <w:tcBorders>
              <w:left w:val="single" w:sz="6" w:space="0" w:color="00AE4F"/>
            </w:tcBorders>
            <w:tcMar>
              <w:left w:w="160" w:type="dxa"/>
            </w:tcMar>
            <w:vAlign w:val="center"/>
          </w:tcPr>
          <w:p>
            <w:pPr>
              <w:pStyle w:val="TableContents"/>
              <w:bidi w:val="0"/>
              <w:spacing w:before="0" w:after="0"/>
              <w:jc w:val="center"/>
              <w:rPr/>
            </w:pPr>
            <w:r>
              <w:rPr/>
              <w:drawing>
                <wp:inline distT="0" distB="0" distL="0" distR="0">
                  <wp:extent cx="1341755" cy="465455"/>
                  <wp:effectExtent l="0" t="0" r="0" b="0"/>
                  <wp:docPr id="5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5" descr=""/>
                          <pic:cNvPicPr>
                            <a:picLocks noChangeAspect="1" noChangeArrowheads="1"/>
                          </pic:cNvPicPr>
                        </pic:nvPicPr>
                        <pic:blipFill>
                          <a:blip r:embed="rId48"/>
                          <a:stretch>
                            <a:fillRect/>
                          </a:stretch>
                        </pic:blipFill>
                        <pic:spPr bwMode="auto">
                          <a:xfrm>
                            <a:off x="0" y="0"/>
                            <a:ext cx="1341755" cy="465455"/>
                          </a:xfrm>
                          <a:prstGeom prst="rect">
                            <a:avLst/>
                          </a:prstGeom>
                        </pic:spPr>
                      </pic:pic>
                    </a:graphicData>
                  </a:graphic>
                </wp:inline>
              </w:drawing>
            </w:r>
            <w:r>
              <w:rPr/>
              <w:t xml:space="preserve"> </w:t>
            </w:r>
          </w:p>
        </w:tc>
        <w:tc>
          <w:tcPr>
            <w:tcW w:w="60" w:type="dxa"/>
            <w:tcBorders>
              <w:left w:val="single" w:sz="6" w:space="0" w:color="00AE4F"/>
            </w:tcBorders>
            <w:tcMar>
              <w:left w:w="28" w:type="dxa"/>
            </w:tcMar>
            <w:vAlign w:val="center"/>
          </w:tcPr>
          <w:p>
            <w:pPr>
              <w:pStyle w:val="TableContents"/>
              <w:bidi w:val="0"/>
              <w:spacing w:before="0" w:after="283"/>
              <w:jc w:val="left"/>
              <w:rPr/>
            </w:pPr>
            <w:r>
              <w:rPr/>
              <w:t> </w:t>
            </w:r>
          </w:p>
        </w:tc>
        <w:tc>
          <w:tcPr>
            <w:tcW w:w="3283" w:type="dxa"/>
            <w:tcBorders/>
            <w:vAlign w:val="center"/>
          </w:tcPr>
          <w:p>
            <w:pPr>
              <w:pStyle w:val="TableContents"/>
              <w:bidi w:val="0"/>
              <w:spacing w:before="0" w:after="283"/>
              <w:jc w:val="center"/>
              <w:rPr/>
            </w:pPr>
            <w:r>
              <w:rPr/>
              <w:drawing>
                <wp:inline distT="0" distB="0" distL="0" distR="0">
                  <wp:extent cx="1347470" cy="465455"/>
                  <wp:effectExtent l="0" t="0" r="0" b="0"/>
                  <wp:docPr id="5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6" descr=""/>
                          <pic:cNvPicPr>
                            <a:picLocks noChangeAspect="1" noChangeArrowheads="1"/>
                          </pic:cNvPicPr>
                        </pic:nvPicPr>
                        <pic:blipFill>
                          <a:blip r:embed="rId49"/>
                          <a:stretch>
                            <a:fillRect/>
                          </a:stretch>
                        </pic:blipFill>
                        <pic:spPr bwMode="auto">
                          <a:xfrm>
                            <a:off x="0" y="0"/>
                            <a:ext cx="1347470" cy="465455"/>
                          </a:xfrm>
                          <a:prstGeom prst="rect">
                            <a:avLst/>
                          </a:prstGeom>
                        </pic:spPr>
                      </pic:pic>
                    </a:graphicData>
                  </a:graphic>
                </wp:inline>
              </w:drawing>
            </w:r>
            <w:r>
              <w:rPr/>
              <w:t xml:space="preserve"> </w:t>
            </w:r>
          </w:p>
        </w:tc>
        <w:tc>
          <w:tcPr>
            <w:tcW w:w="60" w:type="dxa"/>
            <w:tcBorders>
              <w:left w:val="single" w:sz="6" w:space="0" w:color="00AE4F"/>
            </w:tcBorders>
            <w:tcMar>
              <w:left w:w="28" w:type="dxa"/>
            </w:tcMar>
            <w:vAlign w:val="center"/>
          </w:tcPr>
          <w:p>
            <w:pPr>
              <w:pStyle w:val="TableContents"/>
              <w:bidi w:val="0"/>
              <w:spacing w:before="0" w:after="283"/>
              <w:jc w:val="left"/>
              <w:rPr/>
            </w:pPr>
            <w:r>
              <w:rPr/>
              <w:t> </w:t>
            </w:r>
          </w:p>
        </w:tc>
        <w:tc>
          <w:tcPr>
            <w:tcW w:w="3469" w:type="dxa"/>
            <w:tcBorders>
              <w:right w:val="single" w:sz="6" w:space="0" w:color="00AE4F"/>
            </w:tcBorders>
            <w:tcMar>
              <w:right w:w="40" w:type="dxa"/>
            </w:tcMar>
            <w:vAlign w:val="center"/>
          </w:tcPr>
          <w:p>
            <w:pPr>
              <w:pStyle w:val="TableContents"/>
              <w:bidi w:val="0"/>
              <w:spacing w:before="0" w:after="0"/>
              <w:jc w:val="center"/>
              <w:rPr/>
            </w:pPr>
            <w:r>
              <w:rPr/>
              <w:drawing>
                <wp:inline distT="0" distB="0" distL="0" distR="0">
                  <wp:extent cx="2091055" cy="472440"/>
                  <wp:effectExtent l="0" t="0" r="0" b="0"/>
                  <wp:docPr id="5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7" descr=""/>
                          <pic:cNvPicPr>
                            <a:picLocks noChangeAspect="1" noChangeArrowheads="1"/>
                          </pic:cNvPicPr>
                        </pic:nvPicPr>
                        <pic:blipFill>
                          <a:blip r:embed="rId50"/>
                          <a:stretch>
                            <a:fillRect/>
                          </a:stretch>
                        </pic:blipFill>
                        <pic:spPr bwMode="auto">
                          <a:xfrm>
                            <a:off x="0" y="0"/>
                            <a:ext cx="2091055" cy="472440"/>
                          </a:xfrm>
                          <a:prstGeom prst="rect">
                            <a:avLst/>
                          </a:prstGeom>
                        </pic:spPr>
                      </pic:pic>
                    </a:graphicData>
                  </a:graphic>
                </wp:inline>
              </w:drawing>
            </w:r>
            <w:r>
              <w:rPr/>
              <w:t xml:space="preserve"> </w:t>
            </w:r>
          </w:p>
        </w:tc>
      </w:tr>
      <w:tr>
        <w:trPr/>
        <w:tc>
          <w:tcPr>
            <w:tcW w:w="3333" w:type="dxa"/>
            <w:tcBorders>
              <w:left w:val="single" w:sz="6" w:space="0" w:color="00AE4F"/>
            </w:tcBorders>
            <w:tcMar>
              <w:left w:w="160" w:type="dxa"/>
            </w:tcMar>
            <w:vAlign w:val="center"/>
          </w:tcPr>
          <w:p>
            <w:pPr>
              <w:pStyle w:val="TableContents"/>
              <w:bidi w:val="0"/>
              <w:spacing w:before="0" w:after="283"/>
              <w:jc w:val="left"/>
              <w:rPr/>
            </w:pPr>
            <w:r>
              <w:rPr/>
              <w:t> </w:t>
            </w:r>
          </w:p>
        </w:tc>
        <w:tc>
          <w:tcPr>
            <w:tcW w:w="3343" w:type="dxa"/>
            <w:gridSpan w:val="2"/>
            <w:tcBorders>
              <w:left w:val="single" w:sz="6" w:space="0" w:color="00AE4F"/>
            </w:tcBorders>
            <w:tcMar>
              <w:left w:w="28" w:type="dxa"/>
            </w:tcMar>
            <w:vAlign w:val="center"/>
          </w:tcPr>
          <w:p>
            <w:pPr>
              <w:pStyle w:val="TableContents"/>
              <w:bidi w:val="0"/>
              <w:spacing w:before="0" w:after="283"/>
              <w:jc w:val="left"/>
              <w:rPr/>
            </w:pPr>
            <w:r>
              <w:rPr/>
              <w:t> </w:t>
            </w:r>
          </w:p>
        </w:tc>
        <w:tc>
          <w:tcPr>
            <w:tcW w:w="3529" w:type="dxa"/>
            <w:gridSpan w:val="2"/>
            <w:tcBorders>
              <w:left w:val="single" w:sz="6" w:space="0" w:color="00AE4F"/>
              <w:right w:val="single" w:sz="6" w:space="0" w:color="00AE4F"/>
            </w:tcBorders>
            <w:tcMar>
              <w:left w:w="28" w:type="dxa"/>
              <w:right w:w="28" w:type="dxa"/>
            </w:tcMar>
            <w:vAlign w:val="center"/>
          </w:tcPr>
          <w:p>
            <w:pPr>
              <w:pStyle w:val="TableContents"/>
              <w:bidi w:val="0"/>
              <w:spacing w:before="0" w:after="283"/>
              <w:jc w:val="left"/>
              <w:rPr/>
            </w:pPr>
            <w:r>
              <w:rPr/>
              <w:t> </w:t>
            </w:r>
          </w:p>
        </w:tc>
      </w:tr>
      <w:tr>
        <w:trPr/>
        <w:tc>
          <w:tcPr>
            <w:tcW w:w="3333" w:type="dxa"/>
            <w:tcBorders>
              <w:left w:val="single" w:sz="6" w:space="0" w:color="00AE4F"/>
              <w:bottom w:val="single" w:sz="6" w:space="0" w:color="00AE4F"/>
            </w:tcBorders>
            <w:tcMar>
              <w:left w:w="160" w:type="dxa"/>
              <w:bottom w:w="28" w:type="dxa"/>
            </w:tcMar>
            <w:vAlign w:val="center"/>
          </w:tcPr>
          <w:p>
            <w:pPr>
              <w:pStyle w:val="TableContents"/>
              <w:bidi w:val="0"/>
              <w:spacing w:before="0" w:after="0"/>
              <w:jc w:val="center"/>
              <w:rPr>
                <w:rFonts w:ascii="arial" w:hAnsi="arial"/>
                <w:b/>
                <w:sz w:val="16"/>
              </w:rPr>
            </w:pPr>
            <w:r>
              <w:rPr>
                <w:rFonts w:ascii="arial" w:hAnsi="arial"/>
                <w:b/>
                <w:sz w:val="16"/>
              </w:rPr>
              <w:t>Kelly Named No. 2 Temporary Staffing Firm in America by Forbes</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After an extensive survey of recruiters, hiring managers and job seekers, Kelly has been named one of the best temporary staffing firms in America by Forbes.</w:t>
            </w:r>
          </w:p>
          <w:p>
            <w:pPr>
              <w:pStyle w:val="TableContents"/>
              <w:bidi w:val="0"/>
              <w:spacing w:before="0" w:after="20"/>
              <w:jc w:val="left"/>
              <w:rPr/>
            </w:pPr>
            <w:r>
              <w:rPr/>
              <w:t> </w:t>
            </w:r>
          </w:p>
        </w:tc>
        <w:tc>
          <w:tcPr>
            <w:tcW w:w="60" w:type="dxa"/>
            <w:tcBorders>
              <w:left w:val="single" w:sz="6" w:space="0" w:color="00AE4F"/>
              <w:bottom w:val="single" w:sz="6" w:space="0" w:color="00AE4F"/>
            </w:tcBorders>
            <w:tcMar>
              <w:left w:w="28" w:type="dxa"/>
              <w:bottom w:w="28" w:type="dxa"/>
            </w:tcMar>
            <w:vAlign w:val="center"/>
          </w:tcPr>
          <w:p>
            <w:pPr>
              <w:pStyle w:val="TableContents"/>
              <w:bidi w:val="0"/>
              <w:spacing w:before="0" w:after="283"/>
              <w:jc w:val="left"/>
              <w:rPr/>
            </w:pPr>
            <w:r>
              <w:rPr/>
              <w:t> </w:t>
            </w:r>
          </w:p>
        </w:tc>
        <w:tc>
          <w:tcPr>
            <w:tcW w:w="3283" w:type="dxa"/>
            <w:tcBorders>
              <w:bottom w:val="single" w:sz="6" w:space="0" w:color="00AE4F"/>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Kelly Named No. 2 Professional Recruiting Firm in America by Forbes</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After an extensive survey of recruiters, hiring managers and job seekers, Kelly has been named one of the best professional recruiting firms in America by Forbes.</w:t>
            </w:r>
          </w:p>
          <w:p>
            <w:pPr>
              <w:pStyle w:val="TableContents"/>
              <w:bidi w:val="0"/>
              <w:spacing w:before="0" w:after="20"/>
              <w:jc w:val="left"/>
              <w:rPr/>
            </w:pPr>
            <w:r>
              <w:rPr/>
              <w:t> </w:t>
            </w:r>
          </w:p>
        </w:tc>
        <w:tc>
          <w:tcPr>
            <w:tcW w:w="60" w:type="dxa"/>
            <w:tcBorders>
              <w:left w:val="single" w:sz="6" w:space="0" w:color="00AE4F"/>
              <w:bottom w:val="single" w:sz="6" w:space="0" w:color="00AE4F"/>
            </w:tcBorders>
            <w:tcMar>
              <w:left w:w="28" w:type="dxa"/>
              <w:bottom w:w="28" w:type="dxa"/>
            </w:tcMar>
            <w:vAlign w:val="center"/>
          </w:tcPr>
          <w:p>
            <w:pPr>
              <w:pStyle w:val="TableContents"/>
              <w:bidi w:val="0"/>
              <w:spacing w:before="0" w:after="283"/>
              <w:jc w:val="left"/>
              <w:rPr/>
            </w:pPr>
            <w:r>
              <w:rPr/>
              <w:t> </w:t>
            </w:r>
          </w:p>
        </w:tc>
        <w:tc>
          <w:tcPr>
            <w:tcW w:w="3469" w:type="dxa"/>
            <w:tcBorders>
              <w:bottom w:val="single" w:sz="6" w:space="0" w:color="00AE4F"/>
              <w:right w:val="single" w:sz="6" w:space="0" w:color="00AE4F"/>
            </w:tcBorders>
            <w:tcMar>
              <w:bottom w:w="28" w:type="dxa"/>
              <w:right w:w="40" w:type="dxa"/>
            </w:tcMar>
            <w:vAlign w:val="center"/>
          </w:tcPr>
          <w:p>
            <w:pPr>
              <w:pStyle w:val="TableContents"/>
              <w:bidi w:val="0"/>
              <w:spacing w:before="0" w:after="0"/>
              <w:jc w:val="center"/>
              <w:rPr>
                <w:rFonts w:ascii="arial" w:hAnsi="arial"/>
                <w:b/>
                <w:sz w:val="16"/>
              </w:rPr>
            </w:pPr>
            <w:r>
              <w:rPr>
                <w:rFonts w:ascii="arial" w:hAnsi="arial"/>
                <w:b/>
                <w:sz w:val="16"/>
              </w:rPr>
              <w:t>Kelly One of the Largest Staffing Firms Globally</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Kelly is one of the largest staffing firms globally, according to the 2025 ranking by Staffing Industry Analysts (SIA).</w:t>
            </w:r>
          </w:p>
          <w:p>
            <w:pPr>
              <w:pStyle w:val="TableContents"/>
              <w:bidi w:val="0"/>
              <w:spacing w:before="0" w:after="20"/>
              <w:jc w:val="left"/>
              <w:rPr/>
            </w:pPr>
            <w:r>
              <w:rPr/>
              <w:t> </w:t>
            </w:r>
          </w:p>
        </w:tc>
      </w:tr>
      <w:tr>
        <w:trPr/>
        <w:tc>
          <w:tcPr>
            <w:tcW w:w="3333" w:type="dxa"/>
            <w:tcBorders>
              <w:left w:val="single" w:sz="6" w:space="0" w:color="00AE4F"/>
            </w:tcBorders>
            <w:tcMar>
              <w:left w:w="160" w:type="dxa"/>
            </w:tcMar>
            <w:vAlign w:val="center"/>
          </w:tcPr>
          <w:p>
            <w:pPr>
              <w:pStyle w:val="TableContents"/>
              <w:bidi w:val="0"/>
              <w:spacing w:before="0" w:after="283"/>
              <w:jc w:val="left"/>
              <w:rPr/>
            </w:pPr>
            <w:r>
              <w:rPr/>
              <w:t> </w:t>
            </w:r>
          </w:p>
        </w:tc>
        <w:tc>
          <w:tcPr>
            <w:tcW w:w="3343" w:type="dxa"/>
            <w:gridSpan w:val="2"/>
            <w:tcBorders>
              <w:left w:val="single" w:sz="6" w:space="0" w:color="00AE4F"/>
            </w:tcBorders>
            <w:tcMar>
              <w:left w:w="28" w:type="dxa"/>
            </w:tcMar>
            <w:vAlign w:val="center"/>
          </w:tcPr>
          <w:p>
            <w:pPr>
              <w:pStyle w:val="TableContents"/>
              <w:bidi w:val="0"/>
              <w:spacing w:before="0" w:after="283"/>
              <w:jc w:val="left"/>
              <w:rPr/>
            </w:pPr>
            <w:r>
              <w:rPr/>
              <w:t> </w:t>
            </w:r>
          </w:p>
        </w:tc>
        <w:tc>
          <w:tcPr>
            <w:tcW w:w="3529" w:type="dxa"/>
            <w:gridSpan w:val="2"/>
            <w:tcBorders>
              <w:left w:val="single" w:sz="6" w:space="0" w:color="00AE4F"/>
              <w:right w:val="single" w:sz="6" w:space="0" w:color="00AE4F"/>
            </w:tcBorders>
            <w:tcMar>
              <w:left w:w="28" w:type="dxa"/>
              <w:right w:w="28" w:type="dxa"/>
            </w:tcMar>
            <w:vAlign w:val="center"/>
          </w:tcPr>
          <w:p>
            <w:pPr>
              <w:pStyle w:val="TableContents"/>
              <w:bidi w:val="0"/>
              <w:spacing w:before="0" w:after="283"/>
              <w:jc w:val="left"/>
              <w:rPr/>
            </w:pPr>
            <w:r>
              <w:rPr/>
              <w:t> </w:t>
            </w:r>
          </w:p>
        </w:tc>
      </w:tr>
      <w:tr>
        <w:trPr/>
        <w:tc>
          <w:tcPr>
            <w:tcW w:w="3333" w:type="dxa"/>
            <w:tcBorders>
              <w:left w:val="single" w:sz="6" w:space="0" w:color="00AE4F"/>
            </w:tcBorders>
            <w:tcMar>
              <w:left w:w="160" w:type="dxa"/>
            </w:tcMar>
            <w:vAlign w:val="center"/>
          </w:tcPr>
          <w:p>
            <w:pPr>
              <w:pStyle w:val="TableContents"/>
              <w:bidi w:val="0"/>
              <w:spacing w:before="0" w:after="0"/>
              <w:jc w:val="center"/>
              <w:rPr/>
            </w:pPr>
            <w:r>
              <w:rPr/>
              <w:drawing>
                <wp:inline distT="0" distB="0" distL="0" distR="0">
                  <wp:extent cx="2016760" cy="464820"/>
                  <wp:effectExtent l="0" t="0" r="0" b="0"/>
                  <wp:docPr id="5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8" descr=""/>
                          <pic:cNvPicPr>
                            <a:picLocks noChangeAspect="1" noChangeArrowheads="1"/>
                          </pic:cNvPicPr>
                        </pic:nvPicPr>
                        <pic:blipFill>
                          <a:blip r:embed="rId51"/>
                          <a:stretch>
                            <a:fillRect/>
                          </a:stretch>
                        </pic:blipFill>
                        <pic:spPr bwMode="auto">
                          <a:xfrm>
                            <a:off x="0" y="0"/>
                            <a:ext cx="2016760" cy="464820"/>
                          </a:xfrm>
                          <a:prstGeom prst="rect">
                            <a:avLst/>
                          </a:prstGeom>
                        </pic:spPr>
                      </pic:pic>
                    </a:graphicData>
                  </a:graphic>
                </wp:inline>
              </w:drawing>
            </w:r>
            <w:r>
              <w:rPr/>
              <w:t xml:space="preserve"> </w:t>
            </w:r>
          </w:p>
        </w:tc>
        <w:tc>
          <w:tcPr>
            <w:tcW w:w="60" w:type="dxa"/>
            <w:tcBorders>
              <w:left w:val="single" w:sz="6" w:space="0" w:color="00AE4F"/>
            </w:tcBorders>
            <w:tcMar>
              <w:left w:w="28" w:type="dxa"/>
            </w:tcMar>
            <w:vAlign w:val="center"/>
          </w:tcPr>
          <w:p>
            <w:pPr>
              <w:pStyle w:val="TableContents"/>
              <w:bidi w:val="0"/>
              <w:spacing w:before="0" w:after="283"/>
              <w:jc w:val="left"/>
              <w:rPr/>
            </w:pPr>
            <w:r>
              <w:rPr/>
              <w:t> </w:t>
            </w:r>
          </w:p>
        </w:tc>
        <w:tc>
          <w:tcPr>
            <w:tcW w:w="3283" w:type="dxa"/>
            <w:tcBorders/>
            <w:vAlign w:val="center"/>
          </w:tcPr>
          <w:p>
            <w:pPr>
              <w:pStyle w:val="TableContents"/>
              <w:bidi w:val="0"/>
              <w:spacing w:before="0" w:after="0"/>
              <w:jc w:val="center"/>
              <w:rPr/>
            </w:pPr>
            <w:r>
              <w:rPr/>
              <w:drawing>
                <wp:inline distT="0" distB="0" distL="0" distR="0">
                  <wp:extent cx="1991360" cy="464820"/>
                  <wp:effectExtent l="0" t="0" r="0" b="0"/>
                  <wp:docPr id="5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9" descr=""/>
                          <pic:cNvPicPr>
                            <a:picLocks noChangeAspect="1" noChangeArrowheads="1"/>
                          </pic:cNvPicPr>
                        </pic:nvPicPr>
                        <pic:blipFill>
                          <a:blip r:embed="rId52"/>
                          <a:stretch>
                            <a:fillRect/>
                          </a:stretch>
                        </pic:blipFill>
                        <pic:spPr bwMode="auto">
                          <a:xfrm>
                            <a:off x="0" y="0"/>
                            <a:ext cx="1991360" cy="464820"/>
                          </a:xfrm>
                          <a:prstGeom prst="rect">
                            <a:avLst/>
                          </a:prstGeom>
                        </pic:spPr>
                      </pic:pic>
                    </a:graphicData>
                  </a:graphic>
                </wp:inline>
              </w:drawing>
            </w:r>
            <w:r>
              <w:rPr/>
              <w:t xml:space="preserve"> </w:t>
            </w:r>
          </w:p>
        </w:tc>
        <w:tc>
          <w:tcPr>
            <w:tcW w:w="60" w:type="dxa"/>
            <w:tcBorders>
              <w:left w:val="single" w:sz="6" w:space="0" w:color="00AE4F"/>
            </w:tcBorders>
            <w:tcMar>
              <w:left w:w="28" w:type="dxa"/>
            </w:tcMar>
            <w:vAlign w:val="center"/>
          </w:tcPr>
          <w:p>
            <w:pPr>
              <w:pStyle w:val="TableContents"/>
              <w:bidi w:val="0"/>
              <w:spacing w:before="0" w:after="283"/>
              <w:jc w:val="left"/>
              <w:rPr/>
            </w:pPr>
            <w:r>
              <w:rPr/>
              <w:t> </w:t>
            </w:r>
          </w:p>
        </w:tc>
        <w:tc>
          <w:tcPr>
            <w:tcW w:w="3469" w:type="dxa"/>
            <w:tcBorders>
              <w:right w:val="single" w:sz="6" w:space="0" w:color="00AE4F"/>
            </w:tcBorders>
            <w:tcMar>
              <w:right w:w="40" w:type="dxa"/>
            </w:tcMar>
            <w:vAlign w:val="center"/>
          </w:tcPr>
          <w:p>
            <w:pPr>
              <w:pStyle w:val="TableContents"/>
              <w:bidi w:val="0"/>
              <w:spacing w:before="0" w:after="0"/>
              <w:jc w:val="center"/>
              <w:rPr/>
            </w:pPr>
            <w:r>
              <w:rPr/>
              <w:drawing>
                <wp:inline distT="0" distB="0" distL="0" distR="0">
                  <wp:extent cx="2044065" cy="465455"/>
                  <wp:effectExtent l="0" t="0" r="0" b="0"/>
                  <wp:docPr id="6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0" descr=""/>
                          <pic:cNvPicPr>
                            <a:picLocks noChangeAspect="1" noChangeArrowheads="1"/>
                          </pic:cNvPicPr>
                        </pic:nvPicPr>
                        <pic:blipFill>
                          <a:blip r:embed="rId53"/>
                          <a:stretch>
                            <a:fillRect/>
                          </a:stretch>
                        </pic:blipFill>
                        <pic:spPr bwMode="auto">
                          <a:xfrm>
                            <a:off x="0" y="0"/>
                            <a:ext cx="2044065" cy="465455"/>
                          </a:xfrm>
                          <a:prstGeom prst="rect">
                            <a:avLst/>
                          </a:prstGeom>
                        </pic:spPr>
                      </pic:pic>
                    </a:graphicData>
                  </a:graphic>
                </wp:inline>
              </w:drawing>
            </w:r>
            <w:r>
              <w:rPr/>
              <w:t xml:space="preserve"> </w:t>
            </w:r>
          </w:p>
        </w:tc>
      </w:tr>
      <w:tr>
        <w:trPr/>
        <w:tc>
          <w:tcPr>
            <w:tcW w:w="3333" w:type="dxa"/>
            <w:tcBorders>
              <w:left w:val="single" w:sz="6" w:space="0" w:color="00AE4F"/>
            </w:tcBorders>
            <w:tcMar>
              <w:left w:w="160" w:type="dxa"/>
            </w:tcMar>
            <w:vAlign w:val="center"/>
          </w:tcPr>
          <w:p>
            <w:pPr>
              <w:pStyle w:val="TableContents"/>
              <w:bidi w:val="0"/>
              <w:spacing w:before="0" w:after="283"/>
              <w:jc w:val="left"/>
              <w:rPr/>
            </w:pPr>
            <w:r>
              <w:rPr/>
              <w:t> </w:t>
            </w:r>
          </w:p>
        </w:tc>
        <w:tc>
          <w:tcPr>
            <w:tcW w:w="3343" w:type="dxa"/>
            <w:gridSpan w:val="2"/>
            <w:tcBorders>
              <w:left w:val="single" w:sz="6" w:space="0" w:color="00AE4F"/>
            </w:tcBorders>
            <w:tcMar>
              <w:left w:w="28" w:type="dxa"/>
            </w:tcMar>
            <w:vAlign w:val="center"/>
          </w:tcPr>
          <w:p>
            <w:pPr>
              <w:pStyle w:val="TableContents"/>
              <w:bidi w:val="0"/>
              <w:spacing w:before="0" w:after="283"/>
              <w:jc w:val="left"/>
              <w:rPr/>
            </w:pPr>
            <w:r>
              <w:rPr/>
              <w:t> </w:t>
            </w:r>
          </w:p>
        </w:tc>
        <w:tc>
          <w:tcPr>
            <w:tcW w:w="3529" w:type="dxa"/>
            <w:gridSpan w:val="2"/>
            <w:tcBorders>
              <w:left w:val="single" w:sz="6" w:space="0" w:color="00AE4F"/>
              <w:right w:val="single" w:sz="6" w:space="0" w:color="00AE4F"/>
            </w:tcBorders>
            <w:tcMar>
              <w:left w:w="28" w:type="dxa"/>
              <w:right w:w="28" w:type="dxa"/>
            </w:tcMar>
            <w:vAlign w:val="center"/>
          </w:tcPr>
          <w:p>
            <w:pPr>
              <w:pStyle w:val="TableContents"/>
              <w:bidi w:val="0"/>
              <w:spacing w:before="0" w:after="283"/>
              <w:jc w:val="left"/>
              <w:rPr/>
            </w:pPr>
            <w:r>
              <w:rPr/>
              <w:t> </w:t>
            </w:r>
          </w:p>
        </w:tc>
      </w:tr>
      <w:tr>
        <w:trPr/>
        <w:tc>
          <w:tcPr>
            <w:tcW w:w="3333" w:type="dxa"/>
            <w:tcBorders>
              <w:left w:val="single" w:sz="6" w:space="0" w:color="00AE4F"/>
              <w:bottom w:val="single" w:sz="6" w:space="0" w:color="00AE4F"/>
            </w:tcBorders>
            <w:tcMar>
              <w:left w:w="160" w:type="dxa"/>
              <w:bottom w:w="28" w:type="dxa"/>
            </w:tcMar>
            <w:vAlign w:val="center"/>
          </w:tcPr>
          <w:p>
            <w:pPr>
              <w:pStyle w:val="TableContents"/>
              <w:bidi w:val="0"/>
              <w:spacing w:before="0" w:after="0"/>
              <w:jc w:val="center"/>
              <w:rPr>
                <w:rFonts w:ascii="arial" w:hAnsi="arial"/>
                <w:b/>
                <w:sz w:val="16"/>
              </w:rPr>
            </w:pPr>
            <w:r>
              <w:rPr>
                <w:rFonts w:ascii="arial" w:hAnsi="arial"/>
                <w:b/>
                <w:sz w:val="16"/>
              </w:rPr>
              <w:t>Kelly One of America’s Largest Staffing Firms</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Kelly is one of the largest staffing firms in the U.S., according to the 2025 ranking by Staffing Industry Analysts (SIA).</w:t>
            </w:r>
          </w:p>
          <w:p>
            <w:pPr>
              <w:pStyle w:val="TableContents"/>
              <w:bidi w:val="0"/>
              <w:spacing w:before="0" w:after="20"/>
              <w:jc w:val="left"/>
              <w:rPr/>
            </w:pPr>
            <w:r>
              <w:rPr/>
              <w:t> </w:t>
            </w:r>
          </w:p>
        </w:tc>
        <w:tc>
          <w:tcPr>
            <w:tcW w:w="60" w:type="dxa"/>
            <w:tcBorders>
              <w:left w:val="single" w:sz="6" w:space="0" w:color="00AE4F"/>
              <w:bottom w:val="single" w:sz="6" w:space="0" w:color="00AE4F"/>
            </w:tcBorders>
            <w:tcMar>
              <w:left w:w="28" w:type="dxa"/>
              <w:bottom w:w="28" w:type="dxa"/>
            </w:tcMar>
            <w:vAlign w:val="center"/>
          </w:tcPr>
          <w:p>
            <w:pPr>
              <w:pStyle w:val="TableContents"/>
              <w:bidi w:val="0"/>
              <w:spacing w:before="0" w:after="283"/>
              <w:jc w:val="left"/>
              <w:rPr/>
            </w:pPr>
            <w:r>
              <w:rPr/>
              <w:t> </w:t>
            </w:r>
          </w:p>
        </w:tc>
        <w:tc>
          <w:tcPr>
            <w:tcW w:w="3283" w:type="dxa"/>
            <w:tcBorders>
              <w:bottom w:val="single" w:sz="6" w:space="0" w:color="00AE4F"/>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Kelly One of the Largest U.S. Industrial Staffing Firms</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Kelly is one of the largest industrial staffing firms in the U.S., according to the 2025 ranking by Staffing Industry Analysts (SIA).</w:t>
            </w:r>
          </w:p>
          <w:p>
            <w:pPr>
              <w:pStyle w:val="TableContents"/>
              <w:bidi w:val="0"/>
              <w:spacing w:before="0" w:after="20"/>
              <w:jc w:val="left"/>
              <w:rPr/>
            </w:pPr>
            <w:r>
              <w:rPr/>
              <w:t> </w:t>
            </w:r>
          </w:p>
        </w:tc>
        <w:tc>
          <w:tcPr>
            <w:tcW w:w="60" w:type="dxa"/>
            <w:tcBorders>
              <w:left w:val="single" w:sz="6" w:space="0" w:color="00AE4F"/>
              <w:bottom w:val="single" w:sz="6" w:space="0" w:color="00AE4F"/>
            </w:tcBorders>
            <w:tcMar>
              <w:left w:w="28" w:type="dxa"/>
              <w:bottom w:w="28" w:type="dxa"/>
            </w:tcMar>
            <w:vAlign w:val="center"/>
          </w:tcPr>
          <w:p>
            <w:pPr>
              <w:pStyle w:val="TableContents"/>
              <w:bidi w:val="0"/>
              <w:spacing w:before="0" w:after="283"/>
              <w:jc w:val="left"/>
              <w:rPr/>
            </w:pPr>
            <w:r>
              <w:rPr/>
              <w:t> </w:t>
            </w:r>
          </w:p>
        </w:tc>
        <w:tc>
          <w:tcPr>
            <w:tcW w:w="3469" w:type="dxa"/>
            <w:tcBorders>
              <w:bottom w:val="single" w:sz="6" w:space="0" w:color="00AE4F"/>
              <w:right w:val="single" w:sz="6" w:space="0" w:color="00AE4F"/>
            </w:tcBorders>
            <w:tcMar>
              <w:bottom w:w="28" w:type="dxa"/>
              <w:right w:w="40" w:type="dxa"/>
            </w:tcMar>
            <w:vAlign w:val="center"/>
          </w:tcPr>
          <w:p>
            <w:pPr>
              <w:pStyle w:val="TableContents"/>
              <w:bidi w:val="0"/>
              <w:spacing w:before="0" w:after="0"/>
              <w:jc w:val="center"/>
              <w:rPr>
                <w:rFonts w:ascii="arial" w:hAnsi="arial"/>
                <w:b/>
                <w:sz w:val="16"/>
              </w:rPr>
            </w:pPr>
            <w:r>
              <w:rPr>
                <w:rFonts w:ascii="arial" w:hAnsi="arial"/>
                <w:b/>
                <w:sz w:val="16"/>
              </w:rPr>
              <w:t>Kelly One of the Largest U.S. Office/Clerical Staffing Firms</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Kelly is one of the largest office/clerical staffing firms in the U.S., according to the 2025 ranking by Staffing Industry Analysts (SIA).</w:t>
            </w:r>
          </w:p>
          <w:p>
            <w:pPr>
              <w:pStyle w:val="TableContents"/>
              <w:bidi w:val="0"/>
              <w:spacing w:before="0" w:after="20"/>
              <w:jc w:val="left"/>
              <w:rPr/>
            </w:pPr>
            <w:r>
              <w:rPr/>
              <w:t> </w:t>
            </w:r>
          </w:p>
        </w:tc>
      </w:tr>
    </w:tbl>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6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1" descr=""/>
                          <pic:cNvPicPr>
                            <a:picLocks noChangeAspect="1" noChangeArrowheads="1"/>
                          </pic:cNvPicPr>
                        </pic:nvPicPr>
                        <pic:blipFill>
                          <a:blip r:embed="rId54"/>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Proxy Summary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35"/>
        <w:gridCol w:w="60"/>
        <w:gridCol w:w="3331"/>
        <w:gridCol w:w="60"/>
        <w:gridCol w:w="3319"/>
      </w:tblGrid>
      <w:tr>
        <w:trPr/>
        <w:tc>
          <w:tcPr>
            <w:tcW w:w="3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19" w:type="dxa"/>
            <w:tcBorders/>
            <w:vAlign w:val="center"/>
          </w:tcPr>
          <w:p>
            <w:pPr>
              <w:pStyle w:val="TableContents"/>
              <w:bidi w:val="0"/>
              <w:spacing w:before="0" w:after="283"/>
              <w:jc w:val="left"/>
              <w:rPr>
                <w:sz w:val="4"/>
                <w:szCs w:val="4"/>
              </w:rPr>
            </w:pPr>
            <w:r>
              <w:rPr>
                <w:sz w:val="4"/>
                <w:szCs w:val="4"/>
              </w:rPr>
            </w:r>
          </w:p>
        </w:tc>
      </w:tr>
      <w:tr>
        <w:trPr/>
        <w:tc>
          <w:tcPr>
            <w:tcW w:w="3435" w:type="dxa"/>
            <w:tcBorders>
              <w:top w:val="single" w:sz="6" w:space="0" w:color="00AE4F"/>
              <w:left w:val="single" w:sz="6" w:space="0" w:color="00AE4F"/>
            </w:tcBorders>
            <w:tcMar>
              <w:top w:w="28" w:type="dxa"/>
              <w:left w:w="160" w:type="dxa"/>
            </w:tcMar>
            <w:vAlign w:val="center"/>
          </w:tcPr>
          <w:p>
            <w:pPr>
              <w:pStyle w:val="TableContents"/>
              <w:bidi w:val="0"/>
              <w:spacing w:before="0" w:after="283"/>
              <w:jc w:val="left"/>
              <w:rPr/>
            </w:pPr>
            <w:r>
              <w:rPr/>
              <w:t> </w:t>
            </w:r>
          </w:p>
        </w:tc>
        <w:tc>
          <w:tcPr>
            <w:tcW w:w="3391" w:type="dxa"/>
            <w:gridSpan w:val="2"/>
            <w:tcBorders>
              <w:top w:val="single" w:sz="6" w:space="0" w:color="00AE4F"/>
              <w:left w:val="single" w:sz="6" w:space="0" w:color="00AE4F"/>
            </w:tcBorders>
            <w:tcMar>
              <w:top w:w="28" w:type="dxa"/>
              <w:left w:w="28" w:type="dxa"/>
            </w:tcMar>
            <w:vAlign w:val="center"/>
          </w:tcPr>
          <w:p>
            <w:pPr>
              <w:pStyle w:val="TableContents"/>
              <w:bidi w:val="0"/>
              <w:spacing w:before="0" w:after="283"/>
              <w:jc w:val="left"/>
              <w:rPr/>
            </w:pPr>
            <w:r>
              <w:rPr/>
              <w:t> </w:t>
            </w:r>
          </w:p>
        </w:tc>
        <w:tc>
          <w:tcPr>
            <w:tcW w:w="3379" w:type="dxa"/>
            <w:gridSpan w:val="2"/>
            <w:tcBorders>
              <w:top w:val="single" w:sz="6" w:space="0" w:color="00AE4F"/>
              <w:left w:val="single" w:sz="6" w:space="0" w:color="00AE4F"/>
              <w:right w:val="single" w:sz="6" w:space="0" w:color="00AE4F"/>
            </w:tcBorders>
            <w:tcMar>
              <w:top w:w="28" w:type="dxa"/>
              <w:left w:w="28" w:type="dxa"/>
              <w:right w:w="28" w:type="dxa"/>
            </w:tcMar>
            <w:vAlign w:val="center"/>
          </w:tcPr>
          <w:p>
            <w:pPr>
              <w:pStyle w:val="TableContents"/>
              <w:bidi w:val="0"/>
              <w:spacing w:before="0" w:after="283"/>
              <w:jc w:val="left"/>
              <w:rPr/>
            </w:pPr>
            <w:r>
              <w:rPr/>
              <w:t> </w:t>
            </w:r>
          </w:p>
        </w:tc>
      </w:tr>
      <w:tr>
        <w:trPr/>
        <w:tc>
          <w:tcPr>
            <w:tcW w:w="3435" w:type="dxa"/>
            <w:tcBorders>
              <w:left w:val="single" w:sz="6" w:space="0" w:color="00AE4F"/>
            </w:tcBorders>
            <w:tcMar>
              <w:left w:w="160" w:type="dxa"/>
            </w:tcMar>
            <w:vAlign w:val="center"/>
          </w:tcPr>
          <w:p>
            <w:pPr>
              <w:pStyle w:val="TableContents"/>
              <w:bidi w:val="0"/>
              <w:spacing w:before="0" w:after="0"/>
              <w:jc w:val="center"/>
              <w:rPr/>
            </w:pPr>
            <w:r>
              <w:rPr/>
              <w:drawing>
                <wp:inline distT="0" distB="0" distL="0" distR="0">
                  <wp:extent cx="1846580" cy="412750"/>
                  <wp:effectExtent l="0" t="0" r="0" b="0"/>
                  <wp:docPr id="6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2" descr=""/>
                          <pic:cNvPicPr>
                            <a:picLocks noChangeAspect="1" noChangeArrowheads="1"/>
                          </pic:cNvPicPr>
                        </pic:nvPicPr>
                        <pic:blipFill>
                          <a:blip r:embed="rId55"/>
                          <a:stretch>
                            <a:fillRect/>
                          </a:stretch>
                        </pic:blipFill>
                        <pic:spPr bwMode="auto">
                          <a:xfrm>
                            <a:off x="0" y="0"/>
                            <a:ext cx="1846580" cy="412750"/>
                          </a:xfrm>
                          <a:prstGeom prst="rect">
                            <a:avLst/>
                          </a:prstGeom>
                        </pic:spPr>
                      </pic:pic>
                    </a:graphicData>
                  </a:graphic>
                </wp:inline>
              </w:drawing>
            </w:r>
            <w:r>
              <w:rPr/>
              <w:t xml:space="preserve"> </w:t>
            </w:r>
          </w:p>
        </w:tc>
        <w:tc>
          <w:tcPr>
            <w:tcW w:w="60" w:type="dxa"/>
            <w:tcBorders>
              <w:left w:val="single" w:sz="6" w:space="0" w:color="00AE4F"/>
            </w:tcBorders>
            <w:tcMar>
              <w:left w:w="28" w:type="dxa"/>
            </w:tcMar>
            <w:vAlign w:val="center"/>
          </w:tcPr>
          <w:p>
            <w:pPr>
              <w:pStyle w:val="TableContents"/>
              <w:bidi w:val="0"/>
              <w:spacing w:before="0" w:after="283"/>
              <w:jc w:val="left"/>
              <w:rPr/>
            </w:pPr>
            <w:r>
              <w:rPr/>
              <w:t> </w:t>
            </w:r>
          </w:p>
        </w:tc>
        <w:tc>
          <w:tcPr>
            <w:tcW w:w="3331" w:type="dxa"/>
            <w:tcBorders/>
            <w:vAlign w:val="center"/>
          </w:tcPr>
          <w:p>
            <w:pPr>
              <w:pStyle w:val="TableContents"/>
              <w:bidi w:val="0"/>
              <w:spacing w:before="0" w:after="0"/>
              <w:jc w:val="center"/>
              <w:rPr/>
            </w:pPr>
            <w:r>
              <w:rPr/>
              <w:drawing>
                <wp:inline distT="0" distB="0" distL="0" distR="0">
                  <wp:extent cx="1878330" cy="424815"/>
                  <wp:effectExtent l="0" t="0" r="0" b="0"/>
                  <wp:docPr id="6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3" descr=""/>
                          <pic:cNvPicPr>
                            <a:picLocks noChangeAspect="1" noChangeArrowheads="1"/>
                          </pic:cNvPicPr>
                        </pic:nvPicPr>
                        <pic:blipFill>
                          <a:blip r:embed="rId56"/>
                          <a:stretch>
                            <a:fillRect/>
                          </a:stretch>
                        </pic:blipFill>
                        <pic:spPr bwMode="auto">
                          <a:xfrm>
                            <a:off x="0" y="0"/>
                            <a:ext cx="1878330" cy="424815"/>
                          </a:xfrm>
                          <a:prstGeom prst="rect">
                            <a:avLst/>
                          </a:prstGeom>
                        </pic:spPr>
                      </pic:pic>
                    </a:graphicData>
                  </a:graphic>
                </wp:inline>
              </w:drawing>
            </w:r>
            <w:r>
              <w:rPr/>
              <w:t xml:space="preserve"> </w:t>
            </w:r>
          </w:p>
        </w:tc>
        <w:tc>
          <w:tcPr>
            <w:tcW w:w="60" w:type="dxa"/>
            <w:tcBorders>
              <w:left w:val="single" w:sz="6" w:space="0" w:color="00AE4F"/>
            </w:tcBorders>
            <w:tcMar>
              <w:left w:w="28" w:type="dxa"/>
            </w:tcMar>
            <w:vAlign w:val="center"/>
          </w:tcPr>
          <w:p>
            <w:pPr>
              <w:pStyle w:val="TableContents"/>
              <w:bidi w:val="0"/>
              <w:spacing w:before="0" w:after="283"/>
              <w:jc w:val="left"/>
              <w:rPr/>
            </w:pPr>
            <w:r>
              <w:rPr/>
              <w:t> </w:t>
            </w:r>
          </w:p>
        </w:tc>
        <w:tc>
          <w:tcPr>
            <w:tcW w:w="3319" w:type="dxa"/>
            <w:tcBorders>
              <w:right w:val="single" w:sz="6" w:space="0" w:color="00AE4F"/>
            </w:tcBorders>
            <w:tcMar>
              <w:right w:w="40" w:type="dxa"/>
            </w:tcMar>
            <w:vAlign w:val="center"/>
          </w:tcPr>
          <w:p>
            <w:pPr>
              <w:pStyle w:val="TableContents"/>
              <w:bidi w:val="0"/>
              <w:spacing w:before="0" w:after="0"/>
              <w:jc w:val="center"/>
              <w:rPr/>
            </w:pPr>
            <w:r>
              <w:rPr/>
              <w:drawing>
                <wp:inline distT="0" distB="0" distL="0" distR="0">
                  <wp:extent cx="1945005" cy="437515"/>
                  <wp:effectExtent l="0" t="0" r="0" b="0"/>
                  <wp:docPr id="6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4" descr=""/>
                          <pic:cNvPicPr>
                            <a:picLocks noChangeAspect="1" noChangeArrowheads="1"/>
                          </pic:cNvPicPr>
                        </pic:nvPicPr>
                        <pic:blipFill>
                          <a:blip r:embed="rId57"/>
                          <a:stretch>
                            <a:fillRect/>
                          </a:stretch>
                        </pic:blipFill>
                        <pic:spPr bwMode="auto">
                          <a:xfrm>
                            <a:off x="0" y="0"/>
                            <a:ext cx="1945005" cy="437515"/>
                          </a:xfrm>
                          <a:prstGeom prst="rect">
                            <a:avLst/>
                          </a:prstGeom>
                        </pic:spPr>
                      </pic:pic>
                    </a:graphicData>
                  </a:graphic>
                </wp:inline>
              </w:drawing>
            </w:r>
            <w:r>
              <w:rPr/>
              <w:t xml:space="preserve"> </w:t>
            </w:r>
          </w:p>
        </w:tc>
      </w:tr>
      <w:tr>
        <w:trPr/>
        <w:tc>
          <w:tcPr>
            <w:tcW w:w="3435" w:type="dxa"/>
            <w:tcBorders>
              <w:left w:val="single" w:sz="6" w:space="0" w:color="00AE4F"/>
            </w:tcBorders>
            <w:tcMar>
              <w:left w:w="160" w:type="dxa"/>
            </w:tcMar>
            <w:vAlign w:val="center"/>
          </w:tcPr>
          <w:p>
            <w:pPr>
              <w:pStyle w:val="TableContents"/>
              <w:bidi w:val="0"/>
              <w:spacing w:before="0" w:after="283"/>
              <w:jc w:val="left"/>
              <w:rPr/>
            </w:pPr>
            <w:r>
              <w:rPr/>
              <w:t> </w:t>
            </w:r>
          </w:p>
        </w:tc>
        <w:tc>
          <w:tcPr>
            <w:tcW w:w="3391" w:type="dxa"/>
            <w:gridSpan w:val="2"/>
            <w:tcBorders>
              <w:left w:val="single" w:sz="6" w:space="0" w:color="00AE4F"/>
            </w:tcBorders>
            <w:tcMar>
              <w:left w:w="28" w:type="dxa"/>
            </w:tcMar>
            <w:vAlign w:val="center"/>
          </w:tcPr>
          <w:p>
            <w:pPr>
              <w:pStyle w:val="TableContents"/>
              <w:bidi w:val="0"/>
              <w:spacing w:before="0" w:after="283"/>
              <w:jc w:val="left"/>
              <w:rPr/>
            </w:pPr>
            <w:r>
              <w:rPr/>
              <w:t> </w:t>
            </w:r>
          </w:p>
        </w:tc>
        <w:tc>
          <w:tcPr>
            <w:tcW w:w="3379" w:type="dxa"/>
            <w:gridSpan w:val="2"/>
            <w:tcBorders>
              <w:left w:val="single" w:sz="6" w:space="0" w:color="00AE4F"/>
              <w:right w:val="single" w:sz="6" w:space="0" w:color="00AE4F"/>
            </w:tcBorders>
            <w:tcMar>
              <w:left w:w="28" w:type="dxa"/>
              <w:right w:w="28" w:type="dxa"/>
            </w:tcMar>
            <w:vAlign w:val="center"/>
          </w:tcPr>
          <w:p>
            <w:pPr>
              <w:pStyle w:val="TableContents"/>
              <w:bidi w:val="0"/>
              <w:spacing w:before="0" w:after="283"/>
              <w:jc w:val="left"/>
              <w:rPr/>
            </w:pPr>
            <w:r>
              <w:rPr/>
              <w:t> </w:t>
            </w:r>
          </w:p>
        </w:tc>
      </w:tr>
      <w:tr>
        <w:trPr/>
        <w:tc>
          <w:tcPr>
            <w:tcW w:w="3435" w:type="dxa"/>
            <w:tcBorders>
              <w:left w:val="single" w:sz="6" w:space="0" w:color="00AE4F"/>
              <w:bottom w:val="single" w:sz="6" w:space="0" w:color="00AE4F"/>
            </w:tcBorders>
            <w:tcMar>
              <w:left w:w="160" w:type="dxa"/>
              <w:bottom w:w="28" w:type="dxa"/>
            </w:tcMar>
            <w:vAlign w:val="center"/>
          </w:tcPr>
          <w:p>
            <w:pPr>
              <w:pStyle w:val="TableContents"/>
              <w:bidi w:val="0"/>
              <w:spacing w:before="0" w:after="0"/>
              <w:jc w:val="center"/>
              <w:rPr>
                <w:rFonts w:ascii="arial" w:hAnsi="arial"/>
                <w:b/>
                <w:sz w:val="16"/>
              </w:rPr>
            </w:pPr>
            <w:r>
              <w:rPr>
                <w:rFonts w:ascii="arial" w:hAnsi="arial"/>
                <w:b/>
                <w:sz w:val="16"/>
              </w:rPr>
              <w:t>Kelly One of America’s Largest Finance/Accounting Staffing Firms</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Kelly is one of the largest finance/accounting staffing firms in the U.S., according to the 2025 ranking by Staffing Industry Analysts (SIA).</w:t>
            </w:r>
          </w:p>
          <w:p>
            <w:pPr>
              <w:pStyle w:val="TableContents"/>
              <w:bidi w:val="0"/>
              <w:spacing w:before="0" w:after="20"/>
              <w:jc w:val="left"/>
              <w:rPr/>
            </w:pPr>
            <w:r>
              <w:rPr/>
              <w:t> </w:t>
            </w:r>
          </w:p>
        </w:tc>
        <w:tc>
          <w:tcPr>
            <w:tcW w:w="60" w:type="dxa"/>
            <w:tcBorders>
              <w:left w:val="single" w:sz="6" w:space="0" w:color="00AE4F"/>
              <w:bottom w:val="single" w:sz="6" w:space="0" w:color="00AE4F"/>
            </w:tcBorders>
            <w:tcMar>
              <w:left w:w="28" w:type="dxa"/>
              <w:bottom w:w="28" w:type="dxa"/>
            </w:tcMar>
            <w:vAlign w:val="center"/>
          </w:tcPr>
          <w:p>
            <w:pPr>
              <w:pStyle w:val="TableContents"/>
              <w:bidi w:val="0"/>
              <w:spacing w:before="0" w:after="283"/>
              <w:jc w:val="left"/>
              <w:rPr/>
            </w:pPr>
            <w:r>
              <w:rPr/>
              <w:t> </w:t>
            </w:r>
          </w:p>
        </w:tc>
        <w:tc>
          <w:tcPr>
            <w:tcW w:w="3331" w:type="dxa"/>
            <w:tcBorders>
              <w:bottom w:val="single" w:sz="6" w:space="0" w:color="00AE4F"/>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Kelly One of America’s Largest Marketing/Creative Staffing Firms</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Kelly is one of the largest marketing/creative staffing firms in the U.S., according to the 2025 ranking by Staffing Industry Analysts (SIA).</w:t>
            </w:r>
          </w:p>
          <w:p>
            <w:pPr>
              <w:pStyle w:val="TableContents"/>
              <w:bidi w:val="0"/>
              <w:spacing w:before="0" w:after="20"/>
              <w:jc w:val="left"/>
              <w:rPr/>
            </w:pPr>
            <w:r>
              <w:rPr/>
              <w:t> </w:t>
            </w:r>
          </w:p>
        </w:tc>
        <w:tc>
          <w:tcPr>
            <w:tcW w:w="60" w:type="dxa"/>
            <w:tcBorders>
              <w:left w:val="single" w:sz="6" w:space="0" w:color="00AE4F"/>
              <w:bottom w:val="single" w:sz="6" w:space="0" w:color="00AE4F"/>
            </w:tcBorders>
            <w:tcMar>
              <w:left w:w="28" w:type="dxa"/>
              <w:bottom w:w="28" w:type="dxa"/>
            </w:tcMar>
            <w:vAlign w:val="center"/>
          </w:tcPr>
          <w:p>
            <w:pPr>
              <w:pStyle w:val="TableContents"/>
              <w:bidi w:val="0"/>
              <w:spacing w:before="0" w:after="283"/>
              <w:jc w:val="left"/>
              <w:rPr/>
            </w:pPr>
            <w:r>
              <w:rPr/>
              <w:t> </w:t>
            </w:r>
          </w:p>
        </w:tc>
        <w:tc>
          <w:tcPr>
            <w:tcW w:w="3319" w:type="dxa"/>
            <w:tcBorders>
              <w:bottom w:val="single" w:sz="6" w:space="0" w:color="00AE4F"/>
              <w:right w:val="single" w:sz="6" w:space="0" w:color="00AE4F"/>
            </w:tcBorders>
            <w:tcMar>
              <w:bottom w:w="28" w:type="dxa"/>
              <w:right w:w="40" w:type="dxa"/>
            </w:tcMar>
            <w:vAlign w:val="center"/>
          </w:tcPr>
          <w:p>
            <w:pPr>
              <w:pStyle w:val="TableContents"/>
              <w:bidi w:val="0"/>
              <w:spacing w:before="0" w:after="0"/>
              <w:jc w:val="center"/>
              <w:rPr>
                <w:rFonts w:ascii="arial" w:hAnsi="arial"/>
                <w:b/>
                <w:sz w:val="16"/>
              </w:rPr>
            </w:pPr>
            <w:r>
              <w:rPr>
                <w:rFonts w:ascii="arial" w:hAnsi="arial"/>
                <w:b/>
                <w:sz w:val="16"/>
              </w:rPr>
              <w:t>Kelly One of U.S. Largest Engineering Staffing Firms</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Kelly is one of the largest engineering staffing firms in the U.S., according to the 2025 ranking by Staffing Industry Analysts (SIA).</w:t>
            </w:r>
          </w:p>
          <w:p>
            <w:pPr>
              <w:pStyle w:val="TableContents"/>
              <w:bidi w:val="0"/>
              <w:spacing w:before="0" w:after="20"/>
              <w:jc w:val="left"/>
              <w:rPr/>
            </w:pPr>
            <w:r>
              <w:rPr/>
              <w:t> </w:t>
            </w:r>
          </w:p>
        </w:tc>
      </w:tr>
      <w:tr>
        <w:trPr/>
        <w:tc>
          <w:tcPr>
            <w:tcW w:w="3435" w:type="dxa"/>
            <w:tcBorders>
              <w:left w:val="single" w:sz="6" w:space="0" w:color="00AE4F"/>
            </w:tcBorders>
            <w:tcMar>
              <w:left w:w="160" w:type="dxa"/>
            </w:tcMar>
            <w:vAlign w:val="center"/>
          </w:tcPr>
          <w:p>
            <w:pPr>
              <w:pStyle w:val="TableContents"/>
              <w:bidi w:val="0"/>
              <w:spacing w:before="0" w:after="283"/>
              <w:jc w:val="left"/>
              <w:rPr/>
            </w:pPr>
            <w:r>
              <w:rPr/>
              <w:t> </w:t>
            </w:r>
          </w:p>
        </w:tc>
        <w:tc>
          <w:tcPr>
            <w:tcW w:w="3391" w:type="dxa"/>
            <w:gridSpan w:val="2"/>
            <w:tcBorders>
              <w:left w:val="single" w:sz="6" w:space="0" w:color="00AE4F"/>
            </w:tcBorders>
            <w:tcMar>
              <w:left w:w="28" w:type="dxa"/>
            </w:tcMar>
            <w:vAlign w:val="center"/>
          </w:tcPr>
          <w:p>
            <w:pPr>
              <w:pStyle w:val="TableContents"/>
              <w:bidi w:val="0"/>
              <w:spacing w:before="0" w:after="283"/>
              <w:jc w:val="left"/>
              <w:rPr/>
            </w:pPr>
            <w:r>
              <w:rPr/>
              <w:t> </w:t>
            </w:r>
          </w:p>
        </w:tc>
        <w:tc>
          <w:tcPr>
            <w:tcW w:w="3379" w:type="dxa"/>
            <w:gridSpan w:val="2"/>
            <w:tcBorders>
              <w:left w:val="single" w:sz="6" w:space="0" w:color="00AE4F"/>
              <w:right w:val="single" w:sz="6" w:space="0" w:color="00AE4F"/>
            </w:tcBorders>
            <w:tcMar>
              <w:left w:w="28" w:type="dxa"/>
              <w:right w:w="28" w:type="dxa"/>
            </w:tcMar>
            <w:vAlign w:val="center"/>
          </w:tcPr>
          <w:p>
            <w:pPr>
              <w:pStyle w:val="TableContents"/>
              <w:bidi w:val="0"/>
              <w:spacing w:before="0" w:after="283"/>
              <w:jc w:val="left"/>
              <w:rPr/>
            </w:pPr>
            <w:r>
              <w:rPr/>
              <w:t> </w:t>
            </w:r>
          </w:p>
        </w:tc>
      </w:tr>
      <w:tr>
        <w:trPr/>
        <w:tc>
          <w:tcPr>
            <w:tcW w:w="3435" w:type="dxa"/>
            <w:tcBorders>
              <w:left w:val="single" w:sz="6" w:space="0" w:color="00AE4F"/>
            </w:tcBorders>
            <w:tcMar>
              <w:left w:w="160" w:type="dxa"/>
            </w:tcMar>
            <w:vAlign w:val="center"/>
          </w:tcPr>
          <w:p>
            <w:pPr>
              <w:pStyle w:val="TableContents"/>
              <w:bidi w:val="0"/>
              <w:spacing w:before="0" w:after="0"/>
              <w:jc w:val="center"/>
              <w:rPr/>
            </w:pPr>
            <w:r>
              <w:rPr/>
              <w:drawing>
                <wp:inline distT="0" distB="0" distL="0" distR="0">
                  <wp:extent cx="1986915" cy="436880"/>
                  <wp:effectExtent l="0" t="0" r="0" b="0"/>
                  <wp:docPr id="6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5" descr=""/>
                          <pic:cNvPicPr>
                            <a:picLocks noChangeAspect="1" noChangeArrowheads="1"/>
                          </pic:cNvPicPr>
                        </pic:nvPicPr>
                        <pic:blipFill>
                          <a:blip r:embed="rId58"/>
                          <a:stretch>
                            <a:fillRect/>
                          </a:stretch>
                        </pic:blipFill>
                        <pic:spPr bwMode="auto">
                          <a:xfrm>
                            <a:off x="0" y="0"/>
                            <a:ext cx="1986915" cy="436880"/>
                          </a:xfrm>
                          <a:prstGeom prst="rect">
                            <a:avLst/>
                          </a:prstGeom>
                        </pic:spPr>
                      </pic:pic>
                    </a:graphicData>
                  </a:graphic>
                </wp:inline>
              </w:drawing>
            </w:r>
            <w:r>
              <w:rPr/>
              <w:t xml:space="preserve"> </w:t>
            </w:r>
          </w:p>
        </w:tc>
        <w:tc>
          <w:tcPr>
            <w:tcW w:w="60" w:type="dxa"/>
            <w:tcBorders>
              <w:left w:val="single" w:sz="6" w:space="0" w:color="00AE4F"/>
            </w:tcBorders>
            <w:tcMar>
              <w:left w:w="28" w:type="dxa"/>
            </w:tcMar>
            <w:vAlign w:val="center"/>
          </w:tcPr>
          <w:p>
            <w:pPr>
              <w:pStyle w:val="TableContents"/>
              <w:bidi w:val="0"/>
              <w:spacing w:before="0" w:after="283"/>
              <w:jc w:val="left"/>
              <w:rPr/>
            </w:pPr>
            <w:r>
              <w:rPr/>
              <w:t> </w:t>
            </w:r>
          </w:p>
        </w:tc>
        <w:tc>
          <w:tcPr>
            <w:tcW w:w="3331" w:type="dxa"/>
            <w:tcBorders/>
            <w:vAlign w:val="center"/>
          </w:tcPr>
          <w:p>
            <w:pPr>
              <w:pStyle w:val="TableContents"/>
              <w:bidi w:val="0"/>
              <w:spacing w:before="0" w:after="283"/>
              <w:jc w:val="center"/>
              <w:rPr/>
            </w:pPr>
            <w:r>
              <w:rPr/>
              <w:drawing>
                <wp:inline distT="0" distB="0" distL="0" distR="0">
                  <wp:extent cx="1951355" cy="440055"/>
                  <wp:effectExtent l="0" t="0" r="0" b="0"/>
                  <wp:docPr id="6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6" descr=""/>
                          <pic:cNvPicPr>
                            <a:picLocks noChangeAspect="1" noChangeArrowheads="1"/>
                          </pic:cNvPicPr>
                        </pic:nvPicPr>
                        <pic:blipFill>
                          <a:blip r:embed="rId59"/>
                          <a:stretch>
                            <a:fillRect/>
                          </a:stretch>
                        </pic:blipFill>
                        <pic:spPr bwMode="auto">
                          <a:xfrm>
                            <a:off x="0" y="0"/>
                            <a:ext cx="1951355" cy="440055"/>
                          </a:xfrm>
                          <a:prstGeom prst="rect">
                            <a:avLst/>
                          </a:prstGeom>
                        </pic:spPr>
                      </pic:pic>
                    </a:graphicData>
                  </a:graphic>
                </wp:inline>
              </w:drawing>
            </w:r>
            <w:r>
              <w:rPr/>
              <w:t xml:space="preserve"> </w:t>
            </w:r>
          </w:p>
        </w:tc>
        <w:tc>
          <w:tcPr>
            <w:tcW w:w="60" w:type="dxa"/>
            <w:tcBorders>
              <w:left w:val="single" w:sz="6" w:space="0" w:color="00AE4F"/>
            </w:tcBorders>
            <w:tcMar>
              <w:left w:w="28" w:type="dxa"/>
            </w:tcMar>
            <w:vAlign w:val="center"/>
          </w:tcPr>
          <w:p>
            <w:pPr>
              <w:pStyle w:val="TableContents"/>
              <w:bidi w:val="0"/>
              <w:spacing w:before="0" w:after="283"/>
              <w:jc w:val="left"/>
              <w:rPr/>
            </w:pPr>
            <w:r>
              <w:rPr/>
              <w:t> </w:t>
            </w:r>
          </w:p>
        </w:tc>
        <w:tc>
          <w:tcPr>
            <w:tcW w:w="3319" w:type="dxa"/>
            <w:tcBorders>
              <w:right w:val="single" w:sz="6" w:space="0" w:color="00AE4F"/>
            </w:tcBorders>
            <w:tcMar>
              <w:right w:w="40" w:type="dxa"/>
            </w:tcMar>
            <w:vAlign w:val="center"/>
          </w:tcPr>
          <w:p>
            <w:pPr>
              <w:pStyle w:val="TableContents"/>
              <w:bidi w:val="0"/>
              <w:spacing w:before="0" w:after="0"/>
              <w:jc w:val="center"/>
              <w:rPr/>
            </w:pPr>
            <w:r>
              <w:rPr/>
              <w:drawing>
                <wp:inline distT="0" distB="0" distL="0" distR="0">
                  <wp:extent cx="1911985" cy="427355"/>
                  <wp:effectExtent l="0" t="0" r="0" b="0"/>
                  <wp:docPr id="6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7" descr=""/>
                          <pic:cNvPicPr>
                            <a:picLocks noChangeAspect="1" noChangeArrowheads="1"/>
                          </pic:cNvPicPr>
                        </pic:nvPicPr>
                        <pic:blipFill>
                          <a:blip r:embed="rId60"/>
                          <a:stretch>
                            <a:fillRect/>
                          </a:stretch>
                        </pic:blipFill>
                        <pic:spPr bwMode="auto">
                          <a:xfrm>
                            <a:off x="0" y="0"/>
                            <a:ext cx="1911985" cy="427355"/>
                          </a:xfrm>
                          <a:prstGeom prst="rect">
                            <a:avLst/>
                          </a:prstGeom>
                        </pic:spPr>
                      </pic:pic>
                    </a:graphicData>
                  </a:graphic>
                </wp:inline>
              </w:drawing>
            </w:r>
            <w:r>
              <w:rPr/>
              <w:t xml:space="preserve"> </w:t>
            </w:r>
          </w:p>
        </w:tc>
      </w:tr>
      <w:tr>
        <w:trPr/>
        <w:tc>
          <w:tcPr>
            <w:tcW w:w="3435" w:type="dxa"/>
            <w:tcBorders>
              <w:left w:val="single" w:sz="6" w:space="0" w:color="00AE4F"/>
            </w:tcBorders>
            <w:tcMar>
              <w:left w:w="160" w:type="dxa"/>
            </w:tcMar>
            <w:vAlign w:val="center"/>
          </w:tcPr>
          <w:p>
            <w:pPr>
              <w:pStyle w:val="TableContents"/>
              <w:bidi w:val="0"/>
              <w:spacing w:before="0" w:after="283"/>
              <w:jc w:val="left"/>
              <w:rPr/>
            </w:pPr>
            <w:r>
              <w:rPr/>
              <w:t> </w:t>
            </w:r>
          </w:p>
        </w:tc>
        <w:tc>
          <w:tcPr>
            <w:tcW w:w="3391" w:type="dxa"/>
            <w:gridSpan w:val="2"/>
            <w:tcBorders>
              <w:left w:val="single" w:sz="6" w:space="0" w:color="00AE4F"/>
            </w:tcBorders>
            <w:tcMar>
              <w:left w:w="28" w:type="dxa"/>
            </w:tcMar>
            <w:vAlign w:val="center"/>
          </w:tcPr>
          <w:p>
            <w:pPr>
              <w:pStyle w:val="TableContents"/>
              <w:bidi w:val="0"/>
              <w:spacing w:before="0" w:after="283"/>
              <w:jc w:val="left"/>
              <w:rPr/>
            </w:pPr>
            <w:r>
              <w:rPr/>
              <w:t> </w:t>
            </w:r>
          </w:p>
        </w:tc>
        <w:tc>
          <w:tcPr>
            <w:tcW w:w="3379" w:type="dxa"/>
            <w:gridSpan w:val="2"/>
            <w:tcBorders>
              <w:left w:val="single" w:sz="6" w:space="0" w:color="00AE4F"/>
              <w:right w:val="single" w:sz="6" w:space="0" w:color="00AE4F"/>
            </w:tcBorders>
            <w:tcMar>
              <w:left w:w="28" w:type="dxa"/>
              <w:right w:w="28" w:type="dxa"/>
            </w:tcMar>
            <w:vAlign w:val="center"/>
          </w:tcPr>
          <w:p>
            <w:pPr>
              <w:pStyle w:val="TableContents"/>
              <w:bidi w:val="0"/>
              <w:spacing w:before="0" w:after="283"/>
              <w:jc w:val="left"/>
              <w:rPr/>
            </w:pPr>
            <w:r>
              <w:rPr/>
              <w:t> </w:t>
            </w:r>
          </w:p>
        </w:tc>
      </w:tr>
      <w:tr>
        <w:trPr/>
        <w:tc>
          <w:tcPr>
            <w:tcW w:w="3435" w:type="dxa"/>
            <w:tcBorders>
              <w:left w:val="single" w:sz="6" w:space="0" w:color="00AE4F"/>
              <w:bottom w:val="single" w:sz="6" w:space="0" w:color="00AE4F"/>
            </w:tcBorders>
            <w:tcMar>
              <w:left w:w="160" w:type="dxa"/>
              <w:bottom w:w="28" w:type="dxa"/>
            </w:tcMar>
            <w:vAlign w:val="center"/>
          </w:tcPr>
          <w:p>
            <w:pPr>
              <w:pStyle w:val="TableContents"/>
              <w:bidi w:val="0"/>
              <w:spacing w:before="0" w:after="0"/>
              <w:jc w:val="center"/>
              <w:rPr>
                <w:rFonts w:ascii="arial" w:hAnsi="arial"/>
                <w:b/>
                <w:sz w:val="16"/>
              </w:rPr>
            </w:pPr>
            <w:r>
              <w:rPr>
                <w:rFonts w:ascii="arial" w:hAnsi="arial"/>
                <w:b/>
                <w:sz w:val="16"/>
              </w:rPr>
              <w:t>Kelly One of America’s Largest IT Staffing Firms</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Kelly is one of the largest IT staffing firms in the U.S., according to the 2025 ranking by Staffing Industry Analysts (SIA).</w:t>
            </w:r>
          </w:p>
          <w:p>
            <w:pPr>
              <w:pStyle w:val="TableContents"/>
              <w:bidi w:val="0"/>
              <w:spacing w:before="0" w:after="20"/>
              <w:jc w:val="left"/>
              <w:rPr/>
            </w:pPr>
            <w:r>
              <w:rPr/>
              <w:t> </w:t>
            </w:r>
          </w:p>
        </w:tc>
        <w:tc>
          <w:tcPr>
            <w:tcW w:w="60" w:type="dxa"/>
            <w:tcBorders>
              <w:left w:val="single" w:sz="6" w:space="0" w:color="00AE4F"/>
              <w:bottom w:val="single" w:sz="6" w:space="0" w:color="00AE4F"/>
            </w:tcBorders>
            <w:tcMar>
              <w:left w:w="28" w:type="dxa"/>
              <w:bottom w:w="28" w:type="dxa"/>
            </w:tcMar>
            <w:vAlign w:val="center"/>
          </w:tcPr>
          <w:p>
            <w:pPr>
              <w:pStyle w:val="TableContents"/>
              <w:bidi w:val="0"/>
              <w:spacing w:before="0" w:after="283"/>
              <w:jc w:val="left"/>
              <w:rPr/>
            </w:pPr>
            <w:r>
              <w:rPr/>
              <w:t> </w:t>
            </w:r>
          </w:p>
        </w:tc>
        <w:tc>
          <w:tcPr>
            <w:tcW w:w="3331" w:type="dxa"/>
            <w:tcBorders>
              <w:bottom w:val="single" w:sz="6" w:space="0" w:color="00AE4F"/>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Kelly One of U.S. Largest Life Sciences Staffing Firms</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Kelly is one of the largest life sciences staffing firms in the U.S., according to the 2025 ranking by Staffing Industry Analysts (SIA).</w:t>
            </w:r>
          </w:p>
          <w:p>
            <w:pPr>
              <w:pStyle w:val="TableContents"/>
              <w:bidi w:val="0"/>
              <w:spacing w:before="0" w:after="20"/>
              <w:jc w:val="left"/>
              <w:rPr/>
            </w:pPr>
            <w:r>
              <w:rPr/>
              <w:t> </w:t>
            </w:r>
          </w:p>
        </w:tc>
        <w:tc>
          <w:tcPr>
            <w:tcW w:w="60" w:type="dxa"/>
            <w:tcBorders>
              <w:left w:val="single" w:sz="6" w:space="0" w:color="00AE4F"/>
              <w:bottom w:val="single" w:sz="6" w:space="0" w:color="00AE4F"/>
            </w:tcBorders>
            <w:tcMar>
              <w:left w:w="28" w:type="dxa"/>
              <w:bottom w:w="28" w:type="dxa"/>
            </w:tcMar>
            <w:vAlign w:val="center"/>
          </w:tcPr>
          <w:p>
            <w:pPr>
              <w:pStyle w:val="TableContents"/>
              <w:bidi w:val="0"/>
              <w:spacing w:before="0" w:after="283"/>
              <w:jc w:val="left"/>
              <w:rPr/>
            </w:pPr>
            <w:r>
              <w:rPr/>
              <w:t> </w:t>
            </w:r>
          </w:p>
        </w:tc>
        <w:tc>
          <w:tcPr>
            <w:tcW w:w="3319" w:type="dxa"/>
            <w:tcBorders>
              <w:bottom w:val="single" w:sz="6" w:space="0" w:color="00AE4F"/>
              <w:right w:val="single" w:sz="6" w:space="0" w:color="00AE4F"/>
            </w:tcBorders>
            <w:tcMar>
              <w:bottom w:w="28" w:type="dxa"/>
              <w:right w:w="40" w:type="dxa"/>
            </w:tcMar>
            <w:vAlign w:val="center"/>
          </w:tcPr>
          <w:p>
            <w:pPr>
              <w:pStyle w:val="TableContents"/>
              <w:bidi w:val="0"/>
              <w:spacing w:before="0" w:after="0"/>
              <w:jc w:val="center"/>
              <w:rPr>
                <w:rFonts w:ascii="arial" w:hAnsi="arial"/>
                <w:b/>
                <w:sz w:val="16"/>
              </w:rPr>
            </w:pPr>
            <w:r>
              <w:rPr>
                <w:rFonts w:ascii="arial" w:hAnsi="arial"/>
                <w:b/>
                <w:sz w:val="16"/>
              </w:rPr>
              <w:t>Kelly One of U.S. Largest Education Staffing Firms</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Kelly is one of the largest education staffing firms in the U.S., according to the 2025 ranking by Staffing Industry Analysts (SIA).</w:t>
            </w:r>
          </w:p>
          <w:p>
            <w:pPr>
              <w:pStyle w:val="TableContents"/>
              <w:bidi w:val="0"/>
              <w:spacing w:before="0" w:after="20"/>
              <w:jc w:val="left"/>
              <w:rPr/>
            </w:pPr>
            <w:r>
              <w:rPr/>
              <w:t> </w:t>
            </w:r>
          </w:p>
        </w:tc>
      </w:tr>
      <w:tr>
        <w:trPr/>
        <w:tc>
          <w:tcPr>
            <w:tcW w:w="3435" w:type="dxa"/>
            <w:tcBorders>
              <w:left w:val="single" w:sz="6" w:space="0" w:color="00AE4F"/>
            </w:tcBorders>
            <w:tcMar>
              <w:left w:w="160" w:type="dxa"/>
            </w:tcMar>
            <w:vAlign w:val="center"/>
          </w:tcPr>
          <w:p>
            <w:pPr>
              <w:pStyle w:val="TableContents"/>
              <w:bidi w:val="0"/>
              <w:spacing w:before="0" w:after="283"/>
              <w:jc w:val="left"/>
              <w:rPr/>
            </w:pPr>
            <w:r>
              <w:rPr/>
              <w:t> </w:t>
            </w:r>
          </w:p>
        </w:tc>
        <w:tc>
          <w:tcPr>
            <w:tcW w:w="3391" w:type="dxa"/>
            <w:gridSpan w:val="2"/>
            <w:tcBorders>
              <w:left w:val="single" w:sz="6" w:space="0" w:color="00AE4F"/>
            </w:tcBorders>
            <w:tcMar>
              <w:left w:w="28" w:type="dxa"/>
            </w:tcMar>
            <w:vAlign w:val="center"/>
          </w:tcPr>
          <w:p>
            <w:pPr>
              <w:pStyle w:val="TableContents"/>
              <w:bidi w:val="0"/>
              <w:spacing w:before="0" w:after="283"/>
              <w:jc w:val="left"/>
              <w:rPr/>
            </w:pPr>
            <w:r>
              <w:rPr/>
              <w:t> </w:t>
            </w:r>
          </w:p>
        </w:tc>
        <w:tc>
          <w:tcPr>
            <w:tcW w:w="3379" w:type="dxa"/>
            <w:gridSpan w:val="2"/>
            <w:tcBorders>
              <w:left w:val="single" w:sz="6" w:space="0" w:color="00AE4F"/>
              <w:right w:val="single" w:sz="6" w:space="0" w:color="00AE4F"/>
            </w:tcBorders>
            <w:tcMar>
              <w:left w:w="28" w:type="dxa"/>
              <w:right w:w="28" w:type="dxa"/>
            </w:tcMar>
            <w:vAlign w:val="center"/>
          </w:tcPr>
          <w:p>
            <w:pPr>
              <w:pStyle w:val="TableContents"/>
              <w:bidi w:val="0"/>
              <w:spacing w:before="0" w:after="283"/>
              <w:jc w:val="left"/>
              <w:rPr/>
            </w:pPr>
            <w:r>
              <w:rPr/>
              <w:t> </w:t>
            </w:r>
          </w:p>
        </w:tc>
      </w:tr>
      <w:tr>
        <w:trPr/>
        <w:tc>
          <w:tcPr>
            <w:tcW w:w="3435" w:type="dxa"/>
            <w:tcBorders>
              <w:left w:val="single" w:sz="6" w:space="0" w:color="00AE4F"/>
            </w:tcBorders>
            <w:tcMar>
              <w:left w:w="160" w:type="dxa"/>
            </w:tcMar>
            <w:vAlign w:val="center"/>
          </w:tcPr>
          <w:p>
            <w:pPr>
              <w:pStyle w:val="TableContents"/>
              <w:bidi w:val="0"/>
              <w:spacing w:before="0" w:after="0"/>
              <w:jc w:val="center"/>
              <w:rPr/>
            </w:pPr>
            <w:r>
              <w:rPr/>
              <w:drawing>
                <wp:inline distT="0" distB="0" distL="0" distR="0">
                  <wp:extent cx="414655" cy="472440"/>
                  <wp:effectExtent l="0" t="0" r="0" b="0"/>
                  <wp:docPr id="6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8" descr=""/>
                          <pic:cNvPicPr>
                            <a:picLocks noChangeAspect="1" noChangeArrowheads="1"/>
                          </pic:cNvPicPr>
                        </pic:nvPicPr>
                        <pic:blipFill>
                          <a:blip r:embed="rId61"/>
                          <a:stretch>
                            <a:fillRect/>
                          </a:stretch>
                        </pic:blipFill>
                        <pic:spPr bwMode="auto">
                          <a:xfrm>
                            <a:off x="0" y="0"/>
                            <a:ext cx="414655" cy="472440"/>
                          </a:xfrm>
                          <a:prstGeom prst="rect">
                            <a:avLst/>
                          </a:prstGeom>
                        </pic:spPr>
                      </pic:pic>
                    </a:graphicData>
                  </a:graphic>
                </wp:inline>
              </w:drawing>
            </w:r>
            <w:r>
              <w:rPr/>
              <w:t xml:space="preserve"> </w:t>
            </w:r>
          </w:p>
        </w:tc>
        <w:tc>
          <w:tcPr>
            <w:tcW w:w="60" w:type="dxa"/>
            <w:tcBorders>
              <w:left w:val="single" w:sz="6" w:space="0" w:color="00AE4F"/>
            </w:tcBorders>
            <w:tcMar>
              <w:left w:w="28" w:type="dxa"/>
            </w:tcMar>
            <w:vAlign w:val="center"/>
          </w:tcPr>
          <w:p>
            <w:pPr>
              <w:pStyle w:val="TableContents"/>
              <w:bidi w:val="0"/>
              <w:spacing w:before="0" w:after="283"/>
              <w:jc w:val="left"/>
              <w:rPr/>
            </w:pPr>
            <w:r>
              <w:rPr/>
              <w:t> </w:t>
            </w:r>
          </w:p>
        </w:tc>
        <w:tc>
          <w:tcPr>
            <w:tcW w:w="3331"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AE4F"/>
            </w:tcBorders>
            <w:tcMar>
              <w:left w:w="28" w:type="dxa"/>
            </w:tcMar>
            <w:vAlign w:val="center"/>
          </w:tcPr>
          <w:p>
            <w:pPr>
              <w:pStyle w:val="TableContents"/>
              <w:bidi w:val="0"/>
              <w:spacing w:before="0" w:after="283"/>
              <w:jc w:val="left"/>
              <w:rPr/>
            </w:pPr>
            <w:r>
              <w:rPr/>
              <w:t> </w:t>
            </w:r>
          </w:p>
        </w:tc>
        <w:tc>
          <w:tcPr>
            <w:tcW w:w="3319" w:type="dxa"/>
            <w:tcBorders>
              <w:right w:val="single" w:sz="6" w:space="0" w:color="00AE4F"/>
            </w:tcBorders>
            <w:tcMar>
              <w:right w:w="40" w:type="dxa"/>
            </w:tcMar>
            <w:vAlign w:val="center"/>
          </w:tcPr>
          <w:p>
            <w:pPr>
              <w:pStyle w:val="TableContents"/>
              <w:bidi w:val="0"/>
              <w:spacing w:before="0" w:after="283"/>
              <w:jc w:val="left"/>
              <w:rPr/>
            </w:pPr>
            <w:r>
              <w:rPr/>
              <w:t> </w:t>
            </w:r>
          </w:p>
        </w:tc>
      </w:tr>
      <w:tr>
        <w:trPr/>
        <w:tc>
          <w:tcPr>
            <w:tcW w:w="3435" w:type="dxa"/>
            <w:tcBorders>
              <w:left w:val="single" w:sz="6" w:space="0" w:color="00AE4F"/>
            </w:tcBorders>
            <w:tcMar>
              <w:left w:w="160" w:type="dxa"/>
            </w:tcMar>
            <w:vAlign w:val="center"/>
          </w:tcPr>
          <w:p>
            <w:pPr>
              <w:pStyle w:val="TableContents"/>
              <w:bidi w:val="0"/>
              <w:spacing w:before="0" w:after="283"/>
              <w:jc w:val="left"/>
              <w:rPr/>
            </w:pPr>
            <w:r>
              <w:rPr/>
              <w:t> </w:t>
            </w:r>
          </w:p>
        </w:tc>
        <w:tc>
          <w:tcPr>
            <w:tcW w:w="3391" w:type="dxa"/>
            <w:gridSpan w:val="2"/>
            <w:tcBorders>
              <w:left w:val="single" w:sz="6" w:space="0" w:color="00AE4F"/>
            </w:tcBorders>
            <w:tcMar>
              <w:left w:w="28" w:type="dxa"/>
            </w:tcMar>
            <w:vAlign w:val="center"/>
          </w:tcPr>
          <w:p>
            <w:pPr>
              <w:pStyle w:val="TableContents"/>
              <w:bidi w:val="0"/>
              <w:spacing w:before="0" w:after="283"/>
              <w:jc w:val="left"/>
              <w:rPr/>
            </w:pPr>
            <w:r>
              <w:rPr/>
              <w:t> </w:t>
            </w:r>
          </w:p>
        </w:tc>
        <w:tc>
          <w:tcPr>
            <w:tcW w:w="3379" w:type="dxa"/>
            <w:gridSpan w:val="2"/>
            <w:tcBorders>
              <w:left w:val="single" w:sz="6" w:space="0" w:color="00AE4F"/>
              <w:right w:val="single" w:sz="6" w:space="0" w:color="00AE4F"/>
            </w:tcBorders>
            <w:tcMar>
              <w:left w:w="28" w:type="dxa"/>
              <w:right w:w="28" w:type="dxa"/>
            </w:tcMar>
            <w:vAlign w:val="center"/>
          </w:tcPr>
          <w:p>
            <w:pPr>
              <w:pStyle w:val="TableContents"/>
              <w:bidi w:val="0"/>
              <w:spacing w:before="0" w:after="283"/>
              <w:jc w:val="left"/>
              <w:rPr/>
            </w:pPr>
            <w:r>
              <w:rPr/>
              <w:t> </w:t>
            </w:r>
          </w:p>
        </w:tc>
      </w:tr>
      <w:tr>
        <w:trPr/>
        <w:tc>
          <w:tcPr>
            <w:tcW w:w="3435" w:type="dxa"/>
            <w:tcBorders>
              <w:left w:val="single" w:sz="6" w:space="0" w:color="00AE4F"/>
              <w:bottom w:val="single" w:sz="6" w:space="0" w:color="00AE4F"/>
            </w:tcBorders>
            <w:tcMar>
              <w:left w:w="160" w:type="dxa"/>
              <w:bottom w:w="28" w:type="dxa"/>
            </w:tcMar>
            <w:vAlign w:val="center"/>
          </w:tcPr>
          <w:p>
            <w:pPr>
              <w:pStyle w:val="TableContents"/>
              <w:bidi w:val="0"/>
              <w:spacing w:before="0" w:after="0"/>
              <w:jc w:val="center"/>
              <w:rPr>
                <w:rFonts w:ascii="arial" w:hAnsi="arial"/>
                <w:b/>
                <w:sz w:val="16"/>
              </w:rPr>
            </w:pPr>
            <w:r>
              <w:rPr>
                <w:rFonts w:ascii="arial" w:hAnsi="arial"/>
                <w:b/>
                <w:sz w:val="16"/>
              </w:rPr>
              <w:t>KellyOCG + Sevenstep Named No. 1 Provider of Total Workforce Solutions</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KellyOCG + Sevenstep has claimed the No. 1 spot on HRO Today’s 2025 Baker’s Dozen Customer Satisfaction Ratings: Total Workforce Solutions.</w:t>
            </w:r>
          </w:p>
          <w:p>
            <w:pPr>
              <w:pStyle w:val="TableContents"/>
              <w:bidi w:val="0"/>
              <w:spacing w:before="0" w:after="20"/>
              <w:jc w:val="left"/>
              <w:rPr/>
            </w:pPr>
            <w:r>
              <w:rPr/>
              <w:t> </w:t>
            </w:r>
          </w:p>
        </w:tc>
        <w:tc>
          <w:tcPr>
            <w:tcW w:w="60" w:type="dxa"/>
            <w:tcBorders>
              <w:left w:val="single" w:sz="6" w:space="0" w:color="00AE4F"/>
              <w:bottom w:val="single" w:sz="6" w:space="0" w:color="00AE4F"/>
            </w:tcBorders>
            <w:tcMar>
              <w:left w:w="28" w:type="dxa"/>
              <w:bottom w:w="28" w:type="dxa"/>
            </w:tcMar>
            <w:vAlign w:val="center"/>
          </w:tcPr>
          <w:p>
            <w:pPr>
              <w:pStyle w:val="TableContents"/>
              <w:bidi w:val="0"/>
              <w:spacing w:before="0" w:after="283"/>
              <w:jc w:val="left"/>
              <w:rPr/>
            </w:pPr>
            <w:r>
              <w:rPr/>
              <w:t> </w:t>
            </w:r>
          </w:p>
        </w:tc>
        <w:tc>
          <w:tcPr>
            <w:tcW w:w="3331"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left w:val="single" w:sz="6" w:space="0" w:color="00AE4F"/>
              <w:bottom w:val="single" w:sz="6" w:space="0" w:color="00AE4F"/>
            </w:tcBorders>
            <w:tcMar>
              <w:left w:w="28" w:type="dxa"/>
              <w:bottom w:w="28" w:type="dxa"/>
            </w:tcMar>
            <w:vAlign w:val="center"/>
          </w:tcPr>
          <w:p>
            <w:pPr>
              <w:pStyle w:val="TableContents"/>
              <w:bidi w:val="0"/>
              <w:spacing w:before="0" w:after="283"/>
              <w:jc w:val="left"/>
              <w:rPr/>
            </w:pPr>
            <w:r>
              <w:rPr/>
              <w:t> </w:t>
            </w:r>
          </w:p>
        </w:tc>
        <w:tc>
          <w:tcPr>
            <w:tcW w:w="3319" w:type="dxa"/>
            <w:tcBorders>
              <w:bottom w:val="single" w:sz="6" w:space="0" w:color="00AE4F"/>
              <w:right w:val="single" w:sz="6" w:space="0" w:color="00AE4F"/>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120" w:after="0"/>
        <w:jc w:val="left"/>
        <w:rPr>
          <w:rFonts w:ascii="arial" w:hAnsi="arial"/>
          <w:sz w:val="18"/>
        </w:rPr>
      </w:pPr>
      <w:r>
        <w:rPr>
          <w:rFonts w:ascii="arial" w:hAnsi="arial"/>
          <w:sz w:val="18"/>
        </w:rPr>
        <w:t xml:space="preserve">A complete list of the Company’s awards and recognitions is available on </w:t>
      </w:r>
      <w:r>
        <w:rPr>
          <w:rFonts w:ascii="arial" w:hAnsi="arial"/>
          <w:i/>
          <w:sz w:val="18"/>
        </w:rPr>
        <w:t>kellyservices.com</w:t>
      </w:r>
      <w:r>
        <w:rPr>
          <w:rFonts w:ascii="arial" w:hAnsi="arial"/>
          <w:sz w:val="18"/>
        </w:rPr>
        <w:t xml:space="preserve">. </w:t>
      </w:r>
    </w:p>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6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9" descr=""/>
                          <pic:cNvPicPr>
                            <a:picLocks noChangeAspect="1" noChangeArrowheads="1"/>
                          </pic:cNvPicPr>
                        </pic:nvPicPr>
                        <pic:blipFill>
                          <a:blip r:embed="rId62"/>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sz w:val="36"/>
        </w:rPr>
      </w:pPr>
      <w:bookmarkStart w:id="12" w:name="toc37355_10"/>
      <w:bookmarkEnd w:id="12"/>
      <w:r>
        <w:rPr>
          <w:rFonts w:ascii="arial" w:hAnsi="arial"/>
          <w:b/>
          <w:sz w:val="36"/>
        </w:rPr>
        <w:t xml:space="preserve">Proposal 1 – Election of Directors </w:t>
      </w:r>
    </w:p>
    <w:p>
      <w:pPr>
        <w:pStyle w:val="TextBody"/>
        <w:bidi w:val="0"/>
        <w:spacing w:before="360" w:after="0"/>
        <w:jc w:val="left"/>
        <w:rPr>
          <w:rFonts w:ascii="arial" w:hAnsi="arial"/>
          <w:sz w:val="18"/>
        </w:rPr>
      </w:pPr>
      <w:r>
        <w:rPr>
          <w:rFonts w:ascii="arial" w:hAnsi="arial"/>
          <w:sz w:val="18"/>
        </w:rPr>
        <w:t xml:space="preserve">The Board of Directors nominated eleven individuals for election as directors at the Annual Meeting, each to serve for one year and until his or her successor is elected and qualified. In 2025, our Company underwent a significant leadership transition alongside continued enhancements in corporate governance. Effective September 2, 2025, Christopher D. Layden was appointed as our new President and CEO and joined our Board of Directors. On the same day, Peter Quigley stepped down from his role as President and CEO in anticipation of his planned retirement. Chris’s appointment followed a rigorous succession process led by the Board, which considered both internal and external candidates. Mr. Layden brings a wealth of experience to the role. He most recently served as Chief Operating Officer at Prolink, a leading workforce solutions provider offering expertise in staffing, technology, culture, data, and talent experience solutions nationwide. Before his tenure at Prolink, Mr. Layden spent nearly twenty years with ManpowerGroup. In this global workforce solutions company, he held a variety of positions with increasing responsibility, including vice president and general manager of industry verticals. </w:t>
      </w:r>
    </w:p>
    <w:p>
      <w:pPr>
        <w:pStyle w:val="TextBody"/>
        <w:bidi w:val="0"/>
        <w:spacing w:before="80" w:after="0"/>
        <w:jc w:val="left"/>
        <w:rPr>
          <w:rFonts w:ascii="arial" w:hAnsi="arial"/>
          <w:sz w:val="18"/>
        </w:rPr>
      </w:pPr>
      <w:r>
        <w:rPr>
          <w:rFonts w:ascii="arial" w:hAnsi="arial"/>
          <w:sz w:val="18"/>
        </w:rPr>
        <w:t xml:space="preserve">Additionally, on January 30, 2026, the Terence E. Adderley Revocable Trust K (“Trust K”) closed a transaction with Hunt Equity Opportunities, LLC (“Hunt”), pursuant to which Hunt acquired 3,039,940 shares of Class B Common Stock of Kelly from Trust K, causing Hunt to become the controlling shareholder of Kelly with 92.2% of the Class B Common Stock (“the “transaction”). </w:t>
      </w:r>
    </w:p>
    <w:p>
      <w:pPr>
        <w:pStyle w:val="TextBody"/>
        <w:bidi w:val="0"/>
        <w:spacing w:before="80" w:after="0"/>
        <w:jc w:val="left"/>
        <w:rPr>
          <w:rFonts w:ascii="arial" w:hAnsi="arial"/>
          <w:sz w:val="18"/>
        </w:rPr>
      </w:pPr>
      <w:r>
        <w:rPr>
          <w:rFonts w:ascii="arial" w:hAnsi="arial"/>
          <w:sz w:val="18"/>
        </w:rPr>
        <w:t xml:space="preserve">Following the transaction, Kelly announced changes to the composition of the Company’s Board of Directors. Effective January 30, 2026, and continuing until the 2026 Annual Meeting of Stockholders, the Board consists of four Hunt designees: Chris Hunt, Angela Brock-Kyle, Edward Escudero, and James K. Hunt; Christopher D. Layden; and three directors who were serving as of January 30, 2026 and continue to serve on the Board: Robert S. Cubbin, Amala Duggirala, and Leslie A. Murphy. Chris Hunt was appointed as Chairman of the Board and James K. Hunt, lead director. </w:t>
      </w:r>
    </w:p>
    <w:p>
      <w:pPr>
        <w:pStyle w:val="TextBody"/>
        <w:bidi w:val="0"/>
        <w:spacing w:before="80" w:after="0"/>
        <w:jc w:val="left"/>
        <w:rPr>
          <w:rFonts w:ascii="arial" w:hAnsi="arial"/>
          <w:sz w:val="18"/>
        </w:rPr>
      </w:pPr>
      <w:r>
        <w:rPr>
          <w:rFonts w:ascii="arial" w:hAnsi="arial"/>
          <w:sz w:val="18"/>
        </w:rPr>
        <w:t xml:space="preserve">As part of these changes, Terrence B. Larkin, Gerald S. Adolph, George S. Corona, InaMarie F. Johnson, and Peter W. Quigley resigned from the Board, effective January 30, 2026. </w:t>
      </w:r>
    </w:p>
    <w:p>
      <w:pPr>
        <w:pStyle w:val="TextBody"/>
        <w:bidi w:val="0"/>
        <w:spacing w:before="80" w:after="0"/>
        <w:jc w:val="left"/>
        <w:rPr>
          <w:rFonts w:ascii="arial" w:hAnsi="arial"/>
          <w:sz w:val="18"/>
        </w:rPr>
      </w:pPr>
      <w:r>
        <w:rPr>
          <w:rFonts w:ascii="arial" w:hAnsi="arial"/>
          <w:sz w:val="18"/>
        </w:rPr>
        <w:t xml:space="preserve">Directors will be elected by a plurality of the votes cast by holders of Class B Common Stock who are present in person, or represented by proxy, and entitled to vote at the Annual Meeting. Our controlling shareholder, Hunt, has indicated its support and intention to vote for each director nominee. </w:t>
      </w:r>
    </w:p>
    <w:p>
      <w:pPr>
        <w:pStyle w:val="TextBody"/>
        <w:bidi w:val="0"/>
        <w:spacing w:before="80" w:after="0"/>
        <w:jc w:val="left"/>
        <w:rPr>
          <w:rFonts w:ascii="arial" w:hAnsi="arial"/>
          <w:sz w:val="18"/>
        </w:rPr>
      </w:pPr>
      <w:r>
        <w:rPr>
          <w:rFonts w:ascii="arial" w:hAnsi="arial"/>
          <w:sz w:val="18"/>
        </w:rPr>
        <w:t xml:space="preserve">We do not contemplate that any of the nominees will be unavailable to serve at the time of the Annual Meeting. In that event, however, the persons named in the enclosed form of proxy may vote for the election of a substitute selected by the Board, or the Board may reduce its size. </w:t>
      </w:r>
    </w:p>
    <w:p>
      <w:pPr>
        <w:pStyle w:val="TextBody"/>
        <w:bidi w:val="0"/>
        <w:spacing w:before="360" w:after="0"/>
        <w:jc w:val="left"/>
        <w:rPr>
          <w:rFonts w:ascii="arial" w:hAnsi="arial"/>
          <w:b/>
          <w:sz w:val="24"/>
        </w:rPr>
      </w:pPr>
      <w:bookmarkStart w:id="13" w:name="toc37355_11"/>
      <w:bookmarkEnd w:id="13"/>
      <w:r>
        <w:rPr>
          <w:rFonts w:ascii="arial" w:hAnsi="arial"/>
          <w:b/>
          <w:sz w:val="24"/>
        </w:rPr>
        <w:t xml:space="preserve">Director Independence </w:t>
      </w:r>
    </w:p>
    <w:p>
      <w:pPr>
        <w:pStyle w:val="TextBody"/>
        <w:bidi w:val="0"/>
        <w:spacing w:before="80" w:after="0"/>
        <w:jc w:val="left"/>
        <w:rPr>
          <w:rFonts w:ascii="arial" w:hAnsi="arial"/>
          <w:sz w:val="18"/>
        </w:rPr>
      </w:pPr>
      <w:r>
        <w:rPr>
          <w:rFonts w:ascii="arial" w:hAnsi="arial"/>
          <w:sz w:val="18"/>
        </w:rPr>
        <w:t xml:space="preserve">The Board of Directors has a majority of directors who are independent under the listing standards of the Nasdaq Global Select Market, or Nasdaq. The Nasdaq Stock Market LLC Rules provide that a director of a business development company shall be considered to be independent if he or she is not an “interested person” of the Company, as defined in Section 2(a)(19) of the 1940 Act. Section 2(a)(19) of the 1940 Act defines an “interested person” to include, among other things, any person who has, or within the last two years had, a material business or professional relationship with the Company. </w:t>
      </w:r>
    </w:p>
    <w:p>
      <w:pPr>
        <w:pStyle w:val="TextBody"/>
        <w:bidi w:val="0"/>
        <w:spacing w:before="80" w:after="0"/>
        <w:jc w:val="left"/>
        <w:rPr>
          <w:rFonts w:ascii="arial" w:hAnsi="arial"/>
          <w:sz w:val="18"/>
        </w:rPr>
      </w:pPr>
      <w:r>
        <w:rPr>
          <w:rFonts w:ascii="arial" w:hAnsi="arial"/>
          <w:sz w:val="18"/>
        </w:rPr>
        <w:t xml:space="preserve">On March 17, 2026, our Board affirmatively determined that directors Angela Brock-Kyle, Robert S. Cubbin, Amala Duggirala, Edward Escudero, James K. Hunt, Leslie A. Murphy, Michael J. Wartell, and George H. Young III, representing a majority of the Board, are independent. Messrs. Chris Hunt and Ryan McCrory are “interested persons” due to their positions with Hunt Companies, Inc., as discussed in their respective biographies. Based upon independently verified information obtained from each director concerning their background, employment, and affiliations, the Board of Directors has affirmatively determined that none of the independent directors has a material business or professional relationship with the Company, other than in his or her capacity as a member of the Board of Directors or any committee thereof. </w:t>
      </w:r>
    </w:p>
    <w:p>
      <w:pPr>
        <w:pStyle w:val="TextBody"/>
        <w:bidi w:val="0"/>
        <w:spacing w:before="360" w:after="0"/>
        <w:jc w:val="left"/>
        <w:rPr>
          <w:rFonts w:ascii="arial" w:hAnsi="arial"/>
          <w:b/>
          <w:sz w:val="24"/>
        </w:rPr>
      </w:pPr>
      <w:bookmarkStart w:id="14" w:name="toc37355_12"/>
      <w:bookmarkEnd w:id="14"/>
      <w:r>
        <w:rPr>
          <w:rFonts w:ascii="arial" w:hAnsi="arial"/>
          <w:b/>
          <w:sz w:val="24"/>
        </w:rPr>
        <w:t xml:space="preserve">Board Nominees </w:t>
      </w:r>
    </w:p>
    <w:p>
      <w:pPr>
        <w:pStyle w:val="TextBody"/>
        <w:bidi w:val="0"/>
        <w:spacing w:before="80" w:after="0"/>
        <w:jc w:val="left"/>
        <w:rPr>
          <w:rFonts w:ascii="arial" w:hAnsi="arial"/>
          <w:sz w:val="18"/>
        </w:rPr>
      </w:pPr>
      <w:r>
        <w:rPr>
          <w:rFonts w:ascii="arial" w:hAnsi="arial"/>
          <w:sz w:val="18"/>
        </w:rPr>
        <w:t xml:space="preserve">Each of our director nominees has been recommended for election by our Corporate Governance and Nominating Committee and nominated by our Board. They are seasoned leaders with an array of diverse leadership experience in public and private companies, nonprofit organizations, and other businesses. They represent diverse backgrounds, experiences, skills, personal attributes, and viewpoints. </w:t>
      </w:r>
    </w:p>
    <w:p>
      <w:pPr>
        <w:pStyle w:val="TextBody"/>
        <w:bidi w:val="0"/>
        <w:spacing w:before="80" w:after="0"/>
        <w:jc w:val="left"/>
        <w:rPr>
          <w:rFonts w:ascii="arial" w:hAnsi="arial"/>
          <w:sz w:val="18"/>
        </w:rPr>
      </w:pPr>
      <w:r>
        <w:rPr>
          <w:rFonts w:ascii="arial" w:hAnsi="arial"/>
          <w:sz w:val="18"/>
        </w:rPr>
        <w:t xml:space="preserve">The Board believes that the unique attributes and experiences of each director nominee strengthens the Board’s ability to carry out its oversight role on behalf of shareholders, and is proud of the Company’s long history of having at least three </w:t>
      </w:r>
    </w:p>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7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0" descr=""/>
                          <pic:cNvPicPr>
                            <a:picLocks noChangeAspect="1" noChangeArrowheads="1"/>
                          </pic:cNvPicPr>
                        </pic:nvPicPr>
                        <pic:blipFill>
                          <a:blip r:embed="rId63"/>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Proposal 1: Election of Directors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directors who are women on the Board for the past 17 years. While we do not have a formal diversity policy, the Board will continue to prioritize varied perspectives and backgrounds in future Board membership. </w:t>
      </w:r>
    </w:p>
    <w:p>
      <w:pPr>
        <w:pStyle w:val="TextBody"/>
        <w:bidi w:val="0"/>
        <w:spacing w:before="80" w:after="0"/>
        <w:jc w:val="left"/>
        <w:rPr>
          <w:rFonts w:ascii="arial" w:hAnsi="arial"/>
          <w:sz w:val="18"/>
        </w:rPr>
      </w:pPr>
      <w:r>
        <w:rPr>
          <w:rFonts w:ascii="arial" w:hAnsi="arial"/>
          <w:sz w:val="18"/>
        </w:rPr>
        <w:t xml:space="preserve">For each of the eleven director nominees standing for election, the following pages set forth certain biographical information, including a description of their principal occupation, business experience, and the primary qualifications, experience, skills, and attributes that the Corporate Governance and Nominating Committee considered in recommending them as director nominees, as well as the committees on which each director nominee will serve as of the 2026 Annual Meeting. The Board composition charts, including information on independence, age, tenure, skills, experience, and attributes, assume that all director nominees are elected as directors at the Annual Meeting. Age and tenure for each director nominee is as of April 13, 2026. </w:t>
      </w:r>
    </w:p>
    <w:p>
      <w:pPr>
        <w:pStyle w:val="TextBody"/>
        <w:bidi w:val="0"/>
        <w:spacing w:before="360" w:after="0"/>
        <w:jc w:val="left"/>
        <w:rPr>
          <w:rFonts w:ascii="arial" w:hAnsi="arial"/>
          <w:b/>
          <w:sz w:val="24"/>
        </w:rPr>
      </w:pPr>
      <w:bookmarkStart w:id="15" w:name="toc37355_13"/>
      <w:bookmarkEnd w:id="15"/>
      <w:r>
        <w:rPr>
          <w:rFonts w:ascii="arial" w:hAnsi="arial"/>
          <w:b/>
          <w:sz w:val="24"/>
        </w:rPr>
        <w:t xml:space="preserve">Board Composition </w:t>
      </w:r>
    </w:p>
    <w:p>
      <w:pPr>
        <w:pStyle w:val="TextBody"/>
        <w:bidi w:val="0"/>
        <w:spacing w:before="80" w:after="0"/>
        <w:jc w:val="left"/>
        <w:rPr>
          <w:rFonts w:ascii="arial" w:hAnsi="arial"/>
          <w:sz w:val="18"/>
        </w:rPr>
      </w:pPr>
      <w:r>
        <w:rPr>
          <w:rFonts w:ascii="arial" w:hAnsi="arial"/>
          <w:sz w:val="18"/>
        </w:rPr>
        <w:t xml:space="preserve">The Corporate Governance and Nominating Committee is responsible for identifying and recommending to the Board qualified candidates for Board membership as well as assessing the experience and skills of the Company’s current directors. The Committee regularly reviews the mix of individual qualifications, experience, skills, and attributes of incumbent directors to assess overall Board composition and define Board succession goals. The Committee values these core qualifications for Board composition essential to business success: leadership skills, ethics and integrity, independence, sound judgment, interpersonal and communication skills, and being accomplished in their field. </w:t>
      </w:r>
    </w:p>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14 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7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1" descr=""/>
                          <pic:cNvPicPr>
                            <a:picLocks noChangeAspect="1" noChangeArrowheads="1"/>
                          </pic:cNvPicPr>
                        </pic:nvPicPr>
                        <pic:blipFill>
                          <a:blip r:embed="rId64"/>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Proposal 1: Election of Directors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In determining whether to recommend a director for re-nomination, the Committee also considers the director’s recent contributions and potential for continuing contributions to the work of the Board. </w:t>
      </w:r>
    </w:p>
    <w:p>
      <w:pPr>
        <w:pStyle w:val="TextBody"/>
        <w:bidi w:val="0"/>
        <w:spacing w:before="360" w:after="0"/>
        <w:jc w:val="left"/>
        <w:rPr>
          <w:rFonts w:ascii="arial" w:hAnsi="arial"/>
          <w:b/>
          <w:sz w:val="24"/>
        </w:rPr>
      </w:pPr>
      <w:bookmarkStart w:id="16" w:name="toc37355_14"/>
      <w:bookmarkEnd w:id="16"/>
      <w:r>
        <w:rPr>
          <w:rFonts w:ascii="arial" w:hAnsi="arial"/>
          <w:b/>
          <w:sz w:val="24"/>
        </w:rPr>
        <w:t xml:space="preserve">Board Composition Matrix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68"/>
        <w:gridCol w:w="23"/>
        <w:gridCol w:w="58"/>
        <w:gridCol w:w="153"/>
        <w:gridCol w:w="665"/>
        <w:gridCol w:w="154"/>
        <w:gridCol w:w="23"/>
        <w:gridCol w:w="34"/>
        <w:gridCol w:w="91"/>
        <w:gridCol w:w="398"/>
        <w:gridCol w:w="93"/>
        <w:gridCol w:w="23"/>
        <w:gridCol w:w="36"/>
        <w:gridCol w:w="96"/>
        <w:gridCol w:w="418"/>
        <w:gridCol w:w="97"/>
        <w:gridCol w:w="23"/>
        <w:gridCol w:w="50"/>
        <w:gridCol w:w="134"/>
        <w:gridCol w:w="583"/>
        <w:gridCol w:w="137"/>
        <w:gridCol w:w="23"/>
        <w:gridCol w:w="32"/>
        <w:gridCol w:w="87"/>
        <w:gridCol w:w="378"/>
        <w:gridCol w:w="89"/>
        <w:gridCol w:w="23"/>
        <w:gridCol w:w="34"/>
        <w:gridCol w:w="91"/>
        <w:gridCol w:w="399"/>
        <w:gridCol w:w="36"/>
        <w:gridCol w:w="23"/>
        <w:gridCol w:w="43"/>
        <w:gridCol w:w="114"/>
        <w:gridCol w:w="497"/>
        <w:gridCol w:w="116"/>
        <w:gridCol w:w="23"/>
        <w:gridCol w:w="30"/>
        <w:gridCol w:w="81"/>
        <w:gridCol w:w="354"/>
        <w:gridCol w:w="83"/>
        <w:gridCol w:w="23"/>
        <w:gridCol w:w="50"/>
        <w:gridCol w:w="131"/>
        <w:gridCol w:w="568"/>
        <w:gridCol w:w="132"/>
        <w:gridCol w:w="23"/>
        <w:gridCol w:w="31"/>
        <w:gridCol w:w="82"/>
        <w:gridCol w:w="359"/>
        <w:gridCol w:w="84"/>
        <w:gridCol w:w="23"/>
        <w:gridCol w:w="31"/>
        <w:gridCol w:w="82"/>
        <w:gridCol w:w="355"/>
        <w:gridCol w:w="118"/>
      </w:tblGrid>
      <w:tr>
        <w:trPr/>
        <w:tc>
          <w:tcPr>
            <w:tcW w:w="226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914" w:type="dxa"/>
            <w:gridSpan w:val="54"/>
            <w:tcBorders>
              <w:bottom w:val="single" w:sz="8" w:space="0" w:color="000000"/>
            </w:tcBorders>
            <w:tcMar>
              <w:bottom w:w="28" w:type="dxa"/>
            </w:tcMar>
            <w:vAlign w:val="center"/>
          </w:tcPr>
          <w:p>
            <w:pPr>
              <w:pStyle w:val="TableContents"/>
              <w:bidi w:val="0"/>
              <w:spacing w:before="0" w:after="0"/>
              <w:jc w:val="center"/>
              <w:rPr>
                <w:rFonts w:ascii="arial" w:hAnsi="arial"/>
                <w:color w:val="00AE4F"/>
                <w:sz w:val="20"/>
              </w:rPr>
            </w:pPr>
            <w:r>
              <w:rPr>
                <w:rFonts w:ascii="arial" w:hAnsi="arial"/>
                <w:color w:val="00AE4F"/>
                <w:sz w:val="20"/>
              </w:rPr>
              <w:t>Director Nominees</w:t>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vAlign w:val="center"/>
          </w:tcPr>
          <w:p>
            <w:pPr>
              <w:pStyle w:val="TableContents"/>
              <w:bidi w:val="0"/>
              <w:spacing w:before="0" w:after="283"/>
              <w:jc w:val="left"/>
              <w:rPr>
                <w:sz w:val="4"/>
                <w:szCs w:val="4"/>
              </w:rPr>
            </w:pPr>
            <w:r>
              <w:rPr>
                <w:sz w:val="4"/>
                <w:szCs w:val="4"/>
              </w:rPr>
            </w:r>
          </w:p>
        </w:tc>
      </w:tr>
      <w:tr>
        <w:trPr/>
        <w:tc>
          <w:tcPr>
            <w:tcW w:w="2268" w:type="dxa"/>
            <w:tcBorders>
              <w:bottom w:val="single" w:sz="8" w:space="0" w:color="000000"/>
            </w:tcBorders>
            <w:tcMar>
              <w:bottom w:w="28" w:type="dxa"/>
            </w:tcMar>
            <w:vAlign w:val="center"/>
          </w:tcPr>
          <w:p>
            <w:pPr>
              <w:pStyle w:val="TableContents"/>
              <w:bidi w:val="0"/>
              <w:spacing w:before="0" w:after="0"/>
              <w:jc w:val="left"/>
              <w:rPr>
                <w:rFonts w:ascii="arial" w:hAnsi="arial"/>
                <w:color w:val="00AE4F"/>
                <w:sz w:val="20"/>
              </w:rPr>
            </w:pPr>
            <w:r>
              <w:rPr>
                <w:rFonts w:ascii="arial" w:hAnsi="arial"/>
                <w:color w:val="00AE4F"/>
                <w:sz w:val="20"/>
              </w:rPr>
              <w:t>Specific Experience and</w:t>
            </w:r>
          </w:p>
          <w:p>
            <w:pPr>
              <w:pStyle w:val="TableContents"/>
              <w:bidi w:val="0"/>
              <w:spacing w:before="0" w:after="0"/>
              <w:jc w:val="left"/>
              <w:rPr>
                <w:rFonts w:ascii="arial" w:hAnsi="arial"/>
                <w:color w:val="00AE4F"/>
                <w:sz w:val="20"/>
              </w:rPr>
            </w:pPr>
            <w:r>
              <w:rPr>
                <w:rFonts w:ascii="arial" w:hAnsi="arial"/>
                <w:color w:val="00AE4F"/>
                <w:sz w:val="20"/>
              </w:rPr>
              <w:t>Skills (May vary</w:t>
            </w:r>
          </w:p>
          <w:p>
            <w:pPr>
              <w:pStyle w:val="TableContents"/>
              <w:bidi w:val="0"/>
              <w:spacing w:before="0" w:after="0"/>
              <w:jc w:val="left"/>
              <w:rPr>
                <w:rFonts w:ascii="arial" w:hAnsi="arial"/>
                <w:color w:val="00AE4F"/>
                <w:sz w:val="20"/>
              </w:rPr>
            </w:pPr>
            <w:r>
              <w:rPr>
                <w:rFonts w:ascii="arial" w:hAnsi="arial"/>
                <w:color w:val="00AE4F"/>
                <w:sz w:val="20"/>
              </w:rPr>
              <w:t>based on current and</w:t>
            </w:r>
          </w:p>
          <w:p>
            <w:pPr>
              <w:pStyle w:val="TableContents"/>
              <w:bidi w:val="0"/>
              <w:spacing w:before="0" w:after="0"/>
              <w:jc w:val="left"/>
              <w:rPr>
                <w:rFonts w:ascii="arial" w:hAnsi="arial"/>
                <w:color w:val="00AE4F"/>
                <w:sz w:val="20"/>
              </w:rPr>
            </w:pPr>
            <w:r>
              <w:rPr>
                <w:rFonts w:ascii="arial" w:hAnsi="arial"/>
                <w:color w:val="00AE4F"/>
                <w:sz w:val="20"/>
              </w:rPr>
              <w:t>future Company</w:t>
            </w:r>
          </w:p>
          <w:p>
            <w:pPr>
              <w:pStyle w:val="TableContents"/>
              <w:bidi w:val="0"/>
              <w:spacing w:before="0" w:after="20"/>
              <w:jc w:val="left"/>
              <w:rPr>
                <w:rFonts w:ascii="arial" w:hAnsi="arial"/>
                <w:color w:val="00AE4F"/>
                <w:sz w:val="20"/>
              </w:rPr>
            </w:pPr>
            <w:r>
              <w:rPr>
                <w:rFonts w:ascii="arial" w:hAnsi="arial"/>
                <w:color w:val="00AE4F"/>
                <w:sz w:val="20"/>
              </w:rPr>
              <w:t>priorities /needs)</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0" w:type="dxa"/>
            <w:gridSpan w:val="4"/>
            <w:tcBorders>
              <w:bottom w:val="single" w:sz="8" w:space="0" w:color="000000"/>
            </w:tcBorders>
            <w:tcMar>
              <w:bottom w:w="28" w:type="dxa"/>
            </w:tcMar>
            <w:vAlign w:val="center"/>
          </w:tcPr>
          <w:p>
            <w:pPr>
              <w:pStyle w:val="TableContents"/>
              <w:bidi w:val="0"/>
              <w:spacing w:before="0" w:after="283"/>
              <w:jc w:val="left"/>
              <w:rPr/>
            </w:pPr>
            <w:r>
              <w:rPr/>
              <w:t xml:space="preserve">  </w:t>
            </w:r>
            <w:r>
              <w:rPr/>
              <w:drawing>
                <wp:inline distT="0" distB="0" distL="0" distR="0">
                  <wp:extent cx="633095" cy="718185"/>
                  <wp:effectExtent l="0" t="0" r="0" b="0"/>
                  <wp:docPr id="7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2" descr=""/>
                          <pic:cNvPicPr>
                            <a:picLocks noChangeAspect="1" noChangeArrowheads="1"/>
                          </pic:cNvPicPr>
                        </pic:nvPicPr>
                        <pic:blipFill>
                          <a:blip r:embed="rId65"/>
                          <a:stretch>
                            <a:fillRect/>
                          </a:stretch>
                        </pic:blipFill>
                        <pic:spPr bwMode="auto">
                          <a:xfrm>
                            <a:off x="0" y="0"/>
                            <a:ext cx="633095" cy="718185"/>
                          </a:xfrm>
                          <a:prstGeom prst="rect">
                            <a:avLst/>
                          </a:prstGeom>
                        </pic:spPr>
                      </pic:pic>
                    </a:graphicData>
                  </a:graphic>
                </wp:inline>
              </w:drawing>
            </w:r>
            <w:r>
              <w:rPr/>
              <w:t xml:space="preserve">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6" w:type="dxa"/>
            <w:gridSpan w:val="4"/>
            <w:tcBorders>
              <w:bottom w:val="single" w:sz="8" w:space="0" w:color="000000"/>
            </w:tcBorders>
            <w:tcMar>
              <w:bottom w:w="28" w:type="dxa"/>
            </w:tcMar>
            <w:vAlign w:val="center"/>
          </w:tcPr>
          <w:p>
            <w:pPr>
              <w:pStyle w:val="TableContents"/>
              <w:bidi w:val="0"/>
              <w:spacing w:before="0" w:after="283"/>
              <w:jc w:val="left"/>
              <w:rPr/>
            </w:pPr>
            <w:r>
              <w:rPr/>
              <w:t xml:space="preserve">  </w:t>
            </w:r>
            <w:r>
              <w:rPr/>
              <w:drawing>
                <wp:inline distT="0" distB="0" distL="0" distR="0">
                  <wp:extent cx="370205" cy="382270"/>
                  <wp:effectExtent l="0" t="0" r="0" b="0"/>
                  <wp:docPr id="7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3" descr=""/>
                          <pic:cNvPicPr>
                            <a:picLocks noChangeAspect="1" noChangeArrowheads="1"/>
                          </pic:cNvPicPr>
                        </pic:nvPicPr>
                        <pic:blipFill>
                          <a:blip r:embed="rId66"/>
                          <a:stretch>
                            <a:fillRect/>
                          </a:stretch>
                        </pic:blipFill>
                        <pic:spPr bwMode="auto">
                          <a:xfrm>
                            <a:off x="0" y="0"/>
                            <a:ext cx="370205" cy="382270"/>
                          </a:xfrm>
                          <a:prstGeom prst="rect">
                            <a:avLst/>
                          </a:prstGeom>
                        </pic:spPr>
                      </pic:pic>
                    </a:graphicData>
                  </a:graphic>
                </wp:inline>
              </w:drawing>
            </w:r>
            <w:r>
              <w:rPr/>
              <w:t xml:space="preserve">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7" w:type="dxa"/>
            <w:gridSpan w:val="4"/>
            <w:tcBorders>
              <w:bottom w:val="single" w:sz="8" w:space="0" w:color="000000"/>
            </w:tcBorders>
            <w:tcMar>
              <w:bottom w:w="28" w:type="dxa"/>
            </w:tcMar>
            <w:vAlign w:val="center"/>
          </w:tcPr>
          <w:p>
            <w:pPr>
              <w:pStyle w:val="TableContents"/>
              <w:bidi w:val="0"/>
              <w:spacing w:before="0" w:after="283"/>
              <w:jc w:val="left"/>
              <w:rPr/>
            </w:pPr>
            <w:r>
              <w:rPr/>
              <w:t xml:space="preserve">  </w:t>
            </w:r>
            <w:r>
              <w:rPr/>
              <w:drawing>
                <wp:inline distT="0" distB="0" distL="0" distR="0">
                  <wp:extent cx="389890" cy="551815"/>
                  <wp:effectExtent l="0" t="0" r="0" b="0"/>
                  <wp:docPr id="7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4" descr=""/>
                          <pic:cNvPicPr>
                            <a:picLocks noChangeAspect="1" noChangeArrowheads="1"/>
                          </pic:cNvPicPr>
                        </pic:nvPicPr>
                        <pic:blipFill>
                          <a:blip r:embed="rId67"/>
                          <a:stretch>
                            <a:fillRect/>
                          </a:stretch>
                        </pic:blipFill>
                        <pic:spPr bwMode="auto">
                          <a:xfrm>
                            <a:off x="0" y="0"/>
                            <a:ext cx="389890" cy="551815"/>
                          </a:xfrm>
                          <a:prstGeom prst="rect">
                            <a:avLst/>
                          </a:prstGeom>
                        </pic:spPr>
                      </pic:pic>
                    </a:graphicData>
                  </a:graphic>
                </wp:inline>
              </w:drawing>
            </w:r>
            <w:r>
              <w:rPr/>
              <w:t xml:space="preserve">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4" w:type="dxa"/>
            <w:gridSpan w:val="4"/>
            <w:tcBorders>
              <w:bottom w:val="single" w:sz="8" w:space="0" w:color="000000"/>
            </w:tcBorders>
            <w:tcMar>
              <w:bottom w:w="28" w:type="dxa"/>
            </w:tcMar>
            <w:vAlign w:val="center"/>
          </w:tcPr>
          <w:p>
            <w:pPr>
              <w:pStyle w:val="TableContents"/>
              <w:bidi w:val="0"/>
              <w:spacing w:before="0" w:after="283"/>
              <w:jc w:val="left"/>
              <w:rPr/>
            </w:pPr>
            <w:r>
              <w:rPr/>
              <w:t xml:space="preserve">  </w:t>
            </w:r>
            <w:r>
              <w:rPr/>
              <w:drawing>
                <wp:inline distT="0" distB="0" distL="0" distR="0">
                  <wp:extent cx="553085" cy="579120"/>
                  <wp:effectExtent l="0" t="0" r="0" b="0"/>
                  <wp:docPr id="7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5" descr=""/>
                          <pic:cNvPicPr>
                            <a:picLocks noChangeAspect="1" noChangeArrowheads="1"/>
                          </pic:cNvPicPr>
                        </pic:nvPicPr>
                        <pic:blipFill>
                          <a:blip r:embed="rId68"/>
                          <a:stretch>
                            <a:fillRect/>
                          </a:stretch>
                        </pic:blipFill>
                        <pic:spPr bwMode="auto">
                          <a:xfrm>
                            <a:off x="0" y="0"/>
                            <a:ext cx="553085" cy="579120"/>
                          </a:xfrm>
                          <a:prstGeom prst="rect">
                            <a:avLst/>
                          </a:prstGeom>
                        </pic:spPr>
                      </pic:pic>
                    </a:graphicData>
                  </a:graphic>
                </wp:inline>
              </w:drawing>
            </w:r>
            <w:r>
              <w:rPr/>
              <w:t xml:space="preserve">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gridSpan w:val="4"/>
            <w:tcBorders>
              <w:bottom w:val="single" w:sz="8" w:space="0" w:color="000000"/>
            </w:tcBorders>
            <w:tcMar>
              <w:bottom w:w="28" w:type="dxa"/>
            </w:tcMar>
            <w:vAlign w:val="center"/>
          </w:tcPr>
          <w:p>
            <w:pPr>
              <w:pStyle w:val="TableContents"/>
              <w:bidi w:val="0"/>
              <w:spacing w:before="0" w:after="283"/>
              <w:jc w:val="left"/>
              <w:rPr/>
            </w:pPr>
            <w:r>
              <w:rPr/>
              <w:t xml:space="preserve">  </w:t>
            </w:r>
            <w:r>
              <w:rPr/>
              <w:drawing>
                <wp:inline distT="0" distB="0" distL="0" distR="0">
                  <wp:extent cx="351155" cy="485140"/>
                  <wp:effectExtent l="0" t="0" r="0" b="0"/>
                  <wp:docPr id="7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6" descr=""/>
                          <pic:cNvPicPr>
                            <a:picLocks noChangeAspect="1" noChangeArrowheads="1"/>
                          </pic:cNvPicPr>
                        </pic:nvPicPr>
                        <pic:blipFill>
                          <a:blip r:embed="rId69"/>
                          <a:stretch>
                            <a:fillRect/>
                          </a:stretch>
                        </pic:blipFill>
                        <pic:spPr bwMode="auto">
                          <a:xfrm>
                            <a:off x="0" y="0"/>
                            <a:ext cx="351155" cy="485140"/>
                          </a:xfrm>
                          <a:prstGeom prst="rect">
                            <a:avLst/>
                          </a:prstGeom>
                        </pic:spPr>
                      </pic:pic>
                    </a:graphicData>
                  </a:graphic>
                </wp:inline>
              </w:drawing>
            </w:r>
            <w:r>
              <w:rPr/>
              <w:t xml:space="preserve">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0" w:type="dxa"/>
            <w:gridSpan w:val="4"/>
            <w:tcBorders>
              <w:bottom w:val="single" w:sz="8" w:space="0" w:color="000000"/>
            </w:tcBorders>
            <w:tcMar>
              <w:bottom w:w="28" w:type="dxa"/>
            </w:tcMar>
            <w:vAlign w:val="center"/>
          </w:tcPr>
          <w:p>
            <w:pPr>
              <w:pStyle w:val="TableContents"/>
              <w:bidi w:val="0"/>
              <w:spacing w:before="0" w:after="283"/>
              <w:jc w:val="left"/>
              <w:rPr/>
            </w:pPr>
            <w:r>
              <w:rPr/>
              <w:t xml:space="preserve">  </w:t>
            </w:r>
            <w:r>
              <w:rPr/>
              <w:drawing>
                <wp:inline distT="0" distB="0" distL="0" distR="0">
                  <wp:extent cx="335280" cy="457835"/>
                  <wp:effectExtent l="0" t="0" r="0" b="0"/>
                  <wp:docPr id="7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7" descr=""/>
                          <pic:cNvPicPr>
                            <a:picLocks noChangeAspect="1" noChangeArrowheads="1"/>
                          </pic:cNvPicPr>
                        </pic:nvPicPr>
                        <pic:blipFill>
                          <a:blip r:embed="rId70"/>
                          <a:stretch>
                            <a:fillRect/>
                          </a:stretch>
                        </pic:blipFill>
                        <pic:spPr bwMode="auto">
                          <a:xfrm>
                            <a:off x="0" y="0"/>
                            <a:ext cx="335280" cy="457835"/>
                          </a:xfrm>
                          <a:prstGeom prst="rect">
                            <a:avLst/>
                          </a:prstGeom>
                        </pic:spPr>
                      </pic:pic>
                    </a:graphicData>
                  </a:graphic>
                </wp:inline>
              </w:drawing>
            </w:r>
            <w:r>
              <w:rPr/>
              <w:t xml:space="preserve">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0" w:type="dxa"/>
            <w:gridSpan w:val="4"/>
            <w:tcBorders>
              <w:bottom w:val="single" w:sz="8" w:space="0" w:color="000000"/>
            </w:tcBorders>
            <w:tcMar>
              <w:bottom w:w="28" w:type="dxa"/>
            </w:tcMar>
            <w:vAlign w:val="center"/>
          </w:tcPr>
          <w:p>
            <w:pPr>
              <w:pStyle w:val="TableContents"/>
              <w:bidi w:val="0"/>
              <w:spacing w:before="0" w:after="283"/>
              <w:jc w:val="left"/>
              <w:rPr/>
            </w:pPr>
            <w:r>
              <w:rPr/>
              <w:t xml:space="preserve">   </w:t>
            </w:r>
            <w:r>
              <w:rPr/>
              <w:drawing>
                <wp:inline distT="0" distB="0" distL="0" distR="0">
                  <wp:extent cx="467995" cy="446405"/>
                  <wp:effectExtent l="0" t="0" r="0" b="0"/>
                  <wp:docPr id="7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8" descr=""/>
                          <pic:cNvPicPr>
                            <a:picLocks noChangeAspect="1" noChangeArrowheads="1"/>
                          </pic:cNvPicPr>
                        </pic:nvPicPr>
                        <pic:blipFill>
                          <a:blip r:embed="rId71"/>
                          <a:stretch>
                            <a:fillRect/>
                          </a:stretch>
                        </pic:blipFill>
                        <pic:spPr bwMode="auto">
                          <a:xfrm>
                            <a:off x="0" y="0"/>
                            <a:ext cx="467995" cy="446405"/>
                          </a:xfrm>
                          <a:prstGeom prst="rect">
                            <a:avLst/>
                          </a:prstGeom>
                        </pic:spPr>
                      </pic:pic>
                    </a:graphicData>
                  </a:graphic>
                </wp:inline>
              </w:drawing>
            </w:r>
            <w:r>
              <w:rPr/>
              <w:t xml:space="preserve">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8" w:type="dxa"/>
            <w:gridSpan w:val="4"/>
            <w:tcBorders>
              <w:bottom w:val="single" w:sz="8" w:space="0" w:color="000000"/>
            </w:tcBorders>
            <w:tcMar>
              <w:bottom w:w="28" w:type="dxa"/>
            </w:tcMar>
            <w:vAlign w:val="center"/>
          </w:tcPr>
          <w:p>
            <w:pPr>
              <w:pStyle w:val="TableContents"/>
              <w:bidi w:val="0"/>
              <w:spacing w:before="0" w:after="283"/>
              <w:jc w:val="left"/>
              <w:rPr/>
            </w:pPr>
            <w:r>
              <w:rPr/>
              <w:t xml:space="preserve">  </w:t>
            </w:r>
            <w:r>
              <w:rPr/>
              <w:drawing>
                <wp:inline distT="0" distB="0" distL="0" distR="0">
                  <wp:extent cx="327025" cy="439420"/>
                  <wp:effectExtent l="0" t="0" r="0" b="0"/>
                  <wp:docPr id="7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9" descr=""/>
                          <pic:cNvPicPr>
                            <a:picLocks noChangeAspect="1" noChangeArrowheads="1"/>
                          </pic:cNvPicPr>
                        </pic:nvPicPr>
                        <pic:blipFill>
                          <a:blip r:embed="rId72"/>
                          <a:stretch>
                            <a:fillRect/>
                          </a:stretch>
                        </pic:blipFill>
                        <pic:spPr bwMode="auto">
                          <a:xfrm>
                            <a:off x="0" y="0"/>
                            <a:ext cx="327025" cy="439420"/>
                          </a:xfrm>
                          <a:prstGeom prst="rect">
                            <a:avLst/>
                          </a:prstGeom>
                        </pic:spPr>
                      </pic:pic>
                    </a:graphicData>
                  </a:graphic>
                </wp:inline>
              </w:drawing>
            </w:r>
            <w:r>
              <w:rPr/>
              <w:t xml:space="preserve">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1" w:type="dxa"/>
            <w:gridSpan w:val="4"/>
            <w:tcBorders>
              <w:bottom w:val="single" w:sz="8" w:space="0" w:color="000000"/>
            </w:tcBorders>
            <w:tcMar>
              <w:bottom w:w="28" w:type="dxa"/>
            </w:tcMar>
            <w:vAlign w:val="center"/>
          </w:tcPr>
          <w:p>
            <w:pPr>
              <w:pStyle w:val="TableContents"/>
              <w:bidi w:val="0"/>
              <w:spacing w:before="0" w:after="283"/>
              <w:jc w:val="left"/>
              <w:rPr/>
            </w:pPr>
            <w:r>
              <w:rPr/>
              <w:t xml:space="preserve">    </w:t>
            </w:r>
            <w:r>
              <w:rPr/>
              <w:drawing>
                <wp:inline distT="0" distB="0" distL="0" distR="0">
                  <wp:extent cx="533400" cy="544830"/>
                  <wp:effectExtent l="0" t="0" r="0" b="0"/>
                  <wp:docPr id="8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0" descr=""/>
                          <pic:cNvPicPr>
                            <a:picLocks noChangeAspect="1" noChangeArrowheads="1"/>
                          </pic:cNvPicPr>
                        </pic:nvPicPr>
                        <pic:blipFill>
                          <a:blip r:embed="rId73"/>
                          <a:stretch>
                            <a:fillRect/>
                          </a:stretch>
                        </pic:blipFill>
                        <pic:spPr bwMode="auto">
                          <a:xfrm>
                            <a:off x="0" y="0"/>
                            <a:ext cx="533400" cy="544830"/>
                          </a:xfrm>
                          <a:prstGeom prst="rect">
                            <a:avLst/>
                          </a:prstGeom>
                        </pic:spPr>
                      </pic:pic>
                    </a:graphicData>
                  </a:graphic>
                </wp:inline>
              </w:drawing>
            </w:r>
            <w:r>
              <w:rPr/>
              <w:t xml:space="preserve">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56" w:type="dxa"/>
            <w:gridSpan w:val="4"/>
            <w:tcBorders>
              <w:bottom w:val="single" w:sz="8" w:space="0" w:color="000000"/>
            </w:tcBorders>
            <w:tcMar>
              <w:bottom w:w="28" w:type="dxa"/>
            </w:tcMar>
            <w:vAlign w:val="center"/>
          </w:tcPr>
          <w:p>
            <w:pPr>
              <w:pStyle w:val="TableContents"/>
              <w:bidi w:val="0"/>
              <w:spacing w:before="0" w:after="283"/>
              <w:jc w:val="center"/>
              <w:rPr/>
            </w:pPr>
            <w:r>
              <w:rPr/>
              <w:t xml:space="preserve">    </w:t>
            </w:r>
            <w:r>
              <w:rPr/>
              <w:drawing>
                <wp:inline distT="0" distB="0" distL="0" distR="0">
                  <wp:extent cx="327025" cy="388620"/>
                  <wp:effectExtent l="0" t="0" r="0" b="0"/>
                  <wp:docPr id="8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1" descr=""/>
                          <pic:cNvPicPr>
                            <a:picLocks noChangeAspect="1" noChangeArrowheads="1"/>
                          </pic:cNvPicPr>
                        </pic:nvPicPr>
                        <pic:blipFill>
                          <a:blip r:embed="rId74"/>
                          <a:stretch>
                            <a:fillRect/>
                          </a:stretch>
                        </pic:blipFill>
                        <pic:spPr bwMode="auto">
                          <a:xfrm>
                            <a:off x="0" y="0"/>
                            <a:ext cx="327025" cy="388620"/>
                          </a:xfrm>
                          <a:prstGeom prst="rect">
                            <a:avLst/>
                          </a:prstGeom>
                        </pic:spPr>
                      </pic:pic>
                    </a:graphicData>
                  </a:graphic>
                </wp:inline>
              </w:drawing>
            </w:r>
            <w:r>
              <w:rPr/>
              <w:t xml:space="preserve">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gridSpan w:val="4"/>
            <w:tcBorders>
              <w:bottom w:val="single" w:sz="8" w:space="0" w:color="000000"/>
            </w:tcBorders>
            <w:tcMar>
              <w:bottom w:w="28" w:type="dxa"/>
            </w:tcMar>
            <w:vAlign w:val="center"/>
          </w:tcPr>
          <w:p>
            <w:pPr>
              <w:pStyle w:val="TableContents"/>
              <w:bidi w:val="0"/>
              <w:spacing w:before="0" w:after="283"/>
              <w:jc w:val="center"/>
              <w:rPr/>
            </w:pPr>
            <w:r>
              <w:rPr/>
              <w:t xml:space="preserve">    </w:t>
            </w:r>
            <w:r>
              <w:rPr/>
              <w:drawing>
                <wp:inline distT="0" distB="0" distL="0" distR="0">
                  <wp:extent cx="327660" cy="343535"/>
                  <wp:effectExtent l="0" t="0" r="0" b="0"/>
                  <wp:docPr id="8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2" descr=""/>
                          <pic:cNvPicPr>
                            <a:picLocks noChangeAspect="1" noChangeArrowheads="1"/>
                          </pic:cNvPicPr>
                        </pic:nvPicPr>
                        <pic:blipFill>
                          <a:blip r:embed="rId75"/>
                          <a:stretch>
                            <a:fillRect/>
                          </a:stretch>
                        </pic:blipFill>
                        <pic:spPr bwMode="auto">
                          <a:xfrm>
                            <a:off x="0" y="0"/>
                            <a:ext cx="327660" cy="343535"/>
                          </a:xfrm>
                          <a:prstGeom prst="rect">
                            <a:avLst/>
                          </a:prstGeom>
                        </pic:spPr>
                      </pic:pic>
                    </a:graphicData>
                  </a:graphic>
                </wp:inline>
              </w:drawing>
            </w:r>
            <w:r>
              <w:rPr/>
              <w:t xml:space="preserve">  </w:t>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Executive Leadership</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665"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54"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80" w:type="dxa"/>
            </w:tcMar>
            <w:vAlign w:val="center"/>
          </w:tcPr>
          <w:p>
            <w:pPr>
              <w:pStyle w:val="TableContents"/>
              <w:bidi w:val="0"/>
              <w:spacing w:before="0" w:after="283"/>
              <w:jc w:val="left"/>
              <w:rPr/>
            </w:pPr>
            <w:r>
              <w:rPr/>
              <w:t> </w:t>
            </w:r>
          </w:p>
        </w:tc>
        <w:tc>
          <w:tcPr>
            <w:tcW w:w="398"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9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41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97"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583"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13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37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89"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80" w:type="dxa"/>
            </w:tcMar>
            <w:vAlign w:val="center"/>
          </w:tcPr>
          <w:p>
            <w:pPr>
              <w:pStyle w:val="TableContents"/>
              <w:bidi w:val="0"/>
              <w:spacing w:before="0" w:after="283"/>
              <w:jc w:val="left"/>
              <w:rPr/>
            </w:pPr>
            <w:r>
              <w:rPr/>
              <w:t> </w:t>
            </w:r>
          </w:p>
        </w:tc>
        <w:tc>
          <w:tcPr>
            <w:tcW w:w="399"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36"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497"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16"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80" w:type="dxa"/>
            </w:tcMar>
            <w:vAlign w:val="center"/>
          </w:tcPr>
          <w:p>
            <w:pPr>
              <w:pStyle w:val="TableContents"/>
              <w:bidi w:val="0"/>
              <w:spacing w:before="0" w:after="283"/>
              <w:jc w:val="left"/>
              <w:rPr/>
            </w:pPr>
            <w:r>
              <w:rPr/>
              <w:t> </w:t>
            </w:r>
          </w:p>
        </w:tc>
        <w:tc>
          <w:tcPr>
            <w:tcW w:w="354"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8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56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32"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80" w:type="dxa"/>
            </w:tcMar>
            <w:vAlign w:val="center"/>
          </w:tcPr>
          <w:p>
            <w:pPr>
              <w:pStyle w:val="TableContents"/>
              <w:bidi w:val="0"/>
              <w:spacing w:before="0" w:after="283"/>
              <w:jc w:val="left"/>
              <w:rPr/>
            </w:pPr>
            <w:r>
              <w:rPr/>
              <w:t> </w:t>
            </w:r>
          </w:p>
        </w:tc>
        <w:tc>
          <w:tcPr>
            <w:tcW w:w="359"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84"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355"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18"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Transformations</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665"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54"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80" w:type="dxa"/>
            </w:tcMar>
            <w:vAlign w:val="center"/>
          </w:tcPr>
          <w:p>
            <w:pPr>
              <w:pStyle w:val="TableContents"/>
              <w:bidi w:val="0"/>
              <w:spacing w:before="0" w:after="283"/>
              <w:jc w:val="left"/>
              <w:rPr/>
            </w:pPr>
            <w:r>
              <w:rPr/>
              <w:t> </w:t>
            </w:r>
          </w:p>
        </w:tc>
        <w:tc>
          <w:tcPr>
            <w:tcW w:w="398"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9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41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97"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583"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13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37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89"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80" w:type="dxa"/>
            </w:tcMar>
            <w:vAlign w:val="center"/>
          </w:tcPr>
          <w:p>
            <w:pPr>
              <w:pStyle w:val="TableContents"/>
              <w:bidi w:val="0"/>
              <w:spacing w:before="0" w:after="283"/>
              <w:jc w:val="left"/>
              <w:rPr/>
            </w:pPr>
            <w:r>
              <w:rPr/>
              <w:t> </w:t>
            </w:r>
          </w:p>
        </w:tc>
        <w:tc>
          <w:tcPr>
            <w:tcW w:w="399"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36"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497"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16"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80" w:type="dxa"/>
            </w:tcMar>
            <w:vAlign w:val="center"/>
          </w:tcPr>
          <w:p>
            <w:pPr>
              <w:pStyle w:val="TableContents"/>
              <w:bidi w:val="0"/>
              <w:spacing w:before="0" w:after="283"/>
              <w:jc w:val="left"/>
              <w:rPr/>
            </w:pPr>
            <w:r>
              <w:rPr/>
              <w:t> </w:t>
            </w:r>
          </w:p>
        </w:tc>
        <w:tc>
          <w:tcPr>
            <w:tcW w:w="354"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8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56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32"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80" w:type="dxa"/>
            </w:tcMar>
            <w:vAlign w:val="center"/>
          </w:tcPr>
          <w:p>
            <w:pPr>
              <w:pStyle w:val="TableContents"/>
              <w:bidi w:val="0"/>
              <w:spacing w:before="0" w:after="283"/>
              <w:jc w:val="left"/>
              <w:rPr/>
            </w:pPr>
            <w:r>
              <w:rPr/>
              <w:t> </w:t>
            </w:r>
          </w:p>
        </w:tc>
        <w:tc>
          <w:tcPr>
            <w:tcW w:w="359"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84"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355"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18"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Innovation</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665"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54"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80" w:type="dxa"/>
            </w:tcMar>
            <w:vAlign w:val="center"/>
          </w:tcPr>
          <w:p>
            <w:pPr>
              <w:pStyle w:val="TableContents"/>
              <w:bidi w:val="0"/>
              <w:spacing w:before="0" w:after="283"/>
              <w:jc w:val="left"/>
              <w:rPr/>
            </w:pPr>
            <w:r>
              <w:rPr/>
              <w:t> </w:t>
            </w:r>
          </w:p>
        </w:tc>
        <w:tc>
          <w:tcPr>
            <w:tcW w:w="398"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9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41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97"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583"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13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37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89"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80" w:type="dxa"/>
            </w:tcMar>
            <w:vAlign w:val="center"/>
          </w:tcPr>
          <w:p>
            <w:pPr>
              <w:pStyle w:val="TableContents"/>
              <w:bidi w:val="0"/>
              <w:spacing w:before="0" w:after="283"/>
              <w:jc w:val="left"/>
              <w:rPr/>
            </w:pPr>
            <w:r>
              <w:rPr/>
              <w:t> </w:t>
            </w:r>
          </w:p>
        </w:tc>
        <w:tc>
          <w:tcPr>
            <w:tcW w:w="354"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8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5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Industry</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80" w:type="dxa"/>
            </w:tcMar>
            <w:vAlign w:val="center"/>
          </w:tcPr>
          <w:p>
            <w:pPr>
              <w:pStyle w:val="TableContents"/>
              <w:bidi w:val="0"/>
              <w:spacing w:before="0" w:after="283"/>
              <w:jc w:val="left"/>
              <w:rPr/>
            </w:pPr>
            <w:r>
              <w:rPr/>
              <w:t> </w:t>
            </w:r>
          </w:p>
        </w:tc>
        <w:tc>
          <w:tcPr>
            <w:tcW w:w="398"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9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1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583"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13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37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89"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56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32"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5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Technology, Digitization, and Cybersecurity</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398" w:type="dxa"/>
            <w:tcBorders>
              <w:bottom w:val="single" w:sz="6" w:space="0" w:color="7F7F7F"/>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color w:val="00AE4F"/>
              </w:rPr>
            </w:pPr>
            <w:r>
              <w:rPr>
                <w:color w:val="00AE4F"/>
              </w:rPr>
              <w:t>●</w:t>
            </w:r>
          </w:p>
        </w:tc>
        <w:tc>
          <w:tcPr>
            <w:tcW w:w="93" w:type="dxa"/>
            <w:tcBorders>
              <w:bottom w:val="single" w:sz="6" w:space="0" w:color="7F7F7F"/>
            </w:tcBorders>
            <w:tcMar>
              <w:bottom w:w="80" w:type="dxa"/>
            </w:tcMar>
            <w:vAlign w:val="center"/>
          </w:tcPr>
          <w:p>
            <w:pPr>
              <w:pStyle w:val="TableContents"/>
              <w:bidi w:val="0"/>
              <w:spacing w:before="0" w:after="0"/>
              <w:jc w:val="left"/>
              <w:rPr/>
            </w:pPr>
            <w:r>
              <w:rPr/>
              <w:t> </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418"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color w:val="00AE4F"/>
              </w:rPr>
            </w:pPr>
            <w:r>
              <w:rPr>
                <w:color w:val="00AE4F"/>
              </w:rPr>
              <w:t>●</w:t>
            </w:r>
          </w:p>
        </w:tc>
        <w:tc>
          <w:tcPr>
            <w:tcW w:w="97"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378"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color w:val="00AE4F"/>
              </w:rPr>
            </w:pPr>
            <w:r>
              <w:rPr>
                <w:color w:val="00AE4F"/>
              </w:rPr>
              <w:t>●</w:t>
            </w:r>
          </w:p>
        </w:tc>
        <w:tc>
          <w:tcPr>
            <w:tcW w:w="89"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354" w:type="dxa"/>
            <w:tcBorders>
              <w:bottom w:val="single" w:sz="6" w:space="0" w:color="7F7F7F"/>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color w:val="00AE4F"/>
              </w:rPr>
            </w:pPr>
            <w:r>
              <w:rPr>
                <w:color w:val="00AE4F"/>
              </w:rPr>
              <w:t>●</w:t>
            </w:r>
          </w:p>
        </w:tc>
        <w:tc>
          <w:tcPr>
            <w:tcW w:w="83" w:type="dxa"/>
            <w:tcBorders>
              <w:bottom w:val="single" w:sz="6" w:space="0" w:color="7F7F7F"/>
            </w:tcBorders>
            <w:tcMar>
              <w:bottom w:w="80" w:type="dxa"/>
            </w:tcMar>
            <w:vAlign w:val="center"/>
          </w:tcPr>
          <w:p>
            <w:pPr>
              <w:pStyle w:val="TableContents"/>
              <w:bidi w:val="0"/>
              <w:spacing w:before="0" w:after="0"/>
              <w:jc w:val="left"/>
              <w:rPr/>
            </w:pPr>
            <w:r>
              <w:rPr/>
              <w:t> </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568"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color w:val="00AE4F"/>
              </w:rPr>
            </w:pPr>
            <w:r>
              <w:rPr>
                <w:color w:val="00AE4F"/>
              </w:rPr>
              <w:t>●</w:t>
            </w:r>
          </w:p>
        </w:tc>
        <w:tc>
          <w:tcPr>
            <w:tcW w:w="132"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5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Financial Acumen</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665"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54"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80" w:type="dxa"/>
            </w:tcMar>
            <w:vAlign w:val="center"/>
          </w:tcPr>
          <w:p>
            <w:pPr>
              <w:pStyle w:val="TableContents"/>
              <w:bidi w:val="0"/>
              <w:spacing w:before="0" w:after="283"/>
              <w:jc w:val="left"/>
              <w:rPr/>
            </w:pPr>
            <w:r>
              <w:rPr/>
              <w:t> </w:t>
            </w:r>
          </w:p>
        </w:tc>
        <w:tc>
          <w:tcPr>
            <w:tcW w:w="398"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9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41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97"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583"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13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37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89"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80" w:type="dxa"/>
            </w:tcMar>
            <w:vAlign w:val="center"/>
          </w:tcPr>
          <w:p>
            <w:pPr>
              <w:pStyle w:val="TableContents"/>
              <w:bidi w:val="0"/>
              <w:spacing w:before="0" w:after="283"/>
              <w:jc w:val="left"/>
              <w:rPr/>
            </w:pPr>
            <w:r>
              <w:rPr/>
              <w:t> </w:t>
            </w:r>
          </w:p>
        </w:tc>
        <w:tc>
          <w:tcPr>
            <w:tcW w:w="399"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36"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497"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16"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80" w:type="dxa"/>
            </w:tcMar>
            <w:vAlign w:val="center"/>
          </w:tcPr>
          <w:p>
            <w:pPr>
              <w:pStyle w:val="TableContents"/>
              <w:bidi w:val="0"/>
              <w:spacing w:before="0" w:after="283"/>
              <w:jc w:val="left"/>
              <w:rPr/>
            </w:pPr>
            <w:r>
              <w:rPr/>
              <w:t> </w:t>
            </w:r>
          </w:p>
        </w:tc>
        <w:tc>
          <w:tcPr>
            <w:tcW w:w="354"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8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56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32"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80" w:type="dxa"/>
            </w:tcMar>
            <w:vAlign w:val="center"/>
          </w:tcPr>
          <w:p>
            <w:pPr>
              <w:pStyle w:val="TableContents"/>
              <w:bidi w:val="0"/>
              <w:spacing w:before="0" w:after="283"/>
              <w:jc w:val="left"/>
              <w:rPr/>
            </w:pPr>
            <w:r>
              <w:rPr/>
              <w:t> </w:t>
            </w:r>
          </w:p>
        </w:tc>
        <w:tc>
          <w:tcPr>
            <w:tcW w:w="359"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84"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355"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18"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Financial Expert</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41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97"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583"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13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7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80" w:type="dxa"/>
            </w:tcMar>
            <w:vAlign w:val="center"/>
          </w:tcPr>
          <w:p>
            <w:pPr>
              <w:pStyle w:val="TableContents"/>
              <w:bidi w:val="0"/>
              <w:spacing w:before="0" w:after="283"/>
              <w:jc w:val="left"/>
              <w:rPr/>
            </w:pPr>
            <w:r>
              <w:rPr/>
              <w:t> </w:t>
            </w:r>
          </w:p>
        </w:tc>
        <w:tc>
          <w:tcPr>
            <w:tcW w:w="399"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36"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497"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16"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56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32"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355"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18"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Risk Management</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80" w:type="dxa"/>
            </w:tcMar>
            <w:vAlign w:val="center"/>
          </w:tcPr>
          <w:p>
            <w:pPr>
              <w:pStyle w:val="TableContents"/>
              <w:bidi w:val="0"/>
              <w:spacing w:before="0" w:after="283"/>
              <w:jc w:val="left"/>
              <w:rPr/>
            </w:pPr>
            <w:r>
              <w:rPr/>
              <w:t> </w:t>
            </w:r>
          </w:p>
        </w:tc>
        <w:tc>
          <w:tcPr>
            <w:tcW w:w="398"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9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41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97"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583"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13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37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89"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497"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16"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56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32"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80" w:type="dxa"/>
            </w:tcMar>
            <w:vAlign w:val="center"/>
          </w:tcPr>
          <w:p>
            <w:pPr>
              <w:pStyle w:val="TableContents"/>
              <w:bidi w:val="0"/>
              <w:spacing w:before="0" w:after="283"/>
              <w:jc w:val="left"/>
              <w:rPr/>
            </w:pPr>
            <w:r>
              <w:rPr/>
              <w:t> </w:t>
            </w:r>
          </w:p>
        </w:tc>
        <w:tc>
          <w:tcPr>
            <w:tcW w:w="359"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84"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355"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18"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Legal or Corporate Governance</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418"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color w:val="00AE4F"/>
              </w:rPr>
            </w:pPr>
            <w:r>
              <w:rPr>
                <w:color w:val="00AE4F"/>
              </w:rPr>
              <w:t>●</w:t>
            </w:r>
          </w:p>
        </w:tc>
        <w:tc>
          <w:tcPr>
            <w:tcW w:w="97"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583" w:type="dxa"/>
            <w:tcBorders>
              <w:bottom w:val="single" w:sz="6" w:space="0" w:color="7F7F7F"/>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color w:val="00AE4F"/>
              </w:rPr>
            </w:pPr>
            <w:r>
              <w:rPr>
                <w:color w:val="00AE4F"/>
              </w:rPr>
              <w:t>●</w:t>
            </w:r>
          </w:p>
        </w:tc>
        <w:tc>
          <w:tcPr>
            <w:tcW w:w="137" w:type="dxa"/>
            <w:tcBorders>
              <w:bottom w:val="single" w:sz="6" w:space="0" w:color="7F7F7F"/>
            </w:tcBorders>
            <w:tcMar>
              <w:bottom w:w="80" w:type="dxa"/>
            </w:tcMar>
            <w:vAlign w:val="center"/>
          </w:tcPr>
          <w:p>
            <w:pPr>
              <w:pStyle w:val="TableContents"/>
              <w:bidi w:val="0"/>
              <w:spacing w:before="0" w:after="0"/>
              <w:jc w:val="left"/>
              <w:rPr/>
            </w:pPr>
            <w:r>
              <w:rPr/>
              <w:t> </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378"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color w:val="00AE4F"/>
              </w:rPr>
            </w:pPr>
            <w:r>
              <w:rPr>
                <w:color w:val="00AE4F"/>
              </w:rPr>
              <w:t>●</w:t>
            </w:r>
          </w:p>
        </w:tc>
        <w:tc>
          <w:tcPr>
            <w:tcW w:w="89"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497"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color w:val="00AE4F"/>
              </w:rPr>
            </w:pPr>
            <w:r>
              <w:rPr>
                <w:color w:val="00AE4F"/>
              </w:rPr>
              <w:t>●</w:t>
            </w:r>
          </w:p>
        </w:tc>
        <w:tc>
          <w:tcPr>
            <w:tcW w:w="116"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568"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color w:val="00AE4F"/>
              </w:rPr>
            </w:pPr>
            <w:r>
              <w:rPr>
                <w:color w:val="00AE4F"/>
              </w:rPr>
              <w:t>●</w:t>
            </w:r>
          </w:p>
        </w:tc>
        <w:tc>
          <w:tcPr>
            <w:tcW w:w="132"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359" w:type="dxa"/>
            <w:tcBorders>
              <w:bottom w:val="single" w:sz="6" w:space="0" w:color="7F7F7F"/>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color w:val="00AE4F"/>
              </w:rPr>
            </w:pPr>
            <w:r>
              <w:rPr>
                <w:color w:val="00AE4F"/>
              </w:rPr>
              <w:t>●</w:t>
            </w:r>
          </w:p>
        </w:tc>
        <w:tc>
          <w:tcPr>
            <w:tcW w:w="84" w:type="dxa"/>
            <w:tcBorders>
              <w:bottom w:val="single" w:sz="6" w:space="0" w:color="7F7F7F"/>
            </w:tcBorders>
            <w:tcMar>
              <w:bottom w:w="80" w:type="dxa"/>
            </w:tcMar>
            <w:vAlign w:val="center"/>
          </w:tcPr>
          <w:p>
            <w:pPr>
              <w:pStyle w:val="TableContents"/>
              <w:bidi w:val="0"/>
              <w:spacing w:before="0" w:after="0"/>
              <w:jc w:val="left"/>
              <w:rPr/>
            </w:pPr>
            <w:r>
              <w:rPr/>
              <w:t> </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355"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color w:val="00AE4F"/>
              </w:rPr>
            </w:pPr>
            <w:r>
              <w:rPr>
                <w:color w:val="00AE4F"/>
              </w:rPr>
              <w:t>●</w:t>
            </w:r>
          </w:p>
        </w:tc>
        <w:tc>
          <w:tcPr>
            <w:tcW w:w="118"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Sustainability &amp; ESG</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80" w:type="dxa"/>
            </w:tcMar>
            <w:vAlign w:val="center"/>
          </w:tcPr>
          <w:p>
            <w:pPr>
              <w:pStyle w:val="TableContents"/>
              <w:bidi w:val="0"/>
              <w:spacing w:before="0" w:after="283"/>
              <w:jc w:val="left"/>
              <w:rPr/>
            </w:pPr>
            <w:r>
              <w:rPr/>
              <w:t> </w:t>
            </w:r>
          </w:p>
        </w:tc>
        <w:tc>
          <w:tcPr>
            <w:tcW w:w="398"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9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41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97"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37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89"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80" w:type="dxa"/>
            </w:tcMar>
            <w:vAlign w:val="center"/>
          </w:tcPr>
          <w:p>
            <w:pPr>
              <w:pStyle w:val="TableContents"/>
              <w:bidi w:val="0"/>
              <w:spacing w:before="0" w:after="283"/>
              <w:jc w:val="left"/>
              <w:rPr/>
            </w:pPr>
            <w:r>
              <w:rPr/>
              <w:t> </w:t>
            </w:r>
          </w:p>
        </w:tc>
        <w:tc>
          <w:tcPr>
            <w:tcW w:w="359"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84"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5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Mergers &amp; Acquisitions</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665"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54"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80" w:type="dxa"/>
            </w:tcMar>
            <w:vAlign w:val="center"/>
          </w:tcPr>
          <w:p>
            <w:pPr>
              <w:pStyle w:val="TableContents"/>
              <w:bidi w:val="0"/>
              <w:spacing w:before="0" w:after="283"/>
              <w:jc w:val="left"/>
              <w:rPr/>
            </w:pPr>
            <w:r>
              <w:rPr/>
              <w:t> </w:t>
            </w:r>
          </w:p>
        </w:tc>
        <w:tc>
          <w:tcPr>
            <w:tcW w:w="398"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9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41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97"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583"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13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37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89"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80" w:type="dxa"/>
            </w:tcMar>
            <w:vAlign w:val="center"/>
          </w:tcPr>
          <w:p>
            <w:pPr>
              <w:pStyle w:val="TableContents"/>
              <w:bidi w:val="0"/>
              <w:spacing w:before="0" w:after="283"/>
              <w:jc w:val="left"/>
              <w:rPr/>
            </w:pPr>
            <w:r>
              <w:rPr/>
              <w:t> </w:t>
            </w:r>
          </w:p>
        </w:tc>
        <w:tc>
          <w:tcPr>
            <w:tcW w:w="399"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36"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497"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16"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80" w:type="dxa"/>
            </w:tcMar>
            <w:vAlign w:val="center"/>
          </w:tcPr>
          <w:p>
            <w:pPr>
              <w:pStyle w:val="TableContents"/>
              <w:bidi w:val="0"/>
              <w:spacing w:before="0" w:after="283"/>
              <w:jc w:val="left"/>
              <w:rPr/>
            </w:pPr>
            <w:r>
              <w:rPr/>
              <w:t> </w:t>
            </w:r>
          </w:p>
        </w:tc>
        <w:tc>
          <w:tcPr>
            <w:tcW w:w="354"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8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56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32"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80" w:type="dxa"/>
            </w:tcMar>
            <w:vAlign w:val="center"/>
          </w:tcPr>
          <w:p>
            <w:pPr>
              <w:pStyle w:val="TableContents"/>
              <w:bidi w:val="0"/>
              <w:spacing w:before="0" w:after="283"/>
              <w:jc w:val="left"/>
              <w:rPr/>
            </w:pPr>
            <w:r>
              <w:rPr/>
              <w:t> </w:t>
            </w:r>
          </w:p>
        </w:tc>
        <w:tc>
          <w:tcPr>
            <w:tcW w:w="359"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84"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355"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18"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r>
      <w:tr>
        <w:trPr/>
        <w:tc>
          <w:tcPr>
            <w:tcW w:w="3960" w:type="dxa"/>
            <w:gridSpan w:val="11"/>
            <w:tcBorders/>
            <w:vAlign w:val="center"/>
          </w:tcPr>
          <w:p>
            <w:pPr>
              <w:pStyle w:val="TableContents"/>
              <w:bidi w:val="0"/>
              <w:spacing w:before="0" w:after="283"/>
              <w:jc w:val="left"/>
              <w:rPr>
                <w:sz w:val="4"/>
                <w:szCs w:val="4"/>
              </w:rPr>
            </w:pPr>
            <w:r>
              <w:rPr>
                <w:sz w:val="4"/>
                <w:szCs w:val="4"/>
              </w:rPr>
            </w:r>
          </w:p>
        </w:tc>
        <w:tc>
          <w:tcPr>
            <w:tcW w:w="670" w:type="dxa"/>
            <w:gridSpan w:val="5"/>
            <w:tcBorders/>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vAlign w:val="center"/>
          </w:tcPr>
          <w:p>
            <w:pPr>
              <w:pStyle w:val="TableContents"/>
              <w:bidi w:val="0"/>
              <w:spacing w:before="0" w:after="283"/>
              <w:jc w:val="left"/>
              <w:rPr>
                <w:sz w:val="4"/>
                <w:szCs w:val="4"/>
              </w:rPr>
            </w:pPr>
            <w:r>
              <w:rPr>
                <w:sz w:val="4"/>
                <w:szCs w:val="4"/>
              </w:rPr>
            </w:r>
          </w:p>
        </w:tc>
      </w:tr>
      <w:tr>
        <w:trPr/>
        <w:tc>
          <w:tcPr>
            <w:tcW w:w="3867" w:type="dxa"/>
            <w:gridSpan w:val="10"/>
            <w:tcBorders>
              <w:bottom w:val="single" w:sz="8" w:space="0" w:color="000000"/>
            </w:tcBorders>
            <w:tcMar>
              <w:bottom w:w="100" w:type="dxa"/>
            </w:tcMar>
            <w:vAlign w:val="center"/>
          </w:tcPr>
          <w:p>
            <w:pPr>
              <w:pStyle w:val="TableContents"/>
              <w:bidi w:val="0"/>
              <w:spacing w:before="0" w:after="0"/>
              <w:jc w:val="left"/>
              <w:rPr>
                <w:rFonts w:ascii="arial" w:hAnsi="arial"/>
                <w:color w:val="00AE4F"/>
                <w:sz w:val="20"/>
              </w:rPr>
            </w:pPr>
            <w:r>
              <w:rPr>
                <w:rFonts w:ascii="arial" w:hAnsi="arial"/>
                <w:color w:val="00AE4F"/>
                <w:sz w:val="20"/>
              </w:rPr>
              <w:t>Other Public Board Experience (other</w:t>
            </w:r>
          </w:p>
          <w:p>
            <w:pPr>
              <w:pStyle w:val="TableContents"/>
              <w:bidi w:val="0"/>
              <w:spacing w:before="0" w:after="20"/>
              <w:jc w:val="left"/>
              <w:rPr>
                <w:rFonts w:ascii="arial" w:hAnsi="arial"/>
                <w:color w:val="00AE4F"/>
                <w:sz w:val="20"/>
              </w:rPr>
            </w:pPr>
            <w:r>
              <w:rPr>
                <w:rFonts w:ascii="arial" w:hAnsi="arial"/>
                <w:color w:val="00AE4F"/>
                <w:sz w:val="20"/>
              </w:rPr>
              <w:t>than Kelly)</w:t>
            </w:r>
          </w:p>
        </w:tc>
        <w:tc>
          <w:tcPr>
            <w:tcW w:w="93" w:type="dxa"/>
            <w:tcBorders>
              <w:bottom w:val="single" w:sz="8" w:space="0" w:color="000000"/>
            </w:tcBorders>
            <w:tcMar>
              <w:bottom w:w="100" w:type="dxa"/>
            </w:tcMar>
            <w:vAlign w:val="center"/>
          </w:tcPr>
          <w:p>
            <w:pPr>
              <w:pStyle w:val="TableContents"/>
              <w:bidi w:val="0"/>
              <w:spacing w:before="0" w:after="0"/>
              <w:jc w:val="left"/>
              <w:rPr>
                <w:color w:val="00AE4F"/>
              </w:rPr>
            </w:pPr>
            <w:r>
              <w:rPr>
                <w:color w:val="00AE4F"/>
              </w:rPr>
              <w:t> </w:t>
            </w:r>
          </w:p>
          <w:p>
            <w:pPr>
              <w:pStyle w:val="TableContents"/>
              <w:bidi w:val="0"/>
              <w:spacing w:before="0" w:after="0"/>
              <w:jc w:val="left"/>
              <w:rPr>
                <w:color w:val="00AE4F"/>
              </w:rPr>
            </w:pPr>
            <w:r>
              <w:rPr>
                <w:color w:val="00AE4F"/>
              </w:rPr>
              <w:t>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Audit Committee</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41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97"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583"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13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37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89"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80" w:type="dxa"/>
            </w:tcMar>
            <w:vAlign w:val="center"/>
          </w:tcPr>
          <w:p>
            <w:pPr>
              <w:pStyle w:val="TableContents"/>
              <w:bidi w:val="0"/>
              <w:spacing w:before="0" w:after="283"/>
              <w:jc w:val="left"/>
              <w:rPr/>
            </w:pPr>
            <w:r>
              <w:rPr/>
              <w:t> </w:t>
            </w:r>
          </w:p>
        </w:tc>
        <w:tc>
          <w:tcPr>
            <w:tcW w:w="354"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8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56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32"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80" w:type="dxa"/>
            </w:tcMar>
            <w:vAlign w:val="center"/>
          </w:tcPr>
          <w:p>
            <w:pPr>
              <w:pStyle w:val="TableContents"/>
              <w:bidi w:val="0"/>
              <w:spacing w:before="0" w:after="283"/>
              <w:jc w:val="left"/>
              <w:rPr/>
            </w:pPr>
            <w:r>
              <w:rPr/>
              <w:t> </w:t>
            </w:r>
          </w:p>
        </w:tc>
        <w:tc>
          <w:tcPr>
            <w:tcW w:w="359"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84"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355"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18"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Compensation Committee</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41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97"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583"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13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7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56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32"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80" w:type="dxa"/>
            </w:tcMar>
            <w:vAlign w:val="center"/>
          </w:tcPr>
          <w:p>
            <w:pPr>
              <w:pStyle w:val="TableContents"/>
              <w:bidi w:val="0"/>
              <w:spacing w:before="0" w:after="283"/>
              <w:jc w:val="left"/>
              <w:rPr/>
            </w:pPr>
            <w:r>
              <w:rPr/>
              <w:t> </w:t>
            </w:r>
          </w:p>
        </w:tc>
        <w:tc>
          <w:tcPr>
            <w:tcW w:w="359"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84"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5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Governance &amp; Nominating Committee</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418"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color w:val="00AE4F"/>
              </w:rPr>
            </w:pPr>
            <w:r>
              <w:rPr>
                <w:color w:val="00AE4F"/>
              </w:rPr>
              <w:t>●</w:t>
            </w:r>
          </w:p>
        </w:tc>
        <w:tc>
          <w:tcPr>
            <w:tcW w:w="97"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7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568"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color w:val="00AE4F"/>
              </w:rPr>
            </w:pPr>
            <w:r>
              <w:rPr>
                <w:color w:val="00AE4F"/>
              </w:rPr>
              <w:t>●</w:t>
            </w:r>
          </w:p>
        </w:tc>
        <w:tc>
          <w:tcPr>
            <w:tcW w:w="132"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359" w:type="dxa"/>
            <w:tcBorders>
              <w:bottom w:val="single" w:sz="6" w:space="0" w:color="7F7F7F"/>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color w:val="00AE4F"/>
              </w:rPr>
            </w:pPr>
            <w:r>
              <w:rPr>
                <w:color w:val="00AE4F"/>
              </w:rPr>
              <w:t>●</w:t>
            </w:r>
          </w:p>
        </w:tc>
        <w:tc>
          <w:tcPr>
            <w:tcW w:w="84" w:type="dxa"/>
            <w:tcBorders>
              <w:bottom w:val="single" w:sz="6" w:space="0" w:color="7F7F7F"/>
            </w:tcBorders>
            <w:tcMar>
              <w:bottom w:w="80" w:type="dxa"/>
            </w:tcMar>
            <w:vAlign w:val="center"/>
          </w:tcPr>
          <w:p>
            <w:pPr>
              <w:pStyle w:val="TableContents"/>
              <w:bidi w:val="0"/>
              <w:spacing w:before="0" w:after="0"/>
              <w:jc w:val="left"/>
              <w:rPr/>
            </w:pPr>
            <w:r>
              <w:rPr/>
              <w:t> </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355"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color w:val="00AE4F"/>
              </w:rPr>
            </w:pPr>
            <w:r>
              <w:rPr>
                <w:color w:val="00AE4F"/>
              </w:rPr>
              <w:t>●</w:t>
            </w:r>
          </w:p>
        </w:tc>
        <w:tc>
          <w:tcPr>
            <w:tcW w:w="118" w:type="dxa"/>
            <w:tcBorders>
              <w:bottom w:val="single" w:sz="6" w:space="0" w:color="7F7F7F"/>
            </w:tcBorders>
            <w:shd w:fill="EDEDED" w:val="clear"/>
            <w:tcMar>
              <w:bottom w:w="80" w:type="dxa"/>
            </w:tcMar>
            <w:vAlign w:val="center"/>
          </w:tcPr>
          <w:p>
            <w:pPr>
              <w:pStyle w:val="TableContents"/>
              <w:bidi w:val="0"/>
              <w:spacing w:before="0" w:after="0"/>
              <w:jc w:val="left"/>
              <w:rPr/>
            </w:pPr>
            <w:r>
              <w:rPr/>
              <w:t> </w:t>
            </w:r>
          </w:p>
        </w:tc>
      </w:tr>
      <w:tr>
        <w:trPr/>
        <w:tc>
          <w:tcPr>
            <w:tcW w:w="3321" w:type="dxa"/>
            <w:gridSpan w:val="6"/>
            <w:tcBorders/>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vAlign w:val="center"/>
          </w:tcPr>
          <w:p>
            <w:pPr>
              <w:pStyle w:val="TableContents"/>
              <w:bidi w:val="0"/>
              <w:spacing w:before="0" w:after="283"/>
              <w:jc w:val="left"/>
              <w:rPr>
                <w:sz w:val="4"/>
                <w:szCs w:val="4"/>
              </w:rPr>
            </w:pPr>
            <w:r>
              <w:rPr>
                <w:sz w:val="4"/>
                <w:szCs w:val="4"/>
              </w:rPr>
            </w:r>
          </w:p>
        </w:tc>
      </w:tr>
      <w:tr>
        <w:trPr/>
        <w:tc>
          <w:tcPr>
            <w:tcW w:w="3167" w:type="dxa"/>
            <w:gridSpan w:val="5"/>
            <w:tcBorders>
              <w:bottom w:val="single" w:sz="8" w:space="0" w:color="000000"/>
            </w:tcBorders>
            <w:tcMar>
              <w:bottom w:w="100" w:type="dxa"/>
            </w:tcMar>
            <w:vAlign w:val="center"/>
          </w:tcPr>
          <w:p>
            <w:pPr>
              <w:pStyle w:val="TableContents"/>
              <w:bidi w:val="0"/>
              <w:spacing w:before="0" w:after="0"/>
              <w:jc w:val="left"/>
              <w:rPr>
                <w:rFonts w:ascii="arial" w:hAnsi="arial"/>
                <w:color w:val="00AE4F"/>
                <w:sz w:val="20"/>
              </w:rPr>
            </w:pPr>
            <w:r>
              <w:rPr>
                <w:rFonts w:ascii="arial" w:hAnsi="arial"/>
                <w:color w:val="00AE4F"/>
                <w:sz w:val="20"/>
              </w:rPr>
              <w:t>Tenure and Independence</w:t>
            </w:r>
          </w:p>
        </w:tc>
        <w:tc>
          <w:tcPr>
            <w:tcW w:w="154" w:type="dxa"/>
            <w:tcBorders>
              <w:bottom w:val="single" w:sz="8" w:space="0" w:color="000000"/>
            </w:tcBorders>
            <w:tcMar>
              <w:bottom w:w="100" w:type="dxa"/>
            </w:tcMar>
            <w:vAlign w:val="center"/>
          </w:tcPr>
          <w:p>
            <w:pPr>
              <w:pStyle w:val="TableContents"/>
              <w:bidi w:val="0"/>
              <w:spacing w:before="0" w:after="0"/>
              <w:jc w:val="left"/>
              <w:rPr>
                <w:color w:val="00AE4F"/>
              </w:rPr>
            </w:pPr>
            <w:r>
              <w:rPr>
                <w:color w:val="00AE4F"/>
              </w:rPr>
              <w:t>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Board Tenure (years)</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80" w:type="dxa"/>
            </w:tcMar>
            <w:vAlign w:val="center"/>
          </w:tcPr>
          <w:p>
            <w:pPr>
              <w:pStyle w:val="TableContents"/>
              <w:bidi w:val="0"/>
              <w:spacing w:before="0" w:after="283"/>
              <w:jc w:val="left"/>
              <w:rPr>
                <w:color w:val="00AE4F"/>
              </w:rPr>
            </w:pPr>
            <w:r>
              <w:rPr>
                <w:color w:val="00AE4F"/>
              </w:rPr>
              <w:t> </w:t>
            </w:r>
          </w:p>
        </w:tc>
        <w:tc>
          <w:tcPr>
            <w:tcW w:w="665" w:type="dxa"/>
            <w:tcBorders>
              <w:bottom w:val="single" w:sz="6" w:space="0" w:color="7F7F7F"/>
            </w:tcBorders>
            <w:shd w:fill="EDEDED" w:val="clear"/>
            <w:tcMar>
              <w:bottom w:w="80" w:type="dxa"/>
            </w:tcMar>
            <w:vAlign w:val="center"/>
          </w:tcPr>
          <w:p>
            <w:pPr>
              <w:pStyle w:val="TableContents"/>
              <w:bidi w:val="0"/>
              <w:spacing w:before="0" w:after="283"/>
              <w:jc w:val="center"/>
              <w:rPr>
                <w:b/>
                <w:color w:val="00AE4F"/>
              </w:rPr>
            </w:pPr>
            <w:r>
              <w:rPr>
                <w:b/>
                <w:color w:val="00AE4F"/>
              </w:rPr>
              <w:t>0</w:t>
            </w:r>
          </w:p>
        </w:tc>
        <w:tc>
          <w:tcPr>
            <w:tcW w:w="154"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80" w:type="dxa"/>
            </w:tcMar>
            <w:vAlign w:val="center"/>
          </w:tcPr>
          <w:p>
            <w:pPr>
              <w:pStyle w:val="TableContents"/>
              <w:bidi w:val="0"/>
              <w:spacing w:before="0" w:after="283"/>
              <w:jc w:val="left"/>
              <w:rPr>
                <w:color w:val="00AE4F"/>
              </w:rPr>
            </w:pPr>
            <w:r>
              <w:rPr>
                <w:color w:val="00AE4F"/>
              </w:rPr>
              <w:t> </w:t>
            </w:r>
          </w:p>
        </w:tc>
        <w:tc>
          <w:tcPr>
            <w:tcW w:w="398" w:type="dxa"/>
            <w:tcBorders>
              <w:bottom w:val="single" w:sz="6" w:space="0" w:color="7F7F7F"/>
            </w:tcBorders>
            <w:tcMar>
              <w:bottom w:w="80" w:type="dxa"/>
            </w:tcMar>
            <w:vAlign w:val="center"/>
          </w:tcPr>
          <w:p>
            <w:pPr>
              <w:pStyle w:val="TableContents"/>
              <w:bidi w:val="0"/>
              <w:spacing w:before="0" w:after="283"/>
              <w:jc w:val="center"/>
              <w:rPr>
                <w:b/>
                <w:color w:val="00AE4F"/>
              </w:rPr>
            </w:pPr>
            <w:r>
              <w:rPr>
                <w:b/>
                <w:color w:val="00AE4F"/>
              </w:rPr>
              <w:t>0</w:t>
            </w:r>
          </w:p>
        </w:tc>
        <w:tc>
          <w:tcPr>
            <w:tcW w:w="9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80" w:type="dxa"/>
            </w:tcMar>
            <w:vAlign w:val="center"/>
          </w:tcPr>
          <w:p>
            <w:pPr>
              <w:pStyle w:val="TableContents"/>
              <w:bidi w:val="0"/>
              <w:spacing w:before="0" w:after="283"/>
              <w:jc w:val="left"/>
              <w:rPr>
                <w:color w:val="00AE4F"/>
              </w:rPr>
            </w:pPr>
            <w:r>
              <w:rPr>
                <w:color w:val="00AE4F"/>
              </w:rPr>
              <w:t> </w:t>
            </w:r>
          </w:p>
        </w:tc>
        <w:tc>
          <w:tcPr>
            <w:tcW w:w="418" w:type="dxa"/>
            <w:tcBorders>
              <w:bottom w:val="single" w:sz="6" w:space="0" w:color="7F7F7F"/>
            </w:tcBorders>
            <w:shd w:fill="EDEDED" w:val="clear"/>
            <w:tcMar>
              <w:bottom w:w="80" w:type="dxa"/>
            </w:tcMar>
            <w:vAlign w:val="center"/>
          </w:tcPr>
          <w:p>
            <w:pPr>
              <w:pStyle w:val="TableContents"/>
              <w:bidi w:val="0"/>
              <w:spacing w:before="0" w:after="283"/>
              <w:jc w:val="center"/>
              <w:rPr>
                <w:b/>
                <w:color w:val="00AE4F"/>
              </w:rPr>
            </w:pPr>
            <w:r>
              <w:rPr>
                <w:b/>
                <w:color w:val="00AE4F"/>
              </w:rPr>
              <w:t>0</w:t>
            </w:r>
          </w:p>
        </w:tc>
        <w:tc>
          <w:tcPr>
            <w:tcW w:w="97"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80" w:type="dxa"/>
            </w:tcMar>
            <w:vAlign w:val="center"/>
          </w:tcPr>
          <w:p>
            <w:pPr>
              <w:pStyle w:val="TableContents"/>
              <w:bidi w:val="0"/>
              <w:spacing w:before="0" w:after="283"/>
              <w:jc w:val="left"/>
              <w:rPr>
                <w:color w:val="00AE4F"/>
              </w:rPr>
            </w:pPr>
            <w:r>
              <w:rPr>
                <w:color w:val="00AE4F"/>
              </w:rPr>
              <w:t> </w:t>
            </w:r>
          </w:p>
        </w:tc>
        <w:tc>
          <w:tcPr>
            <w:tcW w:w="583" w:type="dxa"/>
            <w:tcBorders>
              <w:bottom w:val="single" w:sz="6" w:space="0" w:color="7F7F7F"/>
            </w:tcBorders>
            <w:tcMar>
              <w:bottom w:w="80" w:type="dxa"/>
            </w:tcMar>
            <w:vAlign w:val="center"/>
          </w:tcPr>
          <w:p>
            <w:pPr>
              <w:pStyle w:val="TableContents"/>
              <w:bidi w:val="0"/>
              <w:spacing w:before="0" w:after="283"/>
              <w:jc w:val="center"/>
              <w:rPr>
                <w:b/>
                <w:color w:val="00AE4F"/>
              </w:rPr>
            </w:pPr>
            <w:r>
              <w:rPr>
                <w:b/>
                <w:color w:val="00AE4F"/>
              </w:rPr>
              <w:t>11</w:t>
            </w:r>
          </w:p>
        </w:tc>
        <w:tc>
          <w:tcPr>
            <w:tcW w:w="13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80" w:type="dxa"/>
            </w:tcMar>
            <w:vAlign w:val="center"/>
          </w:tcPr>
          <w:p>
            <w:pPr>
              <w:pStyle w:val="TableContents"/>
              <w:bidi w:val="0"/>
              <w:spacing w:before="0" w:after="283"/>
              <w:jc w:val="left"/>
              <w:rPr>
                <w:color w:val="00AE4F"/>
              </w:rPr>
            </w:pPr>
            <w:r>
              <w:rPr>
                <w:color w:val="00AE4F"/>
              </w:rPr>
              <w:t> </w:t>
            </w:r>
          </w:p>
        </w:tc>
        <w:tc>
          <w:tcPr>
            <w:tcW w:w="378" w:type="dxa"/>
            <w:tcBorders>
              <w:bottom w:val="single" w:sz="6" w:space="0" w:color="7F7F7F"/>
            </w:tcBorders>
            <w:shd w:fill="EDEDED" w:val="clear"/>
            <w:tcMar>
              <w:bottom w:w="80" w:type="dxa"/>
            </w:tcMar>
            <w:vAlign w:val="center"/>
          </w:tcPr>
          <w:p>
            <w:pPr>
              <w:pStyle w:val="TableContents"/>
              <w:bidi w:val="0"/>
              <w:spacing w:before="0" w:after="283"/>
              <w:jc w:val="center"/>
              <w:rPr>
                <w:b/>
                <w:color w:val="00AE4F"/>
              </w:rPr>
            </w:pPr>
            <w:r>
              <w:rPr>
                <w:b/>
                <w:color w:val="00AE4F"/>
              </w:rPr>
              <w:t>4</w:t>
            </w:r>
          </w:p>
        </w:tc>
        <w:tc>
          <w:tcPr>
            <w:tcW w:w="89"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80" w:type="dxa"/>
            </w:tcMar>
            <w:vAlign w:val="center"/>
          </w:tcPr>
          <w:p>
            <w:pPr>
              <w:pStyle w:val="TableContents"/>
              <w:bidi w:val="0"/>
              <w:spacing w:before="0" w:after="283"/>
              <w:jc w:val="left"/>
              <w:rPr>
                <w:color w:val="00AE4F"/>
              </w:rPr>
            </w:pPr>
            <w:r>
              <w:rPr>
                <w:color w:val="00AE4F"/>
              </w:rPr>
              <w:t> </w:t>
            </w:r>
          </w:p>
        </w:tc>
        <w:tc>
          <w:tcPr>
            <w:tcW w:w="399" w:type="dxa"/>
            <w:tcBorders>
              <w:bottom w:val="single" w:sz="6" w:space="0" w:color="7F7F7F"/>
            </w:tcBorders>
            <w:tcMar>
              <w:bottom w:w="80" w:type="dxa"/>
            </w:tcMar>
            <w:vAlign w:val="center"/>
          </w:tcPr>
          <w:p>
            <w:pPr>
              <w:pStyle w:val="TableContents"/>
              <w:bidi w:val="0"/>
              <w:spacing w:before="0" w:after="283"/>
              <w:jc w:val="center"/>
              <w:rPr>
                <w:b/>
                <w:color w:val="00AE4F"/>
              </w:rPr>
            </w:pPr>
            <w:r>
              <w:rPr>
                <w:b/>
                <w:color w:val="00AE4F"/>
              </w:rPr>
              <w:t>0</w:t>
            </w:r>
          </w:p>
        </w:tc>
        <w:tc>
          <w:tcPr>
            <w:tcW w:w="36"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80" w:type="dxa"/>
            </w:tcMar>
            <w:vAlign w:val="center"/>
          </w:tcPr>
          <w:p>
            <w:pPr>
              <w:pStyle w:val="TableContents"/>
              <w:bidi w:val="0"/>
              <w:spacing w:before="0" w:after="283"/>
              <w:jc w:val="left"/>
              <w:rPr>
                <w:color w:val="00AE4F"/>
              </w:rPr>
            </w:pPr>
            <w:r>
              <w:rPr>
                <w:color w:val="00AE4F"/>
              </w:rPr>
              <w:t> </w:t>
            </w:r>
          </w:p>
        </w:tc>
        <w:tc>
          <w:tcPr>
            <w:tcW w:w="497" w:type="dxa"/>
            <w:tcBorders>
              <w:bottom w:val="single" w:sz="6" w:space="0" w:color="7F7F7F"/>
            </w:tcBorders>
            <w:shd w:fill="EDEDED" w:val="clear"/>
            <w:tcMar>
              <w:bottom w:w="80" w:type="dxa"/>
            </w:tcMar>
            <w:vAlign w:val="center"/>
          </w:tcPr>
          <w:p>
            <w:pPr>
              <w:pStyle w:val="TableContents"/>
              <w:bidi w:val="0"/>
              <w:spacing w:before="0" w:after="283"/>
              <w:jc w:val="center"/>
              <w:rPr>
                <w:b/>
                <w:color w:val="00AE4F"/>
              </w:rPr>
            </w:pPr>
            <w:r>
              <w:rPr>
                <w:b/>
                <w:color w:val="00AE4F"/>
              </w:rPr>
              <w:t>0</w:t>
            </w:r>
          </w:p>
        </w:tc>
        <w:tc>
          <w:tcPr>
            <w:tcW w:w="116"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80" w:type="dxa"/>
            </w:tcMar>
            <w:vAlign w:val="center"/>
          </w:tcPr>
          <w:p>
            <w:pPr>
              <w:pStyle w:val="TableContents"/>
              <w:bidi w:val="0"/>
              <w:spacing w:before="0" w:after="283"/>
              <w:jc w:val="left"/>
              <w:rPr>
                <w:color w:val="00AE4F"/>
              </w:rPr>
            </w:pPr>
            <w:r>
              <w:rPr>
                <w:color w:val="00AE4F"/>
              </w:rPr>
              <w:t> </w:t>
            </w:r>
          </w:p>
        </w:tc>
        <w:tc>
          <w:tcPr>
            <w:tcW w:w="354" w:type="dxa"/>
            <w:tcBorders>
              <w:bottom w:val="single" w:sz="6" w:space="0" w:color="7F7F7F"/>
            </w:tcBorders>
            <w:tcMar>
              <w:bottom w:w="80" w:type="dxa"/>
            </w:tcMar>
            <w:vAlign w:val="center"/>
          </w:tcPr>
          <w:p>
            <w:pPr>
              <w:pStyle w:val="TableContents"/>
              <w:bidi w:val="0"/>
              <w:spacing w:before="0" w:after="283"/>
              <w:jc w:val="center"/>
              <w:rPr>
                <w:b/>
                <w:color w:val="00AE4F"/>
              </w:rPr>
            </w:pPr>
            <w:r>
              <w:rPr>
                <w:b/>
                <w:color w:val="00AE4F"/>
              </w:rPr>
              <w:t>0</w:t>
            </w:r>
          </w:p>
        </w:tc>
        <w:tc>
          <w:tcPr>
            <w:tcW w:w="8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80" w:type="dxa"/>
            </w:tcMar>
            <w:vAlign w:val="center"/>
          </w:tcPr>
          <w:p>
            <w:pPr>
              <w:pStyle w:val="TableContents"/>
              <w:bidi w:val="0"/>
              <w:spacing w:before="0" w:after="283"/>
              <w:jc w:val="left"/>
              <w:rPr>
                <w:color w:val="00AE4F"/>
              </w:rPr>
            </w:pPr>
            <w:r>
              <w:rPr>
                <w:color w:val="00AE4F"/>
              </w:rPr>
              <w:t> </w:t>
            </w:r>
          </w:p>
        </w:tc>
        <w:tc>
          <w:tcPr>
            <w:tcW w:w="568" w:type="dxa"/>
            <w:tcBorders>
              <w:bottom w:val="single" w:sz="6" w:space="0" w:color="7F7F7F"/>
            </w:tcBorders>
            <w:shd w:fill="EDEDED" w:val="clear"/>
            <w:tcMar>
              <w:bottom w:w="80" w:type="dxa"/>
            </w:tcMar>
            <w:vAlign w:val="center"/>
          </w:tcPr>
          <w:p>
            <w:pPr>
              <w:pStyle w:val="TableContents"/>
              <w:bidi w:val="0"/>
              <w:spacing w:before="0" w:after="283"/>
              <w:jc w:val="center"/>
              <w:rPr>
                <w:b/>
                <w:color w:val="00AE4F"/>
              </w:rPr>
            </w:pPr>
            <w:r>
              <w:rPr>
                <w:b/>
                <w:color w:val="00AE4F"/>
              </w:rPr>
              <w:t>18</w:t>
            </w:r>
          </w:p>
        </w:tc>
        <w:tc>
          <w:tcPr>
            <w:tcW w:w="132"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80" w:type="dxa"/>
            </w:tcMar>
            <w:vAlign w:val="center"/>
          </w:tcPr>
          <w:p>
            <w:pPr>
              <w:pStyle w:val="TableContents"/>
              <w:bidi w:val="0"/>
              <w:spacing w:before="0" w:after="283"/>
              <w:jc w:val="left"/>
              <w:rPr>
                <w:color w:val="00AE4F"/>
              </w:rPr>
            </w:pPr>
            <w:r>
              <w:rPr>
                <w:color w:val="00AE4F"/>
              </w:rPr>
              <w:t> </w:t>
            </w:r>
          </w:p>
        </w:tc>
        <w:tc>
          <w:tcPr>
            <w:tcW w:w="359" w:type="dxa"/>
            <w:tcBorders>
              <w:bottom w:val="single" w:sz="6" w:space="0" w:color="7F7F7F"/>
            </w:tcBorders>
            <w:tcMar>
              <w:bottom w:w="80" w:type="dxa"/>
            </w:tcMar>
            <w:vAlign w:val="center"/>
          </w:tcPr>
          <w:p>
            <w:pPr>
              <w:pStyle w:val="TableContents"/>
              <w:bidi w:val="0"/>
              <w:spacing w:before="0" w:after="283"/>
              <w:jc w:val="center"/>
              <w:rPr>
                <w:b/>
                <w:color w:val="00AE4F"/>
              </w:rPr>
            </w:pPr>
            <w:r>
              <w:rPr>
                <w:b/>
                <w:color w:val="00AE4F"/>
              </w:rPr>
              <w:t>0</w:t>
            </w:r>
          </w:p>
        </w:tc>
        <w:tc>
          <w:tcPr>
            <w:tcW w:w="84"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80" w:type="dxa"/>
            </w:tcMar>
            <w:vAlign w:val="center"/>
          </w:tcPr>
          <w:p>
            <w:pPr>
              <w:pStyle w:val="TableContents"/>
              <w:bidi w:val="0"/>
              <w:spacing w:before="0" w:after="283"/>
              <w:jc w:val="left"/>
              <w:rPr>
                <w:color w:val="00AE4F"/>
              </w:rPr>
            </w:pPr>
            <w:r>
              <w:rPr>
                <w:color w:val="00AE4F"/>
              </w:rPr>
              <w:t> </w:t>
            </w:r>
          </w:p>
        </w:tc>
        <w:tc>
          <w:tcPr>
            <w:tcW w:w="355" w:type="dxa"/>
            <w:tcBorders>
              <w:bottom w:val="single" w:sz="6" w:space="0" w:color="7F7F7F"/>
            </w:tcBorders>
            <w:shd w:fill="EDEDED" w:val="clear"/>
            <w:tcMar>
              <w:bottom w:w="80" w:type="dxa"/>
            </w:tcMar>
            <w:vAlign w:val="center"/>
          </w:tcPr>
          <w:p>
            <w:pPr>
              <w:pStyle w:val="TableContents"/>
              <w:bidi w:val="0"/>
              <w:spacing w:before="0" w:after="283"/>
              <w:jc w:val="center"/>
              <w:rPr>
                <w:b/>
                <w:color w:val="00AE4F"/>
              </w:rPr>
            </w:pPr>
            <w:r>
              <w:rPr>
                <w:b/>
                <w:color w:val="00AE4F"/>
              </w:rPr>
              <w:t>0</w:t>
            </w:r>
          </w:p>
        </w:tc>
        <w:tc>
          <w:tcPr>
            <w:tcW w:w="118"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Independence</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80" w:type="dxa"/>
            </w:tcMar>
            <w:vAlign w:val="center"/>
          </w:tcPr>
          <w:p>
            <w:pPr>
              <w:pStyle w:val="TableContents"/>
              <w:bidi w:val="0"/>
              <w:spacing w:before="0" w:after="283"/>
              <w:jc w:val="left"/>
              <w:rPr>
                <w:color w:val="00AE4F"/>
              </w:rPr>
            </w:pPr>
            <w:r>
              <w:rPr>
                <w:color w:val="00AE4F"/>
              </w:rPr>
              <w:t> </w:t>
            </w:r>
          </w:p>
        </w:tc>
        <w:tc>
          <w:tcPr>
            <w:tcW w:w="41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97"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80" w:type="dxa"/>
            </w:tcMar>
            <w:vAlign w:val="center"/>
          </w:tcPr>
          <w:p>
            <w:pPr>
              <w:pStyle w:val="TableContents"/>
              <w:bidi w:val="0"/>
              <w:spacing w:before="0" w:after="283"/>
              <w:jc w:val="left"/>
              <w:rPr>
                <w:color w:val="00AE4F"/>
              </w:rPr>
            </w:pPr>
            <w:r>
              <w:rPr>
                <w:color w:val="00AE4F"/>
              </w:rPr>
              <w:t> </w:t>
            </w:r>
          </w:p>
        </w:tc>
        <w:tc>
          <w:tcPr>
            <w:tcW w:w="583"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13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80" w:type="dxa"/>
            </w:tcMar>
            <w:vAlign w:val="center"/>
          </w:tcPr>
          <w:p>
            <w:pPr>
              <w:pStyle w:val="TableContents"/>
              <w:bidi w:val="0"/>
              <w:spacing w:before="0" w:after="283"/>
              <w:jc w:val="left"/>
              <w:rPr>
                <w:color w:val="00AE4F"/>
              </w:rPr>
            </w:pPr>
            <w:r>
              <w:rPr>
                <w:color w:val="00AE4F"/>
              </w:rPr>
              <w:t> </w:t>
            </w:r>
          </w:p>
        </w:tc>
        <w:tc>
          <w:tcPr>
            <w:tcW w:w="37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89"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80" w:type="dxa"/>
            </w:tcMar>
            <w:vAlign w:val="center"/>
          </w:tcPr>
          <w:p>
            <w:pPr>
              <w:pStyle w:val="TableContents"/>
              <w:bidi w:val="0"/>
              <w:spacing w:before="0" w:after="283"/>
              <w:jc w:val="left"/>
              <w:rPr>
                <w:color w:val="00AE4F"/>
              </w:rPr>
            </w:pPr>
            <w:r>
              <w:rPr>
                <w:color w:val="00AE4F"/>
              </w:rPr>
              <w:t> </w:t>
            </w:r>
          </w:p>
        </w:tc>
        <w:tc>
          <w:tcPr>
            <w:tcW w:w="399"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36"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80" w:type="dxa"/>
            </w:tcMar>
            <w:vAlign w:val="center"/>
          </w:tcPr>
          <w:p>
            <w:pPr>
              <w:pStyle w:val="TableContents"/>
              <w:bidi w:val="0"/>
              <w:spacing w:before="0" w:after="283"/>
              <w:jc w:val="left"/>
              <w:rPr>
                <w:color w:val="00AE4F"/>
              </w:rPr>
            </w:pPr>
            <w:r>
              <w:rPr>
                <w:color w:val="00AE4F"/>
              </w:rPr>
              <w:t> </w:t>
            </w:r>
          </w:p>
        </w:tc>
        <w:tc>
          <w:tcPr>
            <w:tcW w:w="497"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16"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80" w:type="dxa"/>
            </w:tcMar>
            <w:vAlign w:val="center"/>
          </w:tcPr>
          <w:p>
            <w:pPr>
              <w:pStyle w:val="TableContents"/>
              <w:bidi w:val="0"/>
              <w:spacing w:before="0" w:after="283"/>
              <w:jc w:val="left"/>
              <w:rPr>
                <w:color w:val="00AE4F"/>
              </w:rPr>
            </w:pPr>
            <w:r>
              <w:rPr>
                <w:color w:val="00AE4F"/>
              </w:rPr>
              <w:t> </w:t>
            </w:r>
          </w:p>
        </w:tc>
        <w:tc>
          <w:tcPr>
            <w:tcW w:w="56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32"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80" w:type="dxa"/>
            </w:tcMar>
            <w:vAlign w:val="center"/>
          </w:tcPr>
          <w:p>
            <w:pPr>
              <w:pStyle w:val="TableContents"/>
              <w:bidi w:val="0"/>
              <w:spacing w:before="0" w:after="283"/>
              <w:jc w:val="left"/>
              <w:rPr>
                <w:color w:val="00AE4F"/>
              </w:rPr>
            </w:pPr>
            <w:r>
              <w:rPr>
                <w:color w:val="00AE4F"/>
              </w:rPr>
              <w:t> </w:t>
            </w:r>
          </w:p>
        </w:tc>
        <w:tc>
          <w:tcPr>
            <w:tcW w:w="359"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84"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80" w:type="dxa"/>
            </w:tcMar>
            <w:vAlign w:val="center"/>
          </w:tcPr>
          <w:p>
            <w:pPr>
              <w:pStyle w:val="TableContents"/>
              <w:bidi w:val="0"/>
              <w:spacing w:before="0" w:after="283"/>
              <w:jc w:val="left"/>
              <w:rPr>
                <w:color w:val="00AE4F"/>
              </w:rPr>
            </w:pPr>
            <w:r>
              <w:rPr>
                <w:color w:val="00AE4F"/>
              </w:rPr>
              <w:t> </w:t>
            </w:r>
          </w:p>
        </w:tc>
        <w:tc>
          <w:tcPr>
            <w:tcW w:w="355"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18"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vAlign w:val="center"/>
          </w:tcPr>
          <w:p>
            <w:pPr>
              <w:pStyle w:val="TableContents"/>
              <w:bidi w:val="0"/>
              <w:spacing w:before="0" w:after="283"/>
              <w:jc w:val="left"/>
              <w:rPr>
                <w:sz w:val="4"/>
                <w:szCs w:val="4"/>
              </w:rPr>
            </w:pPr>
            <w:r>
              <w:rPr>
                <w:sz w:val="4"/>
                <w:szCs w:val="4"/>
              </w:rPr>
            </w:r>
          </w:p>
        </w:tc>
      </w:tr>
      <w:tr>
        <w:trPr/>
        <w:tc>
          <w:tcPr>
            <w:tcW w:w="2268" w:type="dxa"/>
            <w:tcBorders>
              <w:bottom w:val="single" w:sz="8" w:space="0" w:color="000000"/>
            </w:tcBorders>
            <w:tcMar>
              <w:bottom w:w="100" w:type="dxa"/>
            </w:tcMar>
            <w:vAlign w:val="center"/>
          </w:tcPr>
          <w:p>
            <w:pPr>
              <w:pStyle w:val="TableContents"/>
              <w:bidi w:val="0"/>
              <w:spacing w:before="0" w:after="0"/>
              <w:jc w:val="left"/>
              <w:rPr>
                <w:rFonts w:ascii="arial" w:hAnsi="arial"/>
                <w:color w:val="00AE4F"/>
                <w:sz w:val="20"/>
              </w:rPr>
            </w:pPr>
            <w:r>
              <w:rPr>
                <w:rFonts w:ascii="arial" w:hAnsi="arial"/>
                <w:color w:val="00AE4F"/>
                <w:sz w:val="20"/>
              </w:rPr>
              <w:t>Demographics</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7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Age</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665" w:type="dxa"/>
            <w:tcBorders>
              <w:bottom w:val="single" w:sz="6" w:space="0" w:color="7F7F7F"/>
            </w:tcBorders>
            <w:shd w:fill="EDEDED" w:val="clear"/>
            <w:tcMar>
              <w:bottom w:w="80" w:type="dxa"/>
            </w:tcMar>
            <w:vAlign w:val="center"/>
          </w:tcPr>
          <w:p>
            <w:pPr>
              <w:pStyle w:val="TableContents"/>
              <w:bidi w:val="0"/>
              <w:spacing w:before="0" w:after="283"/>
              <w:jc w:val="center"/>
              <w:rPr/>
            </w:pPr>
            <w:r>
              <w:rPr/>
              <w:t>55</w:t>
            </w:r>
          </w:p>
        </w:tc>
        <w:tc>
          <w:tcPr>
            <w:tcW w:w="154"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80" w:type="dxa"/>
            </w:tcMar>
            <w:vAlign w:val="center"/>
          </w:tcPr>
          <w:p>
            <w:pPr>
              <w:pStyle w:val="TableContents"/>
              <w:bidi w:val="0"/>
              <w:spacing w:before="0" w:after="283"/>
              <w:jc w:val="left"/>
              <w:rPr/>
            </w:pPr>
            <w:r>
              <w:rPr/>
              <w:t> </w:t>
            </w:r>
          </w:p>
        </w:tc>
        <w:tc>
          <w:tcPr>
            <w:tcW w:w="398" w:type="dxa"/>
            <w:tcBorders>
              <w:bottom w:val="single" w:sz="6" w:space="0" w:color="7F7F7F"/>
            </w:tcBorders>
            <w:tcMar>
              <w:bottom w:w="80" w:type="dxa"/>
            </w:tcMar>
            <w:vAlign w:val="center"/>
          </w:tcPr>
          <w:p>
            <w:pPr>
              <w:pStyle w:val="TableContents"/>
              <w:bidi w:val="0"/>
              <w:spacing w:before="0" w:after="283"/>
              <w:jc w:val="center"/>
              <w:rPr/>
            </w:pPr>
            <w:r>
              <w:rPr/>
              <w:t>42</w:t>
            </w:r>
          </w:p>
        </w:tc>
        <w:tc>
          <w:tcPr>
            <w:tcW w:w="9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418" w:type="dxa"/>
            <w:tcBorders>
              <w:bottom w:val="single" w:sz="6" w:space="0" w:color="7F7F7F"/>
            </w:tcBorders>
            <w:shd w:fill="EDEDED" w:val="clear"/>
            <w:tcMar>
              <w:bottom w:w="80" w:type="dxa"/>
            </w:tcMar>
            <w:vAlign w:val="center"/>
          </w:tcPr>
          <w:p>
            <w:pPr>
              <w:pStyle w:val="TableContents"/>
              <w:bidi w:val="0"/>
              <w:spacing w:before="0" w:after="283"/>
              <w:jc w:val="center"/>
              <w:rPr/>
            </w:pPr>
            <w:r>
              <w:rPr/>
              <w:t>66</w:t>
            </w:r>
          </w:p>
        </w:tc>
        <w:tc>
          <w:tcPr>
            <w:tcW w:w="97"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583" w:type="dxa"/>
            <w:tcBorders>
              <w:bottom w:val="single" w:sz="6" w:space="0" w:color="7F7F7F"/>
            </w:tcBorders>
            <w:tcMar>
              <w:bottom w:w="80" w:type="dxa"/>
            </w:tcMar>
            <w:vAlign w:val="center"/>
          </w:tcPr>
          <w:p>
            <w:pPr>
              <w:pStyle w:val="TableContents"/>
              <w:bidi w:val="0"/>
              <w:spacing w:before="0" w:after="283"/>
              <w:jc w:val="center"/>
              <w:rPr/>
            </w:pPr>
            <w:r>
              <w:rPr/>
              <w:t>68</w:t>
            </w:r>
          </w:p>
        </w:tc>
        <w:tc>
          <w:tcPr>
            <w:tcW w:w="13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378" w:type="dxa"/>
            <w:tcBorders>
              <w:bottom w:val="single" w:sz="6" w:space="0" w:color="7F7F7F"/>
            </w:tcBorders>
            <w:shd w:fill="EDEDED" w:val="clear"/>
            <w:tcMar>
              <w:bottom w:w="80" w:type="dxa"/>
            </w:tcMar>
            <w:vAlign w:val="center"/>
          </w:tcPr>
          <w:p>
            <w:pPr>
              <w:pStyle w:val="TableContents"/>
              <w:bidi w:val="0"/>
              <w:spacing w:before="0" w:after="283"/>
              <w:jc w:val="center"/>
              <w:rPr/>
            </w:pPr>
            <w:r>
              <w:rPr/>
              <w:t>51</w:t>
            </w:r>
          </w:p>
        </w:tc>
        <w:tc>
          <w:tcPr>
            <w:tcW w:w="89"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80" w:type="dxa"/>
            </w:tcMar>
            <w:vAlign w:val="center"/>
          </w:tcPr>
          <w:p>
            <w:pPr>
              <w:pStyle w:val="TableContents"/>
              <w:bidi w:val="0"/>
              <w:spacing w:before="0" w:after="283"/>
              <w:jc w:val="left"/>
              <w:rPr/>
            </w:pPr>
            <w:r>
              <w:rPr/>
              <w:t> </w:t>
            </w:r>
          </w:p>
        </w:tc>
        <w:tc>
          <w:tcPr>
            <w:tcW w:w="399" w:type="dxa"/>
            <w:tcBorders>
              <w:bottom w:val="single" w:sz="6" w:space="0" w:color="7F7F7F"/>
            </w:tcBorders>
            <w:tcMar>
              <w:bottom w:w="80" w:type="dxa"/>
            </w:tcMar>
            <w:vAlign w:val="center"/>
          </w:tcPr>
          <w:p>
            <w:pPr>
              <w:pStyle w:val="TableContents"/>
              <w:bidi w:val="0"/>
              <w:spacing w:before="0" w:after="283"/>
              <w:jc w:val="center"/>
              <w:rPr/>
            </w:pPr>
            <w:r>
              <w:rPr/>
              <w:t>55</w:t>
            </w:r>
          </w:p>
        </w:tc>
        <w:tc>
          <w:tcPr>
            <w:tcW w:w="36"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497" w:type="dxa"/>
            <w:tcBorders>
              <w:bottom w:val="single" w:sz="6" w:space="0" w:color="7F7F7F"/>
            </w:tcBorders>
            <w:shd w:fill="EDEDED" w:val="clear"/>
            <w:tcMar>
              <w:bottom w:w="80" w:type="dxa"/>
            </w:tcMar>
            <w:vAlign w:val="center"/>
          </w:tcPr>
          <w:p>
            <w:pPr>
              <w:pStyle w:val="TableContents"/>
              <w:bidi w:val="0"/>
              <w:spacing w:before="0" w:after="283"/>
              <w:jc w:val="center"/>
              <w:rPr/>
            </w:pPr>
            <w:r>
              <w:rPr/>
              <w:t>74</w:t>
            </w:r>
          </w:p>
        </w:tc>
        <w:tc>
          <w:tcPr>
            <w:tcW w:w="116"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80" w:type="dxa"/>
            </w:tcMar>
            <w:vAlign w:val="center"/>
          </w:tcPr>
          <w:p>
            <w:pPr>
              <w:pStyle w:val="TableContents"/>
              <w:bidi w:val="0"/>
              <w:spacing w:before="0" w:after="283"/>
              <w:jc w:val="left"/>
              <w:rPr/>
            </w:pPr>
            <w:r>
              <w:rPr/>
              <w:t> </w:t>
            </w:r>
          </w:p>
        </w:tc>
        <w:tc>
          <w:tcPr>
            <w:tcW w:w="354" w:type="dxa"/>
            <w:tcBorders>
              <w:bottom w:val="single" w:sz="6" w:space="0" w:color="7F7F7F"/>
            </w:tcBorders>
            <w:tcMar>
              <w:bottom w:w="80" w:type="dxa"/>
            </w:tcMar>
            <w:vAlign w:val="center"/>
          </w:tcPr>
          <w:p>
            <w:pPr>
              <w:pStyle w:val="TableContents"/>
              <w:bidi w:val="0"/>
              <w:spacing w:before="0" w:after="283"/>
              <w:jc w:val="center"/>
              <w:rPr/>
            </w:pPr>
            <w:r>
              <w:rPr/>
              <w:t>38</w:t>
            </w:r>
          </w:p>
        </w:tc>
        <w:tc>
          <w:tcPr>
            <w:tcW w:w="8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568" w:type="dxa"/>
            <w:tcBorders>
              <w:bottom w:val="single" w:sz="6" w:space="0" w:color="7F7F7F"/>
            </w:tcBorders>
            <w:shd w:fill="EDEDED" w:val="clear"/>
            <w:tcMar>
              <w:bottom w:w="80" w:type="dxa"/>
            </w:tcMar>
            <w:vAlign w:val="center"/>
          </w:tcPr>
          <w:p>
            <w:pPr>
              <w:pStyle w:val="TableContents"/>
              <w:bidi w:val="0"/>
              <w:spacing w:before="0" w:after="283"/>
              <w:jc w:val="center"/>
              <w:rPr/>
            </w:pPr>
            <w:r>
              <w:rPr/>
              <w:t>74</w:t>
            </w:r>
          </w:p>
        </w:tc>
        <w:tc>
          <w:tcPr>
            <w:tcW w:w="132"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80" w:type="dxa"/>
            </w:tcMar>
            <w:vAlign w:val="center"/>
          </w:tcPr>
          <w:p>
            <w:pPr>
              <w:pStyle w:val="TableContents"/>
              <w:bidi w:val="0"/>
              <w:spacing w:before="0" w:after="283"/>
              <w:jc w:val="left"/>
              <w:rPr/>
            </w:pPr>
            <w:r>
              <w:rPr/>
              <w:t> </w:t>
            </w:r>
          </w:p>
        </w:tc>
        <w:tc>
          <w:tcPr>
            <w:tcW w:w="359" w:type="dxa"/>
            <w:tcBorders>
              <w:bottom w:val="single" w:sz="6" w:space="0" w:color="7F7F7F"/>
            </w:tcBorders>
            <w:tcMar>
              <w:bottom w:w="80" w:type="dxa"/>
            </w:tcMar>
            <w:vAlign w:val="center"/>
          </w:tcPr>
          <w:p>
            <w:pPr>
              <w:pStyle w:val="TableContents"/>
              <w:bidi w:val="0"/>
              <w:spacing w:before="0" w:after="283"/>
              <w:jc w:val="center"/>
              <w:rPr/>
            </w:pPr>
            <w:r>
              <w:rPr/>
              <w:t>57</w:t>
            </w:r>
          </w:p>
        </w:tc>
        <w:tc>
          <w:tcPr>
            <w:tcW w:w="84"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355" w:type="dxa"/>
            <w:tcBorders>
              <w:bottom w:val="single" w:sz="6" w:space="0" w:color="7F7F7F"/>
            </w:tcBorders>
            <w:shd w:fill="EDEDED" w:val="clear"/>
            <w:tcMar>
              <w:bottom w:w="80" w:type="dxa"/>
            </w:tcMar>
            <w:vAlign w:val="center"/>
          </w:tcPr>
          <w:p>
            <w:pPr>
              <w:pStyle w:val="TableContents"/>
              <w:bidi w:val="0"/>
              <w:spacing w:before="0" w:after="283"/>
              <w:jc w:val="center"/>
              <w:rPr/>
            </w:pPr>
            <w:r>
              <w:rPr/>
              <w:t>67</w:t>
            </w:r>
          </w:p>
        </w:tc>
        <w:tc>
          <w:tcPr>
            <w:tcW w:w="118"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Gender Identity</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665" w:type="dxa"/>
            <w:tcBorders>
              <w:bottom w:val="single" w:sz="6" w:space="0" w:color="7F7F7F"/>
            </w:tcBorders>
            <w:shd w:fill="EDEDED" w:val="clear"/>
            <w:tcMar>
              <w:bottom w:w="80" w:type="dxa"/>
            </w:tcMar>
            <w:vAlign w:val="center"/>
          </w:tcPr>
          <w:p>
            <w:pPr>
              <w:pStyle w:val="TableContents"/>
              <w:bidi w:val="0"/>
              <w:spacing w:before="0" w:after="283"/>
              <w:jc w:val="center"/>
              <w:rPr/>
            </w:pPr>
            <w:r>
              <w:rPr/>
              <w:t>M</w:t>
            </w:r>
          </w:p>
        </w:tc>
        <w:tc>
          <w:tcPr>
            <w:tcW w:w="154"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80" w:type="dxa"/>
            </w:tcMar>
            <w:vAlign w:val="center"/>
          </w:tcPr>
          <w:p>
            <w:pPr>
              <w:pStyle w:val="TableContents"/>
              <w:bidi w:val="0"/>
              <w:spacing w:before="0" w:after="283"/>
              <w:jc w:val="left"/>
              <w:rPr/>
            </w:pPr>
            <w:r>
              <w:rPr/>
              <w:t> </w:t>
            </w:r>
          </w:p>
        </w:tc>
        <w:tc>
          <w:tcPr>
            <w:tcW w:w="398" w:type="dxa"/>
            <w:tcBorders>
              <w:bottom w:val="single" w:sz="6" w:space="0" w:color="7F7F7F"/>
            </w:tcBorders>
            <w:tcMar>
              <w:bottom w:w="80" w:type="dxa"/>
            </w:tcMar>
            <w:vAlign w:val="center"/>
          </w:tcPr>
          <w:p>
            <w:pPr>
              <w:pStyle w:val="TableContents"/>
              <w:bidi w:val="0"/>
              <w:spacing w:before="0" w:after="283"/>
              <w:jc w:val="center"/>
              <w:rPr/>
            </w:pPr>
            <w:r>
              <w:rPr/>
              <w:t>M</w:t>
            </w:r>
          </w:p>
        </w:tc>
        <w:tc>
          <w:tcPr>
            <w:tcW w:w="9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418" w:type="dxa"/>
            <w:tcBorders>
              <w:bottom w:val="single" w:sz="6" w:space="0" w:color="7F7F7F"/>
            </w:tcBorders>
            <w:shd w:fill="EDEDED" w:val="clear"/>
            <w:tcMar>
              <w:bottom w:w="80" w:type="dxa"/>
            </w:tcMar>
            <w:vAlign w:val="center"/>
          </w:tcPr>
          <w:p>
            <w:pPr>
              <w:pStyle w:val="TableContents"/>
              <w:bidi w:val="0"/>
              <w:spacing w:before="0" w:after="283"/>
              <w:jc w:val="center"/>
              <w:rPr/>
            </w:pPr>
            <w:r>
              <w:rPr/>
              <w:t>F</w:t>
            </w:r>
          </w:p>
        </w:tc>
        <w:tc>
          <w:tcPr>
            <w:tcW w:w="97"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583" w:type="dxa"/>
            <w:tcBorders>
              <w:bottom w:val="single" w:sz="6" w:space="0" w:color="7F7F7F"/>
            </w:tcBorders>
            <w:tcMar>
              <w:bottom w:w="80" w:type="dxa"/>
            </w:tcMar>
            <w:vAlign w:val="center"/>
          </w:tcPr>
          <w:p>
            <w:pPr>
              <w:pStyle w:val="TableContents"/>
              <w:bidi w:val="0"/>
              <w:spacing w:before="0" w:after="283"/>
              <w:jc w:val="center"/>
              <w:rPr/>
            </w:pPr>
            <w:r>
              <w:rPr/>
              <w:t>M</w:t>
            </w:r>
          </w:p>
        </w:tc>
        <w:tc>
          <w:tcPr>
            <w:tcW w:w="13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378" w:type="dxa"/>
            <w:tcBorders>
              <w:bottom w:val="single" w:sz="6" w:space="0" w:color="7F7F7F"/>
            </w:tcBorders>
            <w:shd w:fill="EDEDED" w:val="clear"/>
            <w:tcMar>
              <w:bottom w:w="80" w:type="dxa"/>
            </w:tcMar>
            <w:vAlign w:val="center"/>
          </w:tcPr>
          <w:p>
            <w:pPr>
              <w:pStyle w:val="TableContents"/>
              <w:bidi w:val="0"/>
              <w:spacing w:before="0" w:after="283"/>
              <w:jc w:val="center"/>
              <w:rPr/>
            </w:pPr>
            <w:r>
              <w:rPr/>
              <w:t>F</w:t>
            </w:r>
          </w:p>
        </w:tc>
        <w:tc>
          <w:tcPr>
            <w:tcW w:w="89"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80" w:type="dxa"/>
            </w:tcMar>
            <w:vAlign w:val="center"/>
          </w:tcPr>
          <w:p>
            <w:pPr>
              <w:pStyle w:val="TableContents"/>
              <w:bidi w:val="0"/>
              <w:spacing w:before="0" w:after="283"/>
              <w:jc w:val="left"/>
              <w:rPr/>
            </w:pPr>
            <w:r>
              <w:rPr/>
              <w:t> </w:t>
            </w:r>
          </w:p>
        </w:tc>
        <w:tc>
          <w:tcPr>
            <w:tcW w:w="399" w:type="dxa"/>
            <w:tcBorders>
              <w:bottom w:val="single" w:sz="6" w:space="0" w:color="7F7F7F"/>
            </w:tcBorders>
            <w:tcMar>
              <w:bottom w:w="80" w:type="dxa"/>
            </w:tcMar>
            <w:vAlign w:val="center"/>
          </w:tcPr>
          <w:p>
            <w:pPr>
              <w:pStyle w:val="TableContents"/>
              <w:bidi w:val="0"/>
              <w:spacing w:before="0" w:after="283"/>
              <w:jc w:val="center"/>
              <w:rPr/>
            </w:pPr>
            <w:r>
              <w:rPr/>
              <w:t>M</w:t>
            </w:r>
          </w:p>
        </w:tc>
        <w:tc>
          <w:tcPr>
            <w:tcW w:w="36"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497" w:type="dxa"/>
            <w:tcBorders>
              <w:bottom w:val="single" w:sz="6" w:space="0" w:color="7F7F7F"/>
            </w:tcBorders>
            <w:shd w:fill="EDEDED" w:val="clear"/>
            <w:tcMar>
              <w:bottom w:w="80" w:type="dxa"/>
            </w:tcMar>
            <w:vAlign w:val="center"/>
          </w:tcPr>
          <w:p>
            <w:pPr>
              <w:pStyle w:val="TableContents"/>
              <w:bidi w:val="0"/>
              <w:spacing w:before="0" w:after="283"/>
              <w:jc w:val="center"/>
              <w:rPr/>
            </w:pPr>
            <w:r>
              <w:rPr/>
              <w:t>M</w:t>
            </w:r>
          </w:p>
        </w:tc>
        <w:tc>
          <w:tcPr>
            <w:tcW w:w="116"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80" w:type="dxa"/>
            </w:tcMar>
            <w:vAlign w:val="center"/>
          </w:tcPr>
          <w:p>
            <w:pPr>
              <w:pStyle w:val="TableContents"/>
              <w:bidi w:val="0"/>
              <w:spacing w:before="0" w:after="283"/>
              <w:jc w:val="left"/>
              <w:rPr/>
            </w:pPr>
            <w:r>
              <w:rPr/>
              <w:t> </w:t>
            </w:r>
          </w:p>
        </w:tc>
        <w:tc>
          <w:tcPr>
            <w:tcW w:w="354" w:type="dxa"/>
            <w:tcBorders>
              <w:bottom w:val="single" w:sz="6" w:space="0" w:color="7F7F7F"/>
            </w:tcBorders>
            <w:tcMar>
              <w:bottom w:w="80" w:type="dxa"/>
            </w:tcMar>
            <w:vAlign w:val="center"/>
          </w:tcPr>
          <w:p>
            <w:pPr>
              <w:pStyle w:val="TableContents"/>
              <w:bidi w:val="0"/>
              <w:spacing w:before="0" w:after="283"/>
              <w:jc w:val="center"/>
              <w:rPr/>
            </w:pPr>
            <w:r>
              <w:rPr/>
              <w:t>M</w:t>
            </w:r>
          </w:p>
        </w:tc>
        <w:tc>
          <w:tcPr>
            <w:tcW w:w="8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568" w:type="dxa"/>
            <w:tcBorders>
              <w:bottom w:val="single" w:sz="6" w:space="0" w:color="7F7F7F"/>
            </w:tcBorders>
            <w:shd w:fill="EDEDED" w:val="clear"/>
            <w:tcMar>
              <w:bottom w:w="80" w:type="dxa"/>
            </w:tcMar>
            <w:vAlign w:val="center"/>
          </w:tcPr>
          <w:p>
            <w:pPr>
              <w:pStyle w:val="TableContents"/>
              <w:bidi w:val="0"/>
              <w:spacing w:before="0" w:after="283"/>
              <w:jc w:val="center"/>
              <w:rPr/>
            </w:pPr>
            <w:r>
              <w:rPr/>
              <w:t>F</w:t>
            </w:r>
          </w:p>
        </w:tc>
        <w:tc>
          <w:tcPr>
            <w:tcW w:w="132"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80" w:type="dxa"/>
            </w:tcMar>
            <w:vAlign w:val="center"/>
          </w:tcPr>
          <w:p>
            <w:pPr>
              <w:pStyle w:val="TableContents"/>
              <w:bidi w:val="0"/>
              <w:spacing w:before="0" w:after="283"/>
              <w:jc w:val="left"/>
              <w:rPr/>
            </w:pPr>
            <w:r>
              <w:rPr/>
              <w:t> </w:t>
            </w:r>
          </w:p>
        </w:tc>
        <w:tc>
          <w:tcPr>
            <w:tcW w:w="359" w:type="dxa"/>
            <w:tcBorders>
              <w:bottom w:val="single" w:sz="6" w:space="0" w:color="7F7F7F"/>
            </w:tcBorders>
            <w:tcMar>
              <w:bottom w:w="80" w:type="dxa"/>
            </w:tcMar>
            <w:vAlign w:val="center"/>
          </w:tcPr>
          <w:p>
            <w:pPr>
              <w:pStyle w:val="TableContents"/>
              <w:bidi w:val="0"/>
              <w:spacing w:before="0" w:after="283"/>
              <w:jc w:val="center"/>
              <w:rPr/>
            </w:pPr>
            <w:r>
              <w:rPr/>
              <w:t>M</w:t>
            </w:r>
          </w:p>
        </w:tc>
        <w:tc>
          <w:tcPr>
            <w:tcW w:w="84"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355" w:type="dxa"/>
            <w:tcBorders>
              <w:bottom w:val="single" w:sz="6" w:space="0" w:color="7F7F7F"/>
            </w:tcBorders>
            <w:shd w:fill="EDEDED" w:val="clear"/>
            <w:tcMar>
              <w:bottom w:w="80" w:type="dxa"/>
            </w:tcMar>
            <w:vAlign w:val="center"/>
          </w:tcPr>
          <w:p>
            <w:pPr>
              <w:pStyle w:val="TableContents"/>
              <w:bidi w:val="0"/>
              <w:spacing w:before="0" w:after="283"/>
              <w:jc w:val="center"/>
              <w:rPr/>
            </w:pPr>
            <w:r>
              <w:rPr/>
              <w:t>M</w:t>
            </w:r>
          </w:p>
        </w:tc>
        <w:tc>
          <w:tcPr>
            <w:tcW w:w="118"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African American or Black</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41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97"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7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5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Alaskan Native or American Indian</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1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7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5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Asian</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1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37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89"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5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Hispanic or Latinx</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1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7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80" w:type="dxa"/>
            </w:tcMar>
            <w:vAlign w:val="center"/>
          </w:tcPr>
          <w:p>
            <w:pPr>
              <w:pStyle w:val="TableContents"/>
              <w:bidi w:val="0"/>
              <w:spacing w:before="0" w:after="283"/>
              <w:jc w:val="left"/>
              <w:rPr/>
            </w:pPr>
            <w:r>
              <w:rPr/>
              <w:t> </w:t>
            </w:r>
          </w:p>
        </w:tc>
        <w:tc>
          <w:tcPr>
            <w:tcW w:w="399"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36"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5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Native Hawaiian or Pacific Islander</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1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7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5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White</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665"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54"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80" w:type="dxa"/>
            </w:tcMar>
            <w:vAlign w:val="center"/>
          </w:tcPr>
          <w:p>
            <w:pPr>
              <w:pStyle w:val="TableContents"/>
              <w:bidi w:val="0"/>
              <w:spacing w:before="0" w:after="283"/>
              <w:jc w:val="left"/>
              <w:rPr/>
            </w:pPr>
            <w:r>
              <w:rPr/>
              <w:t> </w:t>
            </w:r>
          </w:p>
        </w:tc>
        <w:tc>
          <w:tcPr>
            <w:tcW w:w="398"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9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1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583"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13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7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497"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16"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80" w:type="dxa"/>
            </w:tcMar>
            <w:vAlign w:val="center"/>
          </w:tcPr>
          <w:p>
            <w:pPr>
              <w:pStyle w:val="TableContents"/>
              <w:bidi w:val="0"/>
              <w:spacing w:before="0" w:after="283"/>
              <w:jc w:val="left"/>
              <w:rPr/>
            </w:pPr>
            <w:r>
              <w:rPr/>
              <w:t> </w:t>
            </w:r>
          </w:p>
        </w:tc>
        <w:tc>
          <w:tcPr>
            <w:tcW w:w="354"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8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568"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32"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80" w:type="dxa"/>
            </w:tcMar>
            <w:vAlign w:val="center"/>
          </w:tcPr>
          <w:p>
            <w:pPr>
              <w:pStyle w:val="TableContents"/>
              <w:bidi w:val="0"/>
              <w:spacing w:before="0" w:after="283"/>
              <w:jc w:val="left"/>
              <w:rPr/>
            </w:pPr>
            <w:r>
              <w:rPr/>
              <w:t> </w:t>
            </w:r>
          </w:p>
        </w:tc>
        <w:tc>
          <w:tcPr>
            <w:tcW w:w="359" w:type="dxa"/>
            <w:tcBorders>
              <w:bottom w:val="single" w:sz="6" w:space="0" w:color="7F7F7F"/>
            </w:tcBorders>
            <w:tcMar>
              <w:bottom w:w="80" w:type="dxa"/>
            </w:tcMar>
            <w:vAlign w:val="center"/>
          </w:tcPr>
          <w:p>
            <w:pPr>
              <w:pStyle w:val="TableContents"/>
              <w:bidi w:val="0"/>
              <w:spacing w:before="0" w:after="283"/>
              <w:jc w:val="center"/>
              <w:rPr>
                <w:color w:val="00AE4F"/>
              </w:rPr>
            </w:pPr>
            <w:r>
              <w:rPr>
                <w:color w:val="00AE4F"/>
              </w:rPr>
              <w:t>●</w:t>
            </w:r>
          </w:p>
        </w:tc>
        <w:tc>
          <w:tcPr>
            <w:tcW w:w="84"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80" w:type="dxa"/>
            </w:tcMar>
            <w:vAlign w:val="center"/>
          </w:tcPr>
          <w:p>
            <w:pPr>
              <w:pStyle w:val="TableContents"/>
              <w:bidi w:val="0"/>
              <w:spacing w:before="0" w:after="283"/>
              <w:jc w:val="left"/>
              <w:rPr/>
            </w:pPr>
            <w:r>
              <w:rPr/>
              <w:t> </w:t>
            </w:r>
          </w:p>
        </w:tc>
        <w:tc>
          <w:tcPr>
            <w:tcW w:w="355" w:type="dxa"/>
            <w:tcBorders>
              <w:bottom w:val="single" w:sz="6" w:space="0" w:color="7F7F7F"/>
            </w:tcBorders>
            <w:shd w:fill="EDEDED" w:val="clear"/>
            <w:tcMar>
              <w:bottom w:w="80" w:type="dxa"/>
            </w:tcMar>
            <w:vAlign w:val="center"/>
          </w:tcPr>
          <w:p>
            <w:pPr>
              <w:pStyle w:val="TableContents"/>
              <w:bidi w:val="0"/>
              <w:spacing w:before="0" w:after="283"/>
              <w:jc w:val="center"/>
              <w:rPr>
                <w:color w:val="00AE4F"/>
              </w:rPr>
            </w:pPr>
            <w:r>
              <w:rPr>
                <w:color w:val="00AE4F"/>
              </w:rPr>
              <w:t>●</w:t>
            </w:r>
          </w:p>
        </w:tc>
        <w:tc>
          <w:tcPr>
            <w:tcW w:w="118" w:type="dxa"/>
            <w:tcBorders>
              <w:bottom w:val="single" w:sz="6" w:space="0" w:color="7F7F7F"/>
            </w:tcBorders>
            <w:shd w:fill="EDEDED" w:val="clear"/>
            <w:tcMar>
              <w:bottom w:w="80"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Two or More Races or Ethnicities</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1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7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5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LGBTQ+</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1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7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5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sz w:val="4"/>
                <w:szCs w:val="4"/>
              </w:rPr>
            </w:pPr>
            <w:r>
              <w:rPr>
                <w:sz w:val="4"/>
                <w:szCs w:val="4"/>
              </w:rPr>
            </w:r>
          </w:p>
        </w:tc>
        <w:tc>
          <w:tcPr>
            <w:tcW w:w="1053" w:type="dxa"/>
            <w:gridSpan w:val="5"/>
            <w:tcBorders/>
            <w:shd w:fill="EDEDED" w:val="clear"/>
            <w:vAlign w:val="center"/>
          </w:tcPr>
          <w:p>
            <w:pPr>
              <w:pStyle w:val="TableContents"/>
              <w:bidi w:val="0"/>
              <w:spacing w:before="0" w:after="283"/>
              <w:jc w:val="left"/>
              <w:rPr>
                <w:sz w:val="4"/>
                <w:szCs w:val="4"/>
              </w:rPr>
            </w:pPr>
            <w:r>
              <w:rPr>
                <w:sz w:val="4"/>
                <w:szCs w:val="4"/>
              </w:rPr>
            </w:r>
          </w:p>
        </w:tc>
        <w:tc>
          <w:tcPr>
            <w:tcW w:w="639" w:type="dxa"/>
            <w:gridSpan w:val="5"/>
            <w:tcBorders/>
            <w:vAlign w:val="center"/>
          </w:tcPr>
          <w:p>
            <w:pPr>
              <w:pStyle w:val="TableContents"/>
              <w:bidi w:val="0"/>
              <w:spacing w:before="0" w:after="283"/>
              <w:jc w:val="left"/>
              <w:rPr>
                <w:sz w:val="4"/>
                <w:szCs w:val="4"/>
              </w:rPr>
            </w:pPr>
            <w:r>
              <w:rPr>
                <w:sz w:val="4"/>
                <w:szCs w:val="4"/>
              </w:rPr>
            </w:r>
          </w:p>
        </w:tc>
        <w:tc>
          <w:tcPr>
            <w:tcW w:w="670" w:type="dxa"/>
            <w:gridSpan w:val="5"/>
            <w:tcBorders/>
            <w:shd w:fill="EDEDED" w:val="clear"/>
            <w:vAlign w:val="center"/>
          </w:tcPr>
          <w:p>
            <w:pPr>
              <w:pStyle w:val="TableContents"/>
              <w:bidi w:val="0"/>
              <w:spacing w:before="0" w:after="283"/>
              <w:jc w:val="left"/>
              <w:rPr>
                <w:sz w:val="4"/>
                <w:szCs w:val="4"/>
              </w:rPr>
            </w:pPr>
            <w:r>
              <w:rPr>
                <w:sz w:val="4"/>
                <w:szCs w:val="4"/>
              </w:rPr>
            </w:r>
          </w:p>
        </w:tc>
        <w:tc>
          <w:tcPr>
            <w:tcW w:w="927"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c>
          <w:tcPr>
            <w:tcW w:w="583" w:type="dxa"/>
            <w:gridSpan w:val="5"/>
            <w:tcBorders/>
            <w:vAlign w:val="center"/>
          </w:tcPr>
          <w:p>
            <w:pPr>
              <w:pStyle w:val="TableContents"/>
              <w:bidi w:val="0"/>
              <w:spacing w:before="0" w:after="283"/>
              <w:jc w:val="left"/>
              <w:rPr>
                <w:sz w:val="4"/>
                <w:szCs w:val="4"/>
              </w:rPr>
            </w:pPr>
            <w:r>
              <w:rPr>
                <w:sz w:val="4"/>
                <w:szCs w:val="4"/>
              </w:rPr>
            </w:r>
          </w:p>
        </w:tc>
        <w:tc>
          <w:tcPr>
            <w:tcW w:w="793" w:type="dxa"/>
            <w:gridSpan w:val="5"/>
            <w:tcBorders/>
            <w:shd w:fill="EDEDED" w:val="clear"/>
            <w:vAlign w:val="center"/>
          </w:tcPr>
          <w:p>
            <w:pPr>
              <w:pStyle w:val="TableContents"/>
              <w:bidi w:val="0"/>
              <w:spacing w:before="0" w:after="283"/>
              <w:jc w:val="left"/>
              <w:rPr>
                <w:sz w:val="4"/>
                <w:szCs w:val="4"/>
              </w:rPr>
            </w:pPr>
            <w:r>
              <w:rPr>
                <w:sz w:val="4"/>
                <w:szCs w:val="4"/>
              </w:rPr>
            </w:r>
          </w:p>
        </w:tc>
        <w:tc>
          <w:tcPr>
            <w:tcW w:w="571" w:type="dxa"/>
            <w:gridSpan w:val="5"/>
            <w:tcBorders/>
            <w:vAlign w:val="center"/>
          </w:tcPr>
          <w:p>
            <w:pPr>
              <w:pStyle w:val="TableContents"/>
              <w:bidi w:val="0"/>
              <w:spacing w:before="0" w:after="283"/>
              <w:jc w:val="left"/>
              <w:rPr>
                <w:sz w:val="4"/>
                <w:szCs w:val="4"/>
              </w:rPr>
            </w:pPr>
            <w:r>
              <w:rPr>
                <w:sz w:val="4"/>
                <w:szCs w:val="4"/>
              </w:rPr>
            </w:r>
          </w:p>
        </w:tc>
        <w:tc>
          <w:tcPr>
            <w:tcW w:w="904" w:type="dxa"/>
            <w:gridSpan w:val="5"/>
            <w:tcBorders/>
            <w:shd w:fill="EDEDED" w:val="clear"/>
            <w:vAlign w:val="center"/>
          </w:tcPr>
          <w:p>
            <w:pPr>
              <w:pStyle w:val="TableContents"/>
              <w:bidi w:val="0"/>
              <w:spacing w:before="0" w:after="283"/>
              <w:jc w:val="left"/>
              <w:rPr>
                <w:sz w:val="4"/>
                <w:szCs w:val="4"/>
              </w:rPr>
            </w:pPr>
            <w:r>
              <w:rPr>
                <w:sz w:val="4"/>
                <w:szCs w:val="4"/>
              </w:rPr>
            </w:r>
          </w:p>
        </w:tc>
        <w:tc>
          <w:tcPr>
            <w:tcW w:w="579" w:type="dxa"/>
            <w:gridSpan w:val="5"/>
            <w:tcBorders/>
            <w:vAlign w:val="center"/>
          </w:tcPr>
          <w:p>
            <w:pPr>
              <w:pStyle w:val="TableContents"/>
              <w:bidi w:val="0"/>
              <w:spacing w:before="0" w:after="283"/>
              <w:jc w:val="left"/>
              <w:rPr>
                <w:sz w:val="4"/>
                <w:szCs w:val="4"/>
              </w:rPr>
            </w:pPr>
            <w:r>
              <w:rPr>
                <w:sz w:val="4"/>
                <w:szCs w:val="4"/>
              </w:rPr>
            </w:r>
          </w:p>
        </w:tc>
        <w:tc>
          <w:tcPr>
            <w:tcW w:w="609"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268" w:type="dxa"/>
            <w:tcBorders>
              <w:bottom w:val="single" w:sz="6" w:space="0" w:color="7F7F7F"/>
            </w:tcBorders>
            <w:tcMar>
              <w:bottom w:w="80" w:type="dxa"/>
            </w:tcMar>
            <w:vAlign w:val="center"/>
          </w:tcPr>
          <w:p>
            <w:pPr>
              <w:pStyle w:val="TableContents"/>
              <w:bidi w:val="0"/>
              <w:spacing w:before="0" w:after="0"/>
              <w:jc w:val="left"/>
              <w:rPr>
                <w:rFonts w:ascii="arial" w:hAnsi="arial"/>
                <w:sz w:val="18"/>
              </w:rPr>
            </w:pPr>
            <w:r>
              <w:rPr>
                <w:rFonts w:ascii="arial" w:hAnsi="arial"/>
                <w:sz w:val="18"/>
              </w:rPr>
              <w:t>Did Not Disclose Demographic Background</w:t>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5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1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7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9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97"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56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355"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8" w:type="dxa"/>
            <w:tcBorders>
              <w:bottom w:val="single" w:sz="6" w:space="0" w:color="7F7F7F"/>
            </w:tcBorders>
            <w:shd w:fill="EDEDED" w:val="clear"/>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8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3" descr=""/>
                          <pic:cNvPicPr>
                            <a:picLocks noChangeAspect="1" noChangeArrowheads="1"/>
                          </pic:cNvPicPr>
                        </pic:nvPicPr>
                        <pic:blipFill>
                          <a:blip r:embed="rId76"/>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Proposal 1: Election of Directors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As the Company continues to drive profitable growth in its areas of specialization, the Committee considers the following experiences and skills: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3175000" cy="5779770"/>
                <wp:effectExtent l="0" t="0" r="0" b="0"/>
                <wp:wrapSquare wrapText="right"/>
                <wp:docPr id="84" name="Frame10"/>
                <a:graphic xmlns:a="http://schemas.openxmlformats.org/drawingml/2006/main">
                  <a:graphicData uri="http://schemas.microsoft.com/office/word/2010/wordprocessingShape">
                    <wps:wsp>
                      <wps:cNvSpPr txBox="1"/>
                      <wps:spPr>
                        <a:xfrm>
                          <a:off x="0" y="0"/>
                          <a:ext cx="3175000" cy="5779770"/>
                        </a:xfrm>
                        <a:prstGeom prst="rect"/>
                        <a:solidFill>
                          <a:srgbClr val="FFFFFF"/>
                        </a:solidFill>
                      </wps:spPr>
                      <wps:txbx>
                        <w:txbxContent>
                          <w:tbl>
                            <w:tblPr>
                              <w:tblW w:w="4940" w:type="dxa"/>
                              <w:jc w:val="left"/>
                              <w:tblInd w:w="0" w:type="dxa"/>
                              <w:tblLayout w:type="fixed"/>
                              <w:tblCellMar>
                                <w:top w:w="0" w:type="dxa"/>
                                <w:left w:w="0" w:type="dxa"/>
                                <w:bottom w:w="0" w:type="dxa"/>
                                <w:right w:w="0" w:type="dxa"/>
                              </w:tblCellMar>
                            </w:tblPr>
                            <w:tblGrid>
                              <w:gridCol w:w="2410"/>
                              <w:gridCol w:w="120"/>
                              <w:gridCol w:w="2410"/>
                            </w:tblGrid>
                            <w:tr>
                              <w:trPr/>
                              <w:tc>
                                <w:tcPr>
                                  <w:tcW w:w="2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r>
                            <w:tr>
                              <w:trPr/>
                              <w:tc>
                                <w:tcPr>
                                  <w:tcW w:w="2410" w:type="dxa"/>
                                  <w:tcBorders/>
                                  <w:vAlign w:val="center"/>
                                </w:tcPr>
                                <w:p>
                                  <w:pPr>
                                    <w:pStyle w:val="TableContents"/>
                                    <w:bidi w:val="0"/>
                                    <w:spacing w:before="0" w:after="283"/>
                                    <w:jc w:val="center"/>
                                    <w:rPr/>
                                  </w:pPr>
                                  <w:r>
                                    <w:rPr/>
                                    <w:drawing>
                                      <wp:inline distT="0" distB="0" distL="0" distR="0">
                                        <wp:extent cx="1482725" cy="1821180"/>
                                        <wp:effectExtent l="0" t="0" r="0" b="0"/>
                                        <wp:docPr id="8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4" descr=""/>
                                                <pic:cNvPicPr>
                                                  <a:picLocks noChangeAspect="1" noChangeArrowheads="1"/>
                                                </pic:cNvPicPr>
                                              </pic:nvPicPr>
                                              <pic:blipFill>
                                                <a:blip r:embed="rId77"/>
                                                <a:stretch>
                                                  <a:fillRect/>
                                                </a:stretch>
                                              </pic:blipFill>
                                              <pic:spPr bwMode="auto">
                                                <a:xfrm>
                                                  <a:off x="0" y="0"/>
                                                  <a:ext cx="1482725" cy="182118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410" w:type="dxa"/>
                                  <w:tcBorders/>
                                  <w:vAlign w:val="center"/>
                                </w:tcPr>
                                <w:p>
                                  <w:pPr>
                                    <w:pStyle w:val="TableContents"/>
                                    <w:bidi w:val="0"/>
                                    <w:spacing w:before="0" w:after="283"/>
                                    <w:jc w:val="left"/>
                                    <w:rPr/>
                                  </w:pPr>
                                  <w:r>
                                    <w:rPr/>
                                    <w:drawing>
                                      <wp:inline distT="0" distB="0" distL="0" distR="0">
                                        <wp:extent cx="1482725" cy="1705610"/>
                                        <wp:effectExtent l="0" t="0" r="0" b="0"/>
                                        <wp:docPr id="8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5" descr=""/>
                                                <pic:cNvPicPr>
                                                  <a:picLocks noChangeAspect="1" noChangeArrowheads="1"/>
                                                </pic:cNvPicPr>
                                              </pic:nvPicPr>
                                              <pic:blipFill>
                                                <a:blip r:embed="rId78"/>
                                                <a:stretch>
                                                  <a:fillRect/>
                                                </a:stretch>
                                              </pic:blipFill>
                                              <pic:spPr bwMode="auto">
                                                <a:xfrm>
                                                  <a:off x="0" y="0"/>
                                                  <a:ext cx="1482725" cy="170561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093085" cy="1589405"/>
                                  <wp:effectExtent l="0" t="0" r="0" b="0"/>
                                  <wp:docPr id="8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6" descr=""/>
                                          <pic:cNvPicPr>
                                            <a:picLocks noChangeAspect="1" noChangeArrowheads="1"/>
                                          </pic:cNvPicPr>
                                        </pic:nvPicPr>
                                        <pic:blipFill>
                                          <a:blip r:embed="rId79"/>
                                          <a:stretch>
                                            <a:fillRect/>
                                          </a:stretch>
                                        </pic:blipFill>
                                        <pic:spPr bwMode="auto">
                                          <a:xfrm>
                                            <a:off x="0" y="0"/>
                                            <a:ext cx="3093085" cy="15894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075940" cy="1005205"/>
                                  <wp:effectExtent l="0" t="0" r="0" b="0"/>
                                  <wp:docPr id="8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7" descr=""/>
                                          <pic:cNvPicPr>
                                            <a:picLocks noChangeAspect="1" noChangeArrowheads="1"/>
                                          </pic:cNvPicPr>
                                        </pic:nvPicPr>
                                        <pic:blipFill>
                                          <a:blip r:embed="rId80"/>
                                          <a:stretch>
                                            <a:fillRect/>
                                          </a:stretch>
                                        </pic:blipFill>
                                        <pic:spPr bwMode="auto">
                                          <a:xfrm>
                                            <a:off x="0" y="0"/>
                                            <a:ext cx="3075940" cy="1005205"/>
                                          </a:xfrm>
                                          <a:prstGeom prst="rect">
                                            <a:avLst/>
                                          </a:prstGeom>
                                        </pic:spPr>
                                      </pic:pic>
                                    </a:graphicData>
                                  </a:graphic>
                                </wp:inline>
                              </w:drawing>
                            </w:r>
                            <w:r>
                              <w:rPr/>
                              <w:t xml:space="preserve"> </w:t>
                            </w:r>
                          </w:p>
                          <w:p>
                            <w:pPr>
                              <w:pStyle w:val="TextBody"/>
                              <w:bidi w:val="0"/>
                              <w:spacing w:before="0" w:after="0"/>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55.1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4940" w:type="dxa"/>
                        <w:jc w:val="left"/>
                        <w:tblInd w:w="0" w:type="dxa"/>
                        <w:tblLayout w:type="fixed"/>
                        <w:tblCellMar>
                          <w:top w:w="0" w:type="dxa"/>
                          <w:left w:w="0" w:type="dxa"/>
                          <w:bottom w:w="0" w:type="dxa"/>
                          <w:right w:w="0" w:type="dxa"/>
                        </w:tblCellMar>
                      </w:tblPr>
                      <w:tblGrid>
                        <w:gridCol w:w="2410"/>
                        <w:gridCol w:w="120"/>
                        <w:gridCol w:w="2410"/>
                      </w:tblGrid>
                      <w:tr>
                        <w:trPr/>
                        <w:tc>
                          <w:tcPr>
                            <w:tcW w:w="2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r>
                      <w:tr>
                        <w:trPr/>
                        <w:tc>
                          <w:tcPr>
                            <w:tcW w:w="2410" w:type="dxa"/>
                            <w:tcBorders/>
                            <w:vAlign w:val="center"/>
                          </w:tcPr>
                          <w:p>
                            <w:pPr>
                              <w:pStyle w:val="TableContents"/>
                              <w:bidi w:val="0"/>
                              <w:spacing w:before="0" w:after="283"/>
                              <w:jc w:val="center"/>
                              <w:rPr/>
                            </w:pPr>
                            <w:r>
                              <w:rPr/>
                              <w:drawing>
                                <wp:inline distT="0" distB="0" distL="0" distR="0">
                                  <wp:extent cx="1482725" cy="1821180"/>
                                  <wp:effectExtent l="0" t="0" r="0" b="0"/>
                                  <wp:docPr id="89"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4" descr=""/>
                                          <pic:cNvPicPr>
                                            <a:picLocks noChangeAspect="1" noChangeArrowheads="1"/>
                                          </pic:cNvPicPr>
                                        </pic:nvPicPr>
                                        <pic:blipFill>
                                          <a:blip r:embed="rId81"/>
                                          <a:stretch>
                                            <a:fillRect/>
                                          </a:stretch>
                                        </pic:blipFill>
                                        <pic:spPr bwMode="auto">
                                          <a:xfrm>
                                            <a:off x="0" y="0"/>
                                            <a:ext cx="1482725" cy="182118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410" w:type="dxa"/>
                            <w:tcBorders/>
                            <w:vAlign w:val="center"/>
                          </w:tcPr>
                          <w:p>
                            <w:pPr>
                              <w:pStyle w:val="TableContents"/>
                              <w:bidi w:val="0"/>
                              <w:spacing w:before="0" w:after="283"/>
                              <w:jc w:val="left"/>
                              <w:rPr/>
                            </w:pPr>
                            <w:r>
                              <w:rPr/>
                              <w:drawing>
                                <wp:inline distT="0" distB="0" distL="0" distR="0">
                                  <wp:extent cx="1482725" cy="1705610"/>
                                  <wp:effectExtent l="0" t="0" r="0" b="0"/>
                                  <wp:docPr id="90"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5" descr=""/>
                                          <pic:cNvPicPr>
                                            <a:picLocks noChangeAspect="1" noChangeArrowheads="1"/>
                                          </pic:cNvPicPr>
                                        </pic:nvPicPr>
                                        <pic:blipFill>
                                          <a:blip r:embed="rId82"/>
                                          <a:stretch>
                                            <a:fillRect/>
                                          </a:stretch>
                                        </pic:blipFill>
                                        <pic:spPr bwMode="auto">
                                          <a:xfrm>
                                            <a:off x="0" y="0"/>
                                            <a:ext cx="1482725" cy="170561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093085" cy="1589405"/>
                            <wp:effectExtent l="0" t="0" r="0" b="0"/>
                            <wp:docPr id="91"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6" descr=""/>
                                    <pic:cNvPicPr>
                                      <a:picLocks noChangeAspect="1" noChangeArrowheads="1"/>
                                    </pic:cNvPicPr>
                                  </pic:nvPicPr>
                                  <pic:blipFill>
                                    <a:blip r:embed="rId83"/>
                                    <a:stretch>
                                      <a:fillRect/>
                                    </a:stretch>
                                  </pic:blipFill>
                                  <pic:spPr bwMode="auto">
                                    <a:xfrm>
                                      <a:off x="0" y="0"/>
                                      <a:ext cx="3093085" cy="15894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075940" cy="1005205"/>
                            <wp:effectExtent l="0" t="0" r="0" b="0"/>
                            <wp:docPr id="92"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7" descr=""/>
                                    <pic:cNvPicPr>
                                      <a:picLocks noChangeAspect="1" noChangeArrowheads="1"/>
                                    </pic:cNvPicPr>
                                  </pic:nvPicPr>
                                  <pic:blipFill>
                                    <a:blip r:embed="rId84"/>
                                    <a:stretch>
                                      <a:fillRect/>
                                    </a:stretch>
                                  </pic:blipFill>
                                  <pic:spPr bwMode="auto">
                                    <a:xfrm>
                                      <a:off x="0" y="0"/>
                                      <a:ext cx="3075940" cy="1005205"/>
                                    </a:xfrm>
                                    <a:prstGeom prst="rect">
                                      <a:avLst/>
                                    </a:prstGeom>
                                  </pic:spPr>
                                </pic:pic>
                              </a:graphicData>
                            </a:graphic>
                          </wp:inline>
                        </w:drawing>
                      </w:r>
                      <w:r>
                        <w:rPr/>
                        <w:t xml:space="preserve"> </w:t>
                      </w:r>
                    </w:p>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227">
                <wp:simplePos x="0" y="0"/>
                <wp:positionH relativeFrom="column">
                  <wp:align>left</wp:align>
                </wp:positionH>
                <wp:positionV relativeFrom="line">
                  <wp:posOffset>635</wp:posOffset>
                </wp:positionV>
                <wp:extent cx="3110230" cy="9972040"/>
                <wp:effectExtent l="0" t="0" r="0" b="0"/>
                <wp:wrapSquare wrapText="right"/>
                <wp:docPr id="93" name="Frame9"/>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p>
                            <w:pPr>
                              <w:pStyle w:val="TextBody"/>
                              <w:bidi w:val="0"/>
                              <w:spacing w:before="0" w:after="0"/>
                              <w:jc w:val="left"/>
                              <w:rPr>
                                <w:rFonts w:ascii="arial" w:hAnsi="arial"/>
                                <w:b/>
                                <w:sz w:val="24"/>
                              </w:rPr>
                            </w:pPr>
                            <w:r>
                              <w:rPr>
                                <w:rFonts w:ascii="arial" w:hAnsi="arial"/>
                                <w:b/>
                                <w:sz w:val="24"/>
                              </w:rPr>
                              <w:t xml:space="preserve">Director Qualifications and Experience </w:t>
                            </w:r>
                          </w:p>
                          <w:p>
                            <w:pPr>
                              <w:pStyle w:val="TextBody"/>
                              <w:bidi w:val="0"/>
                              <w:spacing w:before="40" w:after="0"/>
                              <w:jc w:val="left"/>
                              <w:rPr>
                                <w:rFonts w:ascii="arial" w:hAnsi="arial"/>
                                <w:sz w:val="18"/>
                              </w:rPr>
                            </w:pPr>
                            <w:r>
                              <w:rPr>
                                <w:rFonts w:ascii="arial" w:hAnsi="arial"/>
                                <w:sz w:val="18"/>
                              </w:rPr>
                              <w:t xml:space="preserve">Out of 11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95"/>
                              <w:gridCol w:w="60"/>
                              <w:gridCol w:w="9450"/>
                            </w:tblGrid>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50" w:type="dxa"/>
                                  <w:tcBorders/>
                                  <w:vAlign w:val="center"/>
                                </w:tcPr>
                                <w:p>
                                  <w:pPr>
                                    <w:pStyle w:val="TableContents"/>
                                    <w:bidi w:val="0"/>
                                    <w:spacing w:before="0" w:after="283"/>
                                    <w:jc w:val="left"/>
                                    <w:rPr>
                                      <w:sz w:val="4"/>
                                      <w:szCs w:val="4"/>
                                    </w:rPr>
                                  </w:pPr>
                                  <w:r>
                                    <w:rPr>
                                      <w:sz w:val="4"/>
                                      <w:szCs w:val="4"/>
                                    </w:rPr>
                                  </w:r>
                                </w:p>
                              </w:tc>
                            </w:tr>
                            <w:tr>
                              <w:trPr/>
                              <w:tc>
                                <w:tcPr>
                                  <w:tcW w:w="695" w:type="dxa"/>
                                  <w:tcBorders>
                                    <w:top w:val="single" w:sz="6" w:space="0" w:color="84827F"/>
                                  </w:tcBorders>
                                  <w:tcMar>
                                    <w:top w:w="28" w:type="dxa"/>
                                  </w:tcMar>
                                  <w:vAlign w:val="center"/>
                                </w:tcPr>
                                <w:p>
                                  <w:pPr>
                                    <w:pStyle w:val="TableContents"/>
                                    <w:bidi w:val="0"/>
                                    <w:spacing w:before="0" w:after="283"/>
                                    <w:jc w:val="left"/>
                                    <w:rPr/>
                                  </w:pPr>
                                  <w:r>
                                    <w:rPr/>
                                    <w:t> </w:t>
                                  </w:r>
                                </w:p>
                              </w:tc>
                              <w:tc>
                                <w:tcPr>
                                  <w:tcW w:w="9510" w:type="dxa"/>
                                  <w:gridSpan w:val="2"/>
                                  <w:tcBorders>
                                    <w:top w:val="single" w:sz="6" w:space="0" w:color="84827F"/>
                                  </w:tcBorders>
                                  <w:tcMar>
                                    <w:top w:w="28" w:type="dxa"/>
                                  </w:tcMar>
                                  <w:vAlign w:val="center"/>
                                </w:tcPr>
                                <w:p>
                                  <w:pPr>
                                    <w:pStyle w:val="TableContents"/>
                                    <w:bidi w:val="0"/>
                                    <w:spacing w:before="0" w:after="283"/>
                                    <w:jc w:val="left"/>
                                    <w:rPr/>
                                  </w:pPr>
                                  <w:r>
                                    <w:rPr/>
                                    <w:t> </w:t>
                                  </w:r>
                                </w:p>
                              </w:tc>
                            </w:tr>
                            <w:tr>
                              <w:trPr/>
                              <w:tc>
                                <w:tcPr>
                                  <w:tcW w:w="695" w:type="dxa"/>
                                  <w:tcBorders>
                                    <w:bottom w:val="single" w:sz="6" w:space="0" w:color="84827F"/>
                                  </w:tcBorders>
                                  <w:tcMar>
                                    <w:bottom w:w="60" w:type="dxa"/>
                                  </w:tcMar>
                                  <w:vAlign w:val="center"/>
                                </w:tcPr>
                                <w:p>
                                  <w:pPr>
                                    <w:pStyle w:val="TableContents"/>
                                    <w:bidi w:val="0"/>
                                    <w:spacing w:before="0" w:after="0"/>
                                    <w:jc w:val="left"/>
                                    <w:rPr>
                                      <w:rFonts w:ascii="arial" w:hAnsi="arial"/>
                                      <w:b/>
                                      <w:color w:val="00AE4F"/>
                                      <w:sz w:val="60"/>
                                    </w:rPr>
                                  </w:pPr>
                                  <w:r>
                                    <w:rPr>
                                      <w:rFonts w:ascii="arial" w:hAnsi="arial"/>
                                      <w:b/>
                                      <w:color w:val="00AE4F"/>
                                      <w:sz w:val="60"/>
                                    </w:rPr>
                                    <w:t>11</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9450" w:type="dxa"/>
                                  <w:tcBorders>
                                    <w:bottom w:val="single" w:sz="6" w:space="0" w:color="84827F"/>
                                  </w:tcBorders>
                                  <w:tcMar>
                                    <w:bottom w:w="60" w:type="dxa"/>
                                  </w:tcMar>
                                  <w:vAlign w:val="center"/>
                                </w:tcPr>
                                <w:p>
                                  <w:pPr>
                                    <w:pStyle w:val="TableContents"/>
                                    <w:bidi w:val="0"/>
                                    <w:spacing w:before="0" w:after="283"/>
                                    <w:jc w:val="left"/>
                                    <w:rPr/>
                                  </w:pPr>
                                  <w:r>
                                    <w:rPr>
                                      <w:b/>
                                      <w:color w:val="00AE4F"/>
                                    </w:rPr>
                                    <w:t>Executive Leadership</w:t>
                                  </w:r>
                                  <w:r>
                                    <w:rPr/>
                                    <w:t xml:space="preserve"> experience as a Chairman of the Board, Chief Executive Officer, Chief Operating Officer, or substantially equivalent level executive officer of a complex organization such as a corporation, university, or major unit of government or a professional who regularly advises such organizations</w:t>
                                  </w:r>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bottom w:val="single" w:sz="6" w:space="0" w:color="84827F"/>
                                  </w:tcBorders>
                                  <w:tcMar>
                                    <w:bottom w:w="60" w:type="dxa"/>
                                  </w:tcMar>
                                  <w:vAlign w:val="center"/>
                                </w:tcPr>
                                <w:p>
                                  <w:pPr>
                                    <w:pStyle w:val="TableContents"/>
                                    <w:bidi w:val="0"/>
                                    <w:spacing w:before="0" w:after="0"/>
                                    <w:jc w:val="left"/>
                                    <w:rPr>
                                      <w:rFonts w:ascii="arial" w:hAnsi="arial"/>
                                      <w:b/>
                                      <w:color w:val="00AE4F"/>
                                      <w:sz w:val="60"/>
                                    </w:rPr>
                                  </w:pPr>
                                  <w:r>
                                    <w:rPr>
                                      <w:rFonts w:ascii="arial" w:hAnsi="arial"/>
                                      <w:b/>
                                      <w:color w:val="00AE4F"/>
                                      <w:sz w:val="60"/>
                                    </w:rPr>
                                    <w:t>11</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9450" w:type="dxa"/>
                                  <w:tcBorders>
                                    <w:bottom w:val="single" w:sz="6" w:space="0" w:color="84827F"/>
                                  </w:tcBorders>
                                  <w:tcMar>
                                    <w:bottom w:w="60" w:type="dxa"/>
                                  </w:tcMar>
                                  <w:vAlign w:val="center"/>
                                </w:tcPr>
                                <w:p>
                                  <w:pPr>
                                    <w:pStyle w:val="TableContents"/>
                                    <w:bidi w:val="0"/>
                                    <w:spacing w:before="0" w:after="283"/>
                                    <w:jc w:val="left"/>
                                    <w:rPr/>
                                  </w:pPr>
                                  <w:r>
                                    <w:rPr>
                                      <w:b/>
                                      <w:color w:val="00AE4F"/>
                                    </w:rPr>
                                    <w:t>Transformations</w:t>
                                  </w:r>
                                  <w:r>
                                    <w:rPr/>
                                    <w:t xml:space="preserve"> successful leadership of large-scale transformations, including cultural evolutions, restructuring, and enhancing organizational design to improve effectiveness, and drive profitable growth</w:t>
                                  </w:r>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bottom w:val="single" w:sz="6" w:space="0" w:color="84827F"/>
                                  </w:tcBorders>
                                  <w:tcMar>
                                    <w:bottom w:w="60" w:type="dxa"/>
                                  </w:tcMar>
                                  <w:vAlign w:val="center"/>
                                </w:tcPr>
                                <w:p>
                                  <w:pPr>
                                    <w:pStyle w:val="TableContents"/>
                                    <w:bidi w:val="0"/>
                                    <w:spacing w:before="0" w:after="0"/>
                                    <w:jc w:val="left"/>
                                    <w:rPr>
                                      <w:rFonts w:ascii="arial" w:hAnsi="arial"/>
                                      <w:b/>
                                      <w:color w:val="00AE4F"/>
                                      <w:sz w:val="60"/>
                                    </w:rPr>
                                  </w:pPr>
                                  <w:r>
                                    <w:rPr>
                                      <w:rFonts w:ascii="arial" w:hAnsi="arial"/>
                                      <w:b/>
                                      <w:color w:val="00AE4F"/>
                                      <w:sz w:val="60"/>
                                    </w:rPr>
                                    <w:t>6</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9450" w:type="dxa"/>
                                  <w:tcBorders>
                                    <w:bottom w:val="single" w:sz="6" w:space="0" w:color="84827F"/>
                                  </w:tcBorders>
                                  <w:tcMar>
                                    <w:bottom w:w="60" w:type="dxa"/>
                                  </w:tcMar>
                                  <w:vAlign w:val="center"/>
                                </w:tcPr>
                                <w:p>
                                  <w:pPr>
                                    <w:pStyle w:val="TableContents"/>
                                    <w:bidi w:val="0"/>
                                    <w:spacing w:before="0" w:after="20"/>
                                    <w:jc w:val="left"/>
                                    <w:rPr>
                                      <w:rFonts w:ascii="arial" w:hAnsi="arial"/>
                                      <w:sz w:val="16"/>
                                    </w:rPr>
                                  </w:pPr>
                                  <w:r>
                                    <w:rPr>
                                      <w:rFonts w:ascii="arial" w:hAnsi="arial"/>
                                      <w:b/>
                                      <w:color w:val="00AE4F"/>
                                      <w:sz w:val="16"/>
                                    </w:rPr>
                                    <w:t>Innovation</w:t>
                                  </w:r>
                                  <w:r>
                                    <w:rPr>
                                      <w:rFonts w:ascii="arial" w:hAnsi="arial"/>
                                      <w:sz w:val="16"/>
                                    </w:rPr>
                                    <w:t xml:space="preserve"> proven experience turning new ideas and technologies into assets that transform businesses</w:t>
                                  </w:r>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bottom w:val="single" w:sz="6" w:space="0" w:color="84827F"/>
                                  </w:tcBorders>
                                  <w:tcMar>
                                    <w:bottom w:w="60" w:type="dxa"/>
                                  </w:tcMar>
                                  <w:vAlign w:val="center"/>
                                </w:tcPr>
                                <w:p>
                                  <w:pPr>
                                    <w:pStyle w:val="TableContents"/>
                                    <w:bidi w:val="0"/>
                                    <w:spacing w:before="0" w:after="0"/>
                                    <w:jc w:val="left"/>
                                    <w:rPr>
                                      <w:rFonts w:ascii="arial" w:hAnsi="arial"/>
                                      <w:b/>
                                      <w:color w:val="00AE4F"/>
                                      <w:sz w:val="60"/>
                                    </w:rPr>
                                  </w:pPr>
                                  <w:r>
                                    <w:rPr>
                                      <w:rFonts w:ascii="arial" w:hAnsi="arial"/>
                                      <w:b/>
                                      <w:color w:val="00AE4F"/>
                                      <w:sz w:val="60"/>
                                    </w:rPr>
                                    <w:t>4</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9450" w:type="dxa"/>
                                  <w:tcBorders>
                                    <w:bottom w:val="single" w:sz="6" w:space="0" w:color="84827F"/>
                                  </w:tcBorders>
                                  <w:tcMar>
                                    <w:bottom w:w="60" w:type="dxa"/>
                                  </w:tcMar>
                                  <w:vAlign w:val="center"/>
                                </w:tcPr>
                                <w:p>
                                  <w:pPr>
                                    <w:pStyle w:val="TableContents"/>
                                    <w:bidi w:val="0"/>
                                    <w:spacing w:before="0" w:after="283"/>
                                    <w:jc w:val="left"/>
                                    <w:rPr/>
                                  </w:pPr>
                                  <w:r>
                                    <w:rPr>
                                      <w:b/>
                                      <w:color w:val="00AE4F"/>
                                    </w:rPr>
                                    <w:t>Industry</w:t>
                                  </w:r>
                                  <w:r>
                                    <w:rPr/>
                                    <w:t xml:space="preserve"> including experience in the staffing or business services industry, the Company’s specialty businesses, or experience in human capital management including talent/workforce solutions; organizational behavior and development; compensation and benefits</w:t>
                                  </w:r>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bottom w:val="single" w:sz="6" w:space="0" w:color="84827F"/>
                                  </w:tcBorders>
                                  <w:tcMar>
                                    <w:bottom w:w="60" w:type="dxa"/>
                                  </w:tcMar>
                                  <w:vAlign w:val="center"/>
                                </w:tcPr>
                                <w:p>
                                  <w:pPr>
                                    <w:pStyle w:val="TableContents"/>
                                    <w:bidi w:val="0"/>
                                    <w:spacing w:before="0" w:after="0"/>
                                    <w:jc w:val="left"/>
                                    <w:rPr>
                                      <w:rFonts w:ascii="arial" w:hAnsi="arial"/>
                                      <w:b/>
                                      <w:color w:val="00AE4F"/>
                                      <w:sz w:val="60"/>
                                    </w:rPr>
                                  </w:pPr>
                                  <w:r>
                                    <w:rPr>
                                      <w:rFonts w:ascii="arial" w:hAnsi="arial"/>
                                      <w:b/>
                                      <w:color w:val="00AE4F"/>
                                      <w:sz w:val="60"/>
                                    </w:rPr>
                                    <w:t>5</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9450" w:type="dxa"/>
                                  <w:tcBorders>
                                    <w:bottom w:val="single" w:sz="6" w:space="0" w:color="84827F"/>
                                  </w:tcBorders>
                                  <w:tcMar>
                                    <w:bottom w:w="60" w:type="dxa"/>
                                  </w:tcMar>
                                  <w:vAlign w:val="center"/>
                                </w:tcPr>
                                <w:p>
                                  <w:pPr>
                                    <w:pStyle w:val="TableContents"/>
                                    <w:bidi w:val="0"/>
                                    <w:spacing w:before="0" w:after="283"/>
                                    <w:jc w:val="left"/>
                                    <w:rPr/>
                                  </w:pPr>
                                  <w:r>
                                    <w:rPr>
                                      <w:b/>
                                      <w:color w:val="00AE4F"/>
                                    </w:rPr>
                                    <w:t>Technology, Digitization, and Cybersecurity</w:t>
                                  </w:r>
                                  <w:r>
                                    <w:rPr/>
                                    <w:t xml:space="preserve"> experience in the high-level planning and execution of business initiatives through the use of technology and digitization to build business efficiencies and competitive advantage</w:t>
                                  </w:r>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bottom w:val="single" w:sz="6" w:space="0" w:color="84827F"/>
                                  </w:tcBorders>
                                  <w:tcMar>
                                    <w:bottom w:w="60" w:type="dxa"/>
                                  </w:tcMar>
                                  <w:vAlign w:val="center"/>
                                </w:tcPr>
                                <w:p>
                                  <w:pPr>
                                    <w:pStyle w:val="TableContents"/>
                                    <w:bidi w:val="0"/>
                                    <w:spacing w:before="0" w:after="0"/>
                                    <w:jc w:val="left"/>
                                    <w:rPr>
                                      <w:rFonts w:ascii="arial" w:hAnsi="arial"/>
                                      <w:b/>
                                      <w:color w:val="00AE4F"/>
                                      <w:sz w:val="60"/>
                                    </w:rPr>
                                  </w:pPr>
                                  <w:r>
                                    <w:rPr>
                                      <w:rFonts w:ascii="arial" w:hAnsi="arial"/>
                                      <w:b/>
                                      <w:color w:val="00AE4F"/>
                                      <w:sz w:val="60"/>
                                    </w:rPr>
                                    <w:t>11</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9450" w:type="dxa"/>
                                  <w:tcBorders>
                                    <w:bottom w:val="single" w:sz="6" w:space="0" w:color="84827F"/>
                                  </w:tcBorders>
                                  <w:tcMar>
                                    <w:bottom w:w="60" w:type="dxa"/>
                                  </w:tcMar>
                                  <w:vAlign w:val="center"/>
                                </w:tcPr>
                                <w:p>
                                  <w:pPr>
                                    <w:pStyle w:val="TableContents"/>
                                    <w:bidi w:val="0"/>
                                    <w:spacing w:before="0" w:after="283"/>
                                    <w:jc w:val="left"/>
                                    <w:rPr/>
                                  </w:pPr>
                                  <w:r>
                                    <w:rPr>
                                      <w:b/>
                                      <w:color w:val="00AE4F"/>
                                    </w:rPr>
                                    <w:t>Financial Acumen</w:t>
                                  </w:r>
                                  <w:r>
                                    <w:rPr/>
                                    <w:t xml:space="preserve"> the ability to read and understand fundamental financial statements, including a company’s balance sheet, income statement, and cash flow statement</w:t>
                                  </w:r>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bottom w:val="single" w:sz="6" w:space="0" w:color="84827F"/>
                                  </w:tcBorders>
                                  <w:tcMar>
                                    <w:bottom w:w="60" w:type="dxa"/>
                                  </w:tcMar>
                                  <w:vAlign w:val="center"/>
                                </w:tcPr>
                                <w:p>
                                  <w:pPr>
                                    <w:pStyle w:val="TableContents"/>
                                    <w:bidi w:val="0"/>
                                    <w:spacing w:before="0" w:after="0"/>
                                    <w:jc w:val="left"/>
                                    <w:rPr>
                                      <w:rFonts w:ascii="arial" w:hAnsi="arial"/>
                                      <w:b/>
                                      <w:color w:val="00AE4F"/>
                                      <w:sz w:val="60"/>
                                    </w:rPr>
                                  </w:pPr>
                                  <w:r>
                                    <w:rPr>
                                      <w:rFonts w:ascii="arial" w:hAnsi="arial"/>
                                      <w:b/>
                                      <w:color w:val="00AE4F"/>
                                      <w:sz w:val="60"/>
                                    </w:rPr>
                                    <w:t>6</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9450" w:type="dxa"/>
                                  <w:tcBorders>
                                    <w:bottom w:val="single" w:sz="6" w:space="0" w:color="84827F"/>
                                  </w:tcBorders>
                                  <w:tcMar>
                                    <w:bottom w:w="60" w:type="dxa"/>
                                  </w:tcMar>
                                  <w:vAlign w:val="center"/>
                                </w:tcPr>
                                <w:p>
                                  <w:pPr>
                                    <w:pStyle w:val="TableContents"/>
                                    <w:bidi w:val="0"/>
                                    <w:spacing w:before="0" w:after="283"/>
                                    <w:jc w:val="left"/>
                                    <w:rPr/>
                                  </w:pPr>
                                  <w:r>
                                    <w:rPr>
                                      <w:b/>
                                      <w:color w:val="00AE4F"/>
                                    </w:rPr>
                                    <w:t>Financial Expert</w:t>
                                  </w:r>
                                  <w:r>
                                    <w:rPr/>
                                    <w:t xml:space="preserve"> including financial and/or accounting expertise, generally, and as necessary to fulfill the financial requirements of NASDAQ and the Securities and Exchange Commission (education and experience as CFO, finance/accounting executive, public accountant or auditor, or person performing similar functions)</w:t>
                                  </w:r>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bottom w:val="single" w:sz="6" w:space="0" w:color="84827F"/>
                                  </w:tcBorders>
                                  <w:tcMar>
                                    <w:bottom w:w="60" w:type="dxa"/>
                                  </w:tcMar>
                                  <w:vAlign w:val="center"/>
                                </w:tcPr>
                                <w:p>
                                  <w:pPr>
                                    <w:pStyle w:val="TableContents"/>
                                    <w:bidi w:val="0"/>
                                    <w:spacing w:before="0" w:after="0"/>
                                    <w:jc w:val="left"/>
                                    <w:rPr>
                                      <w:rFonts w:ascii="arial" w:hAnsi="arial"/>
                                      <w:b/>
                                      <w:color w:val="00AE4F"/>
                                      <w:sz w:val="60"/>
                                    </w:rPr>
                                  </w:pPr>
                                  <w:r>
                                    <w:rPr>
                                      <w:rFonts w:ascii="arial" w:hAnsi="arial"/>
                                      <w:b/>
                                      <w:color w:val="00AE4F"/>
                                      <w:sz w:val="60"/>
                                    </w:rPr>
                                    <w:t>8</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9450" w:type="dxa"/>
                                  <w:tcBorders>
                                    <w:bottom w:val="single" w:sz="6" w:space="0" w:color="84827F"/>
                                  </w:tcBorders>
                                  <w:tcMar>
                                    <w:bottom w:w="60" w:type="dxa"/>
                                  </w:tcMar>
                                  <w:vAlign w:val="center"/>
                                </w:tcPr>
                                <w:p>
                                  <w:pPr>
                                    <w:pStyle w:val="TableContents"/>
                                    <w:bidi w:val="0"/>
                                    <w:spacing w:before="0" w:after="283"/>
                                    <w:jc w:val="left"/>
                                    <w:rPr/>
                                  </w:pPr>
                                  <w:r>
                                    <w:rPr>
                                      <w:b/>
                                      <w:color w:val="00AE4F"/>
                                    </w:rPr>
                                    <w:t>Risk Management</w:t>
                                  </w:r>
                                  <w:r>
                                    <w:rPr/>
                                    <w:t xml:space="preserve"> experience identifying, evaluating, and managing corporate risk, ability to address and mitigate material risks</w:t>
                                  </w:r>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bottom w:val="single" w:sz="6" w:space="0" w:color="84827F"/>
                                  </w:tcBorders>
                                  <w:tcMar>
                                    <w:bottom w:w="60" w:type="dxa"/>
                                  </w:tcMar>
                                  <w:vAlign w:val="center"/>
                                </w:tcPr>
                                <w:p>
                                  <w:pPr>
                                    <w:pStyle w:val="TableContents"/>
                                    <w:bidi w:val="0"/>
                                    <w:spacing w:before="0" w:after="0"/>
                                    <w:jc w:val="left"/>
                                    <w:rPr>
                                      <w:rFonts w:ascii="arial" w:hAnsi="arial"/>
                                      <w:b/>
                                      <w:color w:val="00AE4F"/>
                                      <w:sz w:val="60"/>
                                    </w:rPr>
                                  </w:pPr>
                                  <w:r>
                                    <w:rPr>
                                      <w:rFonts w:ascii="arial" w:hAnsi="arial"/>
                                      <w:b/>
                                      <w:color w:val="00AE4F"/>
                                      <w:sz w:val="60"/>
                                    </w:rPr>
                                    <w:t>7</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9450" w:type="dxa"/>
                                  <w:tcBorders>
                                    <w:bottom w:val="single" w:sz="6" w:space="0" w:color="84827F"/>
                                  </w:tcBorders>
                                  <w:tcMar>
                                    <w:bottom w:w="60" w:type="dxa"/>
                                  </w:tcMar>
                                  <w:vAlign w:val="center"/>
                                </w:tcPr>
                                <w:p>
                                  <w:pPr>
                                    <w:pStyle w:val="TableContents"/>
                                    <w:bidi w:val="0"/>
                                    <w:spacing w:before="0" w:after="283"/>
                                    <w:jc w:val="left"/>
                                    <w:rPr/>
                                  </w:pPr>
                                  <w:r>
                                    <w:rPr>
                                      <w:b/>
                                      <w:color w:val="00AE4F"/>
                                    </w:rPr>
                                    <w:t>Legal or Corporate Governance</w:t>
                                  </w:r>
                                  <w:r>
                                    <w:rPr/>
                                    <w:t xml:space="preserve"> experience with legal issues impacting large organizations and governance and fiduciary matters that impact boards, such as service on public boards and board committees, or as legal or governance executives of other large public companies</w:t>
                                  </w:r>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bottom w:val="single" w:sz="6" w:space="0" w:color="84827F"/>
                                  </w:tcBorders>
                                  <w:tcMar>
                                    <w:bottom w:w="60" w:type="dxa"/>
                                  </w:tcMar>
                                  <w:vAlign w:val="center"/>
                                </w:tcPr>
                                <w:p>
                                  <w:pPr>
                                    <w:pStyle w:val="TableContents"/>
                                    <w:bidi w:val="0"/>
                                    <w:spacing w:before="0" w:after="0"/>
                                    <w:jc w:val="left"/>
                                    <w:rPr>
                                      <w:rFonts w:ascii="arial" w:hAnsi="arial"/>
                                      <w:b/>
                                      <w:color w:val="00AE4F"/>
                                      <w:sz w:val="60"/>
                                    </w:rPr>
                                  </w:pPr>
                                  <w:r>
                                    <w:rPr>
                                      <w:rFonts w:ascii="arial" w:hAnsi="arial"/>
                                      <w:b/>
                                      <w:color w:val="00AE4F"/>
                                      <w:sz w:val="60"/>
                                    </w:rPr>
                                    <w:t>4</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9450" w:type="dxa"/>
                                  <w:tcBorders>
                                    <w:bottom w:val="single" w:sz="6" w:space="0" w:color="84827F"/>
                                  </w:tcBorders>
                                  <w:tcMar>
                                    <w:bottom w:w="60" w:type="dxa"/>
                                  </w:tcMar>
                                  <w:vAlign w:val="center"/>
                                </w:tcPr>
                                <w:p>
                                  <w:pPr>
                                    <w:pStyle w:val="TableContents"/>
                                    <w:bidi w:val="0"/>
                                    <w:spacing w:before="0" w:after="283"/>
                                    <w:jc w:val="left"/>
                                    <w:rPr/>
                                  </w:pPr>
                                  <w:r>
                                    <w:rPr>
                                      <w:b/>
                                      <w:color w:val="00AE4F"/>
                                    </w:rPr>
                                    <w:t>Sustainability &amp; ESG</w:t>
                                  </w:r>
                                  <w:r>
                                    <w:rPr/>
                                    <w:t xml:space="preserve"> experience with the development and oversight of an effective corporate responsibility strategy and practices that include social, climate, and environmental initiatives</w:t>
                                  </w:r>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bottom w:val="single" w:sz="6" w:space="0" w:color="84827F"/>
                                  </w:tcBorders>
                                  <w:tcMar>
                                    <w:bottom w:w="60" w:type="dxa"/>
                                  </w:tcMar>
                                  <w:vAlign w:val="center"/>
                                </w:tcPr>
                                <w:p>
                                  <w:pPr>
                                    <w:pStyle w:val="TableContents"/>
                                    <w:bidi w:val="0"/>
                                    <w:spacing w:before="0" w:after="0"/>
                                    <w:jc w:val="left"/>
                                    <w:rPr>
                                      <w:rFonts w:ascii="arial" w:hAnsi="arial"/>
                                      <w:b/>
                                      <w:color w:val="00AE4F"/>
                                      <w:sz w:val="60"/>
                                    </w:rPr>
                                  </w:pPr>
                                  <w:r>
                                    <w:rPr>
                                      <w:rFonts w:ascii="arial" w:hAnsi="arial"/>
                                      <w:b/>
                                      <w:color w:val="00AE4F"/>
                                      <w:sz w:val="60"/>
                                    </w:rPr>
                                    <w:t>11</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9450" w:type="dxa"/>
                                  <w:tcBorders>
                                    <w:bottom w:val="single" w:sz="6" w:space="0" w:color="84827F"/>
                                  </w:tcBorders>
                                  <w:tcMar>
                                    <w:bottom w:w="60" w:type="dxa"/>
                                  </w:tcMar>
                                  <w:vAlign w:val="center"/>
                                </w:tcPr>
                                <w:p>
                                  <w:pPr>
                                    <w:pStyle w:val="TableContents"/>
                                    <w:bidi w:val="0"/>
                                    <w:spacing w:before="0" w:after="283"/>
                                    <w:jc w:val="left"/>
                                    <w:rPr/>
                                  </w:pPr>
                                  <w:r>
                                    <w:rPr>
                                      <w:b/>
                                      <w:color w:val="00AE4F"/>
                                    </w:rPr>
                                    <w:t>Mergers &amp; Acquisitions</w:t>
                                  </w:r>
                                  <w:r>
                                    <w:rPr/>
                                    <w:t xml:space="preserve"> experience implementing organic and inorganic strategies to promote growth, identifying acquisition and business combination targets, analyzing cultural and strategic fit, and oversight of successful integration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sz w:val="24"/>
                        </w:rPr>
                      </w:pPr>
                      <w:r>
                        <w:rPr>
                          <w:rFonts w:ascii="arial" w:hAnsi="arial"/>
                          <w:b/>
                          <w:sz w:val="24"/>
                        </w:rPr>
                        <w:t xml:space="preserve">Director Qualifications and Experience </w:t>
                      </w:r>
                    </w:p>
                    <w:p>
                      <w:pPr>
                        <w:pStyle w:val="TextBody"/>
                        <w:bidi w:val="0"/>
                        <w:spacing w:before="40" w:after="0"/>
                        <w:jc w:val="left"/>
                        <w:rPr>
                          <w:rFonts w:ascii="arial" w:hAnsi="arial"/>
                          <w:sz w:val="18"/>
                        </w:rPr>
                      </w:pPr>
                      <w:r>
                        <w:rPr>
                          <w:rFonts w:ascii="arial" w:hAnsi="arial"/>
                          <w:sz w:val="18"/>
                        </w:rPr>
                        <w:t xml:space="preserve">Out of 11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95"/>
                        <w:gridCol w:w="60"/>
                        <w:gridCol w:w="9450"/>
                      </w:tblGrid>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50" w:type="dxa"/>
                            <w:tcBorders/>
                            <w:vAlign w:val="center"/>
                          </w:tcPr>
                          <w:p>
                            <w:pPr>
                              <w:pStyle w:val="TableContents"/>
                              <w:bidi w:val="0"/>
                              <w:spacing w:before="0" w:after="283"/>
                              <w:jc w:val="left"/>
                              <w:rPr>
                                <w:sz w:val="4"/>
                                <w:szCs w:val="4"/>
                              </w:rPr>
                            </w:pPr>
                            <w:r>
                              <w:rPr>
                                <w:sz w:val="4"/>
                                <w:szCs w:val="4"/>
                              </w:rPr>
                            </w:r>
                          </w:p>
                        </w:tc>
                      </w:tr>
                      <w:tr>
                        <w:trPr/>
                        <w:tc>
                          <w:tcPr>
                            <w:tcW w:w="695" w:type="dxa"/>
                            <w:tcBorders>
                              <w:top w:val="single" w:sz="6" w:space="0" w:color="84827F"/>
                            </w:tcBorders>
                            <w:tcMar>
                              <w:top w:w="28" w:type="dxa"/>
                            </w:tcMar>
                            <w:vAlign w:val="center"/>
                          </w:tcPr>
                          <w:p>
                            <w:pPr>
                              <w:pStyle w:val="TableContents"/>
                              <w:bidi w:val="0"/>
                              <w:spacing w:before="0" w:after="283"/>
                              <w:jc w:val="left"/>
                              <w:rPr/>
                            </w:pPr>
                            <w:r>
                              <w:rPr/>
                              <w:t> </w:t>
                            </w:r>
                          </w:p>
                        </w:tc>
                        <w:tc>
                          <w:tcPr>
                            <w:tcW w:w="9510" w:type="dxa"/>
                            <w:gridSpan w:val="2"/>
                            <w:tcBorders>
                              <w:top w:val="single" w:sz="6" w:space="0" w:color="84827F"/>
                            </w:tcBorders>
                            <w:tcMar>
                              <w:top w:w="28" w:type="dxa"/>
                            </w:tcMar>
                            <w:vAlign w:val="center"/>
                          </w:tcPr>
                          <w:p>
                            <w:pPr>
                              <w:pStyle w:val="TableContents"/>
                              <w:bidi w:val="0"/>
                              <w:spacing w:before="0" w:after="283"/>
                              <w:jc w:val="left"/>
                              <w:rPr/>
                            </w:pPr>
                            <w:r>
                              <w:rPr/>
                              <w:t> </w:t>
                            </w:r>
                          </w:p>
                        </w:tc>
                      </w:tr>
                      <w:tr>
                        <w:trPr/>
                        <w:tc>
                          <w:tcPr>
                            <w:tcW w:w="695" w:type="dxa"/>
                            <w:tcBorders>
                              <w:bottom w:val="single" w:sz="6" w:space="0" w:color="84827F"/>
                            </w:tcBorders>
                            <w:tcMar>
                              <w:bottom w:w="60" w:type="dxa"/>
                            </w:tcMar>
                            <w:vAlign w:val="center"/>
                          </w:tcPr>
                          <w:p>
                            <w:pPr>
                              <w:pStyle w:val="TableContents"/>
                              <w:bidi w:val="0"/>
                              <w:spacing w:before="0" w:after="0"/>
                              <w:jc w:val="left"/>
                              <w:rPr>
                                <w:rFonts w:ascii="arial" w:hAnsi="arial"/>
                                <w:b/>
                                <w:color w:val="00AE4F"/>
                                <w:sz w:val="60"/>
                              </w:rPr>
                            </w:pPr>
                            <w:r>
                              <w:rPr>
                                <w:rFonts w:ascii="arial" w:hAnsi="arial"/>
                                <w:b/>
                                <w:color w:val="00AE4F"/>
                                <w:sz w:val="60"/>
                              </w:rPr>
                              <w:t>11</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9450" w:type="dxa"/>
                            <w:tcBorders>
                              <w:bottom w:val="single" w:sz="6" w:space="0" w:color="84827F"/>
                            </w:tcBorders>
                            <w:tcMar>
                              <w:bottom w:w="60" w:type="dxa"/>
                            </w:tcMar>
                            <w:vAlign w:val="center"/>
                          </w:tcPr>
                          <w:p>
                            <w:pPr>
                              <w:pStyle w:val="TableContents"/>
                              <w:bidi w:val="0"/>
                              <w:spacing w:before="0" w:after="283"/>
                              <w:jc w:val="left"/>
                              <w:rPr/>
                            </w:pPr>
                            <w:r>
                              <w:rPr>
                                <w:b/>
                                <w:color w:val="00AE4F"/>
                              </w:rPr>
                              <w:t>Executive Leadership</w:t>
                            </w:r>
                            <w:r>
                              <w:rPr/>
                              <w:t xml:space="preserve"> experience as a Chairman of the Board, Chief Executive Officer, Chief Operating Officer, or substantially equivalent level executive officer of a complex organization such as a corporation, university, or major unit of government or a professional who regularly advises such organizations</w:t>
                            </w:r>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bottom w:val="single" w:sz="6" w:space="0" w:color="84827F"/>
                            </w:tcBorders>
                            <w:tcMar>
                              <w:bottom w:w="60" w:type="dxa"/>
                            </w:tcMar>
                            <w:vAlign w:val="center"/>
                          </w:tcPr>
                          <w:p>
                            <w:pPr>
                              <w:pStyle w:val="TableContents"/>
                              <w:bidi w:val="0"/>
                              <w:spacing w:before="0" w:after="0"/>
                              <w:jc w:val="left"/>
                              <w:rPr>
                                <w:rFonts w:ascii="arial" w:hAnsi="arial"/>
                                <w:b/>
                                <w:color w:val="00AE4F"/>
                                <w:sz w:val="60"/>
                              </w:rPr>
                            </w:pPr>
                            <w:r>
                              <w:rPr>
                                <w:rFonts w:ascii="arial" w:hAnsi="arial"/>
                                <w:b/>
                                <w:color w:val="00AE4F"/>
                                <w:sz w:val="60"/>
                              </w:rPr>
                              <w:t>11</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9450" w:type="dxa"/>
                            <w:tcBorders>
                              <w:bottom w:val="single" w:sz="6" w:space="0" w:color="84827F"/>
                            </w:tcBorders>
                            <w:tcMar>
                              <w:bottom w:w="60" w:type="dxa"/>
                            </w:tcMar>
                            <w:vAlign w:val="center"/>
                          </w:tcPr>
                          <w:p>
                            <w:pPr>
                              <w:pStyle w:val="TableContents"/>
                              <w:bidi w:val="0"/>
                              <w:spacing w:before="0" w:after="283"/>
                              <w:jc w:val="left"/>
                              <w:rPr/>
                            </w:pPr>
                            <w:r>
                              <w:rPr>
                                <w:b/>
                                <w:color w:val="00AE4F"/>
                              </w:rPr>
                              <w:t>Transformations</w:t>
                            </w:r>
                            <w:r>
                              <w:rPr/>
                              <w:t xml:space="preserve"> successful leadership of large-scale transformations, including cultural evolutions, restructuring, and enhancing organizational design to improve effectiveness, and drive profitable growth</w:t>
                            </w:r>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bottom w:val="single" w:sz="6" w:space="0" w:color="84827F"/>
                            </w:tcBorders>
                            <w:tcMar>
                              <w:bottom w:w="60" w:type="dxa"/>
                            </w:tcMar>
                            <w:vAlign w:val="center"/>
                          </w:tcPr>
                          <w:p>
                            <w:pPr>
                              <w:pStyle w:val="TableContents"/>
                              <w:bidi w:val="0"/>
                              <w:spacing w:before="0" w:after="0"/>
                              <w:jc w:val="left"/>
                              <w:rPr>
                                <w:rFonts w:ascii="arial" w:hAnsi="arial"/>
                                <w:b/>
                                <w:color w:val="00AE4F"/>
                                <w:sz w:val="60"/>
                              </w:rPr>
                            </w:pPr>
                            <w:r>
                              <w:rPr>
                                <w:rFonts w:ascii="arial" w:hAnsi="arial"/>
                                <w:b/>
                                <w:color w:val="00AE4F"/>
                                <w:sz w:val="60"/>
                              </w:rPr>
                              <w:t>6</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9450" w:type="dxa"/>
                            <w:tcBorders>
                              <w:bottom w:val="single" w:sz="6" w:space="0" w:color="84827F"/>
                            </w:tcBorders>
                            <w:tcMar>
                              <w:bottom w:w="60" w:type="dxa"/>
                            </w:tcMar>
                            <w:vAlign w:val="center"/>
                          </w:tcPr>
                          <w:p>
                            <w:pPr>
                              <w:pStyle w:val="TableContents"/>
                              <w:bidi w:val="0"/>
                              <w:spacing w:before="0" w:after="20"/>
                              <w:jc w:val="left"/>
                              <w:rPr>
                                <w:rFonts w:ascii="arial" w:hAnsi="arial"/>
                                <w:sz w:val="16"/>
                              </w:rPr>
                            </w:pPr>
                            <w:r>
                              <w:rPr>
                                <w:rFonts w:ascii="arial" w:hAnsi="arial"/>
                                <w:b/>
                                <w:color w:val="00AE4F"/>
                                <w:sz w:val="16"/>
                              </w:rPr>
                              <w:t>Innovation</w:t>
                            </w:r>
                            <w:r>
                              <w:rPr>
                                <w:rFonts w:ascii="arial" w:hAnsi="arial"/>
                                <w:sz w:val="16"/>
                              </w:rPr>
                              <w:t xml:space="preserve"> proven experience turning new ideas and technologies into assets that transform businesses</w:t>
                            </w:r>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bottom w:val="single" w:sz="6" w:space="0" w:color="84827F"/>
                            </w:tcBorders>
                            <w:tcMar>
                              <w:bottom w:w="60" w:type="dxa"/>
                            </w:tcMar>
                            <w:vAlign w:val="center"/>
                          </w:tcPr>
                          <w:p>
                            <w:pPr>
                              <w:pStyle w:val="TableContents"/>
                              <w:bidi w:val="0"/>
                              <w:spacing w:before="0" w:after="0"/>
                              <w:jc w:val="left"/>
                              <w:rPr>
                                <w:rFonts w:ascii="arial" w:hAnsi="arial"/>
                                <w:b/>
                                <w:color w:val="00AE4F"/>
                                <w:sz w:val="60"/>
                              </w:rPr>
                            </w:pPr>
                            <w:r>
                              <w:rPr>
                                <w:rFonts w:ascii="arial" w:hAnsi="arial"/>
                                <w:b/>
                                <w:color w:val="00AE4F"/>
                                <w:sz w:val="60"/>
                              </w:rPr>
                              <w:t>4</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9450" w:type="dxa"/>
                            <w:tcBorders>
                              <w:bottom w:val="single" w:sz="6" w:space="0" w:color="84827F"/>
                            </w:tcBorders>
                            <w:tcMar>
                              <w:bottom w:w="60" w:type="dxa"/>
                            </w:tcMar>
                            <w:vAlign w:val="center"/>
                          </w:tcPr>
                          <w:p>
                            <w:pPr>
                              <w:pStyle w:val="TableContents"/>
                              <w:bidi w:val="0"/>
                              <w:spacing w:before="0" w:after="283"/>
                              <w:jc w:val="left"/>
                              <w:rPr/>
                            </w:pPr>
                            <w:r>
                              <w:rPr>
                                <w:b/>
                                <w:color w:val="00AE4F"/>
                              </w:rPr>
                              <w:t>Industry</w:t>
                            </w:r>
                            <w:r>
                              <w:rPr/>
                              <w:t xml:space="preserve"> including experience in the staffing or business services industry, the Company’s specialty businesses, or experience in human capital management including talent/workforce solutions; organizational behavior and development; compensation and benefits</w:t>
                            </w:r>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bottom w:val="single" w:sz="6" w:space="0" w:color="84827F"/>
                            </w:tcBorders>
                            <w:tcMar>
                              <w:bottom w:w="60" w:type="dxa"/>
                            </w:tcMar>
                            <w:vAlign w:val="center"/>
                          </w:tcPr>
                          <w:p>
                            <w:pPr>
                              <w:pStyle w:val="TableContents"/>
                              <w:bidi w:val="0"/>
                              <w:spacing w:before="0" w:after="0"/>
                              <w:jc w:val="left"/>
                              <w:rPr>
                                <w:rFonts w:ascii="arial" w:hAnsi="arial"/>
                                <w:b/>
                                <w:color w:val="00AE4F"/>
                                <w:sz w:val="60"/>
                              </w:rPr>
                            </w:pPr>
                            <w:r>
                              <w:rPr>
                                <w:rFonts w:ascii="arial" w:hAnsi="arial"/>
                                <w:b/>
                                <w:color w:val="00AE4F"/>
                                <w:sz w:val="60"/>
                              </w:rPr>
                              <w:t>5</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9450" w:type="dxa"/>
                            <w:tcBorders>
                              <w:bottom w:val="single" w:sz="6" w:space="0" w:color="84827F"/>
                            </w:tcBorders>
                            <w:tcMar>
                              <w:bottom w:w="60" w:type="dxa"/>
                            </w:tcMar>
                            <w:vAlign w:val="center"/>
                          </w:tcPr>
                          <w:p>
                            <w:pPr>
                              <w:pStyle w:val="TableContents"/>
                              <w:bidi w:val="0"/>
                              <w:spacing w:before="0" w:after="283"/>
                              <w:jc w:val="left"/>
                              <w:rPr/>
                            </w:pPr>
                            <w:r>
                              <w:rPr>
                                <w:b/>
                                <w:color w:val="00AE4F"/>
                              </w:rPr>
                              <w:t>Technology, Digitization, and Cybersecurity</w:t>
                            </w:r>
                            <w:r>
                              <w:rPr/>
                              <w:t xml:space="preserve"> experience in the high-level planning and execution of business initiatives through the use of technology and digitization to build business efficiencies and competitive advantage</w:t>
                            </w:r>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bottom w:val="single" w:sz="6" w:space="0" w:color="84827F"/>
                            </w:tcBorders>
                            <w:tcMar>
                              <w:bottom w:w="60" w:type="dxa"/>
                            </w:tcMar>
                            <w:vAlign w:val="center"/>
                          </w:tcPr>
                          <w:p>
                            <w:pPr>
                              <w:pStyle w:val="TableContents"/>
                              <w:bidi w:val="0"/>
                              <w:spacing w:before="0" w:after="0"/>
                              <w:jc w:val="left"/>
                              <w:rPr>
                                <w:rFonts w:ascii="arial" w:hAnsi="arial"/>
                                <w:b/>
                                <w:color w:val="00AE4F"/>
                                <w:sz w:val="60"/>
                              </w:rPr>
                            </w:pPr>
                            <w:r>
                              <w:rPr>
                                <w:rFonts w:ascii="arial" w:hAnsi="arial"/>
                                <w:b/>
                                <w:color w:val="00AE4F"/>
                                <w:sz w:val="60"/>
                              </w:rPr>
                              <w:t>11</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9450" w:type="dxa"/>
                            <w:tcBorders>
                              <w:bottom w:val="single" w:sz="6" w:space="0" w:color="84827F"/>
                            </w:tcBorders>
                            <w:tcMar>
                              <w:bottom w:w="60" w:type="dxa"/>
                            </w:tcMar>
                            <w:vAlign w:val="center"/>
                          </w:tcPr>
                          <w:p>
                            <w:pPr>
                              <w:pStyle w:val="TableContents"/>
                              <w:bidi w:val="0"/>
                              <w:spacing w:before="0" w:after="283"/>
                              <w:jc w:val="left"/>
                              <w:rPr/>
                            </w:pPr>
                            <w:r>
                              <w:rPr>
                                <w:b/>
                                <w:color w:val="00AE4F"/>
                              </w:rPr>
                              <w:t>Financial Acumen</w:t>
                            </w:r>
                            <w:r>
                              <w:rPr/>
                              <w:t xml:space="preserve"> the ability to read and understand fundamental financial statements, including a company’s balance sheet, income statement, and cash flow statement</w:t>
                            </w:r>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bottom w:val="single" w:sz="6" w:space="0" w:color="84827F"/>
                            </w:tcBorders>
                            <w:tcMar>
                              <w:bottom w:w="60" w:type="dxa"/>
                            </w:tcMar>
                            <w:vAlign w:val="center"/>
                          </w:tcPr>
                          <w:p>
                            <w:pPr>
                              <w:pStyle w:val="TableContents"/>
                              <w:bidi w:val="0"/>
                              <w:spacing w:before="0" w:after="0"/>
                              <w:jc w:val="left"/>
                              <w:rPr>
                                <w:rFonts w:ascii="arial" w:hAnsi="arial"/>
                                <w:b/>
                                <w:color w:val="00AE4F"/>
                                <w:sz w:val="60"/>
                              </w:rPr>
                            </w:pPr>
                            <w:r>
                              <w:rPr>
                                <w:rFonts w:ascii="arial" w:hAnsi="arial"/>
                                <w:b/>
                                <w:color w:val="00AE4F"/>
                                <w:sz w:val="60"/>
                              </w:rPr>
                              <w:t>6</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9450" w:type="dxa"/>
                            <w:tcBorders>
                              <w:bottom w:val="single" w:sz="6" w:space="0" w:color="84827F"/>
                            </w:tcBorders>
                            <w:tcMar>
                              <w:bottom w:w="60" w:type="dxa"/>
                            </w:tcMar>
                            <w:vAlign w:val="center"/>
                          </w:tcPr>
                          <w:p>
                            <w:pPr>
                              <w:pStyle w:val="TableContents"/>
                              <w:bidi w:val="0"/>
                              <w:spacing w:before="0" w:after="283"/>
                              <w:jc w:val="left"/>
                              <w:rPr/>
                            </w:pPr>
                            <w:r>
                              <w:rPr>
                                <w:b/>
                                <w:color w:val="00AE4F"/>
                              </w:rPr>
                              <w:t>Financial Expert</w:t>
                            </w:r>
                            <w:r>
                              <w:rPr/>
                              <w:t xml:space="preserve"> including financial and/or accounting expertise, generally, and as necessary to fulfill the financial requirements of NASDAQ and the Securities and Exchange Commission (education and experience as CFO, finance/accounting executive, public accountant or auditor, or person performing similar functions)</w:t>
                            </w:r>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bottom w:val="single" w:sz="6" w:space="0" w:color="84827F"/>
                            </w:tcBorders>
                            <w:tcMar>
                              <w:bottom w:w="60" w:type="dxa"/>
                            </w:tcMar>
                            <w:vAlign w:val="center"/>
                          </w:tcPr>
                          <w:p>
                            <w:pPr>
                              <w:pStyle w:val="TableContents"/>
                              <w:bidi w:val="0"/>
                              <w:spacing w:before="0" w:after="0"/>
                              <w:jc w:val="left"/>
                              <w:rPr>
                                <w:rFonts w:ascii="arial" w:hAnsi="arial"/>
                                <w:b/>
                                <w:color w:val="00AE4F"/>
                                <w:sz w:val="60"/>
                              </w:rPr>
                            </w:pPr>
                            <w:r>
                              <w:rPr>
                                <w:rFonts w:ascii="arial" w:hAnsi="arial"/>
                                <w:b/>
                                <w:color w:val="00AE4F"/>
                                <w:sz w:val="60"/>
                              </w:rPr>
                              <w:t>8</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9450" w:type="dxa"/>
                            <w:tcBorders>
                              <w:bottom w:val="single" w:sz="6" w:space="0" w:color="84827F"/>
                            </w:tcBorders>
                            <w:tcMar>
                              <w:bottom w:w="60" w:type="dxa"/>
                            </w:tcMar>
                            <w:vAlign w:val="center"/>
                          </w:tcPr>
                          <w:p>
                            <w:pPr>
                              <w:pStyle w:val="TableContents"/>
                              <w:bidi w:val="0"/>
                              <w:spacing w:before="0" w:after="283"/>
                              <w:jc w:val="left"/>
                              <w:rPr/>
                            </w:pPr>
                            <w:r>
                              <w:rPr>
                                <w:b/>
                                <w:color w:val="00AE4F"/>
                              </w:rPr>
                              <w:t>Risk Management</w:t>
                            </w:r>
                            <w:r>
                              <w:rPr/>
                              <w:t xml:space="preserve"> experience identifying, evaluating, and managing corporate risk, ability to address and mitigate material risks</w:t>
                            </w:r>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bottom w:val="single" w:sz="6" w:space="0" w:color="84827F"/>
                            </w:tcBorders>
                            <w:tcMar>
                              <w:bottom w:w="60" w:type="dxa"/>
                            </w:tcMar>
                            <w:vAlign w:val="center"/>
                          </w:tcPr>
                          <w:p>
                            <w:pPr>
                              <w:pStyle w:val="TableContents"/>
                              <w:bidi w:val="0"/>
                              <w:spacing w:before="0" w:after="0"/>
                              <w:jc w:val="left"/>
                              <w:rPr>
                                <w:rFonts w:ascii="arial" w:hAnsi="arial"/>
                                <w:b/>
                                <w:color w:val="00AE4F"/>
                                <w:sz w:val="60"/>
                              </w:rPr>
                            </w:pPr>
                            <w:r>
                              <w:rPr>
                                <w:rFonts w:ascii="arial" w:hAnsi="arial"/>
                                <w:b/>
                                <w:color w:val="00AE4F"/>
                                <w:sz w:val="60"/>
                              </w:rPr>
                              <w:t>7</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9450" w:type="dxa"/>
                            <w:tcBorders>
                              <w:bottom w:val="single" w:sz="6" w:space="0" w:color="84827F"/>
                            </w:tcBorders>
                            <w:tcMar>
                              <w:bottom w:w="60" w:type="dxa"/>
                            </w:tcMar>
                            <w:vAlign w:val="center"/>
                          </w:tcPr>
                          <w:p>
                            <w:pPr>
                              <w:pStyle w:val="TableContents"/>
                              <w:bidi w:val="0"/>
                              <w:spacing w:before="0" w:after="283"/>
                              <w:jc w:val="left"/>
                              <w:rPr/>
                            </w:pPr>
                            <w:r>
                              <w:rPr>
                                <w:b/>
                                <w:color w:val="00AE4F"/>
                              </w:rPr>
                              <w:t>Legal or Corporate Governance</w:t>
                            </w:r>
                            <w:r>
                              <w:rPr/>
                              <w:t xml:space="preserve"> experience with legal issues impacting large organizations and governance and fiduciary matters that impact boards, such as service on public boards and board committees, or as legal or governance executives of other large public companies</w:t>
                            </w:r>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bottom w:val="single" w:sz="6" w:space="0" w:color="84827F"/>
                            </w:tcBorders>
                            <w:tcMar>
                              <w:bottom w:w="60" w:type="dxa"/>
                            </w:tcMar>
                            <w:vAlign w:val="center"/>
                          </w:tcPr>
                          <w:p>
                            <w:pPr>
                              <w:pStyle w:val="TableContents"/>
                              <w:bidi w:val="0"/>
                              <w:spacing w:before="0" w:after="0"/>
                              <w:jc w:val="left"/>
                              <w:rPr>
                                <w:rFonts w:ascii="arial" w:hAnsi="arial"/>
                                <w:b/>
                                <w:color w:val="00AE4F"/>
                                <w:sz w:val="60"/>
                              </w:rPr>
                            </w:pPr>
                            <w:r>
                              <w:rPr>
                                <w:rFonts w:ascii="arial" w:hAnsi="arial"/>
                                <w:b/>
                                <w:color w:val="00AE4F"/>
                                <w:sz w:val="60"/>
                              </w:rPr>
                              <w:t>4</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9450" w:type="dxa"/>
                            <w:tcBorders>
                              <w:bottom w:val="single" w:sz="6" w:space="0" w:color="84827F"/>
                            </w:tcBorders>
                            <w:tcMar>
                              <w:bottom w:w="60" w:type="dxa"/>
                            </w:tcMar>
                            <w:vAlign w:val="center"/>
                          </w:tcPr>
                          <w:p>
                            <w:pPr>
                              <w:pStyle w:val="TableContents"/>
                              <w:bidi w:val="0"/>
                              <w:spacing w:before="0" w:after="283"/>
                              <w:jc w:val="left"/>
                              <w:rPr/>
                            </w:pPr>
                            <w:r>
                              <w:rPr>
                                <w:b/>
                                <w:color w:val="00AE4F"/>
                              </w:rPr>
                              <w:t>Sustainability &amp; ESG</w:t>
                            </w:r>
                            <w:r>
                              <w:rPr/>
                              <w:t xml:space="preserve"> experience with the development and oversight of an effective corporate responsibility strategy and practices that include social, climate, and environmental initiatives</w:t>
                            </w:r>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bottom w:val="single" w:sz="6" w:space="0" w:color="84827F"/>
                            </w:tcBorders>
                            <w:tcMar>
                              <w:bottom w:w="60" w:type="dxa"/>
                            </w:tcMar>
                            <w:vAlign w:val="center"/>
                          </w:tcPr>
                          <w:p>
                            <w:pPr>
                              <w:pStyle w:val="TableContents"/>
                              <w:bidi w:val="0"/>
                              <w:spacing w:before="0" w:after="0"/>
                              <w:jc w:val="left"/>
                              <w:rPr>
                                <w:rFonts w:ascii="arial" w:hAnsi="arial"/>
                                <w:b/>
                                <w:color w:val="00AE4F"/>
                                <w:sz w:val="60"/>
                              </w:rPr>
                            </w:pPr>
                            <w:r>
                              <w:rPr>
                                <w:rFonts w:ascii="arial" w:hAnsi="arial"/>
                                <w:b/>
                                <w:color w:val="00AE4F"/>
                                <w:sz w:val="60"/>
                              </w:rPr>
                              <w:t>11</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9450" w:type="dxa"/>
                            <w:tcBorders>
                              <w:bottom w:val="single" w:sz="6" w:space="0" w:color="84827F"/>
                            </w:tcBorders>
                            <w:tcMar>
                              <w:bottom w:w="60" w:type="dxa"/>
                            </w:tcMar>
                            <w:vAlign w:val="center"/>
                          </w:tcPr>
                          <w:p>
                            <w:pPr>
                              <w:pStyle w:val="TableContents"/>
                              <w:bidi w:val="0"/>
                              <w:spacing w:before="0" w:after="283"/>
                              <w:jc w:val="left"/>
                              <w:rPr/>
                            </w:pPr>
                            <w:r>
                              <w:rPr>
                                <w:b/>
                                <w:color w:val="00AE4F"/>
                              </w:rPr>
                              <w:t>Mergers &amp; Acquisitions</w:t>
                            </w:r>
                            <w:r>
                              <w:rPr/>
                              <w:t xml:space="preserve"> experience implementing organic and inorganic strategies to promote growth, identifying acquisition and business combination targets, analyzing cultural and strategic fit, and oversight of successful integration</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2209800"/>
            <wp:effectExtent l="0" t="0" r="0" b="0"/>
            <wp:docPr id="9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8" descr=""/>
                    <pic:cNvPicPr>
                      <a:picLocks noChangeAspect="1" noChangeArrowheads="1"/>
                    </pic:cNvPicPr>
                  </pic:nvPicPr>
                  <pic:blipFill>
                    <a:blip r:embed="rId85"/>
                    <a:stretch>
                      <a:fillRect/>
                    </a:stretch>
                  </pic:blipFill>
                  <pic:spPr bwMode="auto">
                    <a:xfrm>
                      <a:off x="0" y="0"/>
                      <a:ext cx="7810500" cy="2209800"/>
                    </a:xfrm>
                    <a:prstGeom prst="rect">
                      <a:avLst/>
                    </a:prstGeom>
                  </pic:spPr>
                </pic:pic>
              </a:graphicData>
            </a:graphic>
          </wp:inline>
        </w:drawing>
      </w:r>
      <w:r>
        <w:rPr/>
        <w:t xml:space="preserve"> </w:t>
      </w:r>
    </w:p>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16 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9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9" descr=""/>
                          <pic:cNvPicPr>
                            <a:picLocks noChangeAspect="1" noChangeArrowheads="1"/>
                          </pic:cNvPicPr>
                        </pic:nvPicPr>
                        <pic:blipFill>
                          <a:blip r:embed="rId86"/>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Proposal 1: Election of Directors </w:t>
      </w:r>
    </w:p>
    <w:p>
      <w:pPr>
        <w:pStyle w:val="TextBody"/>
        <w:bidi w:val="0"/>
        <w:spacing w:before="0" w:after="0"/>
        <w:jc w:val="left"/>
        <w:rPr/>
      </w:pPr>
      <w:r>
        <w:rPr/>
        <w:t> </w:t>
      </w:r>
    </w:p>
    <w:p>
      <w:pPr>
        <w:pStyle w:val="TextBody"/>
        <w:bidi w:val="0"/>
        <w:spacing w:before="0" w:after="0"/>
        <w:jc w:val="left"/>
        <w:rPr>
          <w:rFonts w:ascii="arial" w:hAnsi="arial"/>
          <w:b/>
          <w:sz w:val="24"/>
        </w:rPr>
      </w:pPr>
      <w:bookmarkStart w:id="17" w:name="toc37355_15"/>
      <w:bookmarkEnd w:id="17"/>
      <w:r>
        <w:rPr>
          <w:rFonts w:ascii="arial" w:hAnsi="arial"/>
          <w:b/>
          <w:sz w:val="24"/>
        </w:rPr>
        <w:t xml:space="preserve">Biographical Information About Director Nominees </w:t>
      </w:r>
    </w:p>
    <w:p>
      <w:pPr>
        <w:pStyle w:val="TextBody"/>
        <w:bidi w:val="0"/>
        <w:spacing w:before="0" w:after="0"/>
        <w:jc w:val="left"/>
        <w:rPr/>
      </w:pPr>
      <w:r>
        <w:rPr/>
        <w:t> </w:t>
      </w:r>
    </w:p>
    <w:tbl>
      <w:tblPr>
        <w:tblW w:w="12105" w:type="dxa"/>
        <w:jc w:val="left"/>
        <w:tblInd w:w="0" w:type="dxa"/>
        <w:tblLayout w:type="fixed"/>
        <w:tblCellMar>
          <w:top w:w="0" w:type="dxa"/>
          <w:left w:w="0" w:type="dxa"/>
          <w:bottom w:w="0" w:type="dxa"/>
          <w:right w:w="0" w:type="dxa"/>
        </w:tblCellMar>
      </w:tblPr>
      <w:tblGrid>
        <w:gridCol w:w="2895"/>
        <w:gridCol w:w="120"/>
        <w:gridCol w:w="9090"/>
      </w:tblGrid>
      <w:tr>
        <w:trPr/>
        <w:tc>
          <w:tcPr>
            <w:tcW w:w="2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90" w:type="dxa"/>
            <w:tcBorders/>
            <w:vAlign w:val="center"/>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jc w:val="left"/>
              <w:rPr/>
            </w:pPr>
            <w:r>
              <w:rPr/>
              <w:drawing>
                <wp:inline distT="0" distB="0" distL="0" distR="0">
                  <wp:extent cx="1828800" cy="1828800"/>
                  <wp:effectExtent l="0" t="0" r="0" b="0"/>
                  <wp:docPr id="96"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0" descr=""/>
                          <pic:cNvPicPr>
                            <a:picLocks noChangeAspect="1" noChangeArrowheads="1"/>
                          </pic:cNvPicPr>
                        </pic:nvPicPr>
                        <pic:blipFill>
                          <a:blip r:embed="rId87"/>
                          <a:stretch>
                            <a:fillRect/>
                          </a:stretch>
                        </pic:blipFill>
                        <pic:spPr bwMode="auto">
                          <a:xfrm>
                            <a:off x="0" y="0"/>
                            <a:ext cx="1828800" cy="182880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9090" w:type="dxa"/>
            <w:vMerge w:val="restart"/>
            <w:tcBorders/>
            <w:vAlign w:val="center"/>
          </w:tcPr>
          <w:p>
            <w:pPr>
              <w:pStyle w:val="TableContents"/>
              <w:bidi w:val="0"/>
              <w:spacing w:before="0" w:after="0"/>
              <w:jc w:val="left"/>
              <w:rPr/>
            </w:pPr>
            <w:r>
              <w:rPr/>
              <w:drawing>
                <wp:inline distT="0" distB="0" distL="0" distR="0">
                  <wp:extent cx="5762625" cy="800100"/>
                  <wp:effectExtent l="0" t="0" r="0" b="0"/>
                  <wp:docPr id="9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1" descr=""/>
                          <pic:cNvPicPr>
                            <a:picLocks noChangeAspect="1" noChangeArrowheads="1"/>
                          </pic:cNvPicPr>
                        </pic:nvPicPr>
                        <pic:blipFill>
                          <a:blip r:embed="rId88"/>
                          <a:stretch>
                            <a:fillRect/>
                          </a:stretch>
                        </pic:blipFill>
                        <pic:spPr bwMode="auto">
                          <a:xfrm>
                            <a:off x="0" y="0"/>
                            <a:ext cx="5762625" cy="800100"/>
                          </a:xfrm>
                          <a:prstGeom prst="rect">
                            <a:avLst/>
                          </a:prstGeom>
                        </pic:spPr>
                      </pic:pic>
                    </a:graphicData>
                  </a:graphic>
                </wp:inline>
              </w:drawing>
            </w:r>
            <w:r>
              <w:rPr/>
              <w:t xml:space="preserve"> </w:t>
            </w:r>
          </w:p>
          <w:p>
            <w:pPr>
              <w:pStyle w:val="TableContents"/>
              <w:bidi w:val="0"/>
              <w:spacing w:lineRule="atLeast" w:line="360" w:before="0" w:after="0"/>
              <w:jc w:val="left"/>
              <w:rPr>
                <w:rFonts w:ascii="arial" w:hAnsi="arial"/>
                <w:b/>
                <w:sz w:val="18"/>
              </w:rPr>
            </w:pPr>
            <w:r>
              <w:rPr>
                <w:rFonts w:ascii="arial" w:hAnsi="arial"/>
                <w:b/>
                <w:sz w:val="18"/>
              </w:rPr>
              <w:t>Board Committees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 xml:space="preserve">Corporate Governance and Nominating (Chair)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Compensation and Talent Management</w:t>
            </w:r>
          </w:p>
          <w:p>
            <w:pPr>
              <w:pStyle w:val="TableContents"/>
              <w:bidi w:val="0"/>
              <w:spacing w:before="0" w:after="0"/>
              <w:jc w:val="left"/>
              <w:rPr/>
            </w:pPr>
            <w:r>
              <w:rPr/>
              <w:t> </w:t>
            </w:r>
          </w:p>
          <w:p>
            <w:pPr>
              <w:pStyle w:val="TableContents"/>
              <w:bidi w:val="0"/>
              <w:spacing w:lineRule="atLeast" w:line="360" w:before="0" w:after="0"/>
              <w:jc w:val="left"/>
              <w:rPr>
                <w:rFonts w:ascii="arial" w:hAnsi="arial"/>
                <w:b/>
                <w:sz w:val="18"/>
              </w:rPr>
            </w:pPr>
            <w:r>
              <w:rPr>
                <w:rFonts w:ascii="arial" w:hAnsi="arial"/>
                <w:b/>
                <w:sz w:val="18"/>
              </w:rPr>
              <w:t>Principal Occupation and Directorships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Chief Executive Officer, Hunt Companies, Inc. (2015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President, Chief Operating Officer, Hunt Companies (2013 – 2015)</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Executive, Hunt Development Group (1993 – 2013)</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Hunt Companies (2001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Amber Infrastructure Group (2015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Envolve (formerly LEDIC Realty Company) (2015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Lument Finance Trust (2018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Moss &amp; Associates (2014 – present)</w:t>
            </w:r>
          </w:p>
          <w:p>
            <w:pPr>
              <w:pStyle w:val="TableContents"/>
              <w:bidi w:val="0"/>
              <w:spacing w:before="0" w:after="0"/>
              <w:jc w:val="left"/>
              <w:rPr/>
            </w:pPr>
            <w:r>
              <w:rPr/>
              <w:t> </w:t>
            </w:r>
          </w:p>
          <w:p>
            <w:pPr>
              <w:pStyle w:val="TableContents"/>
              <w:bidi w:val="0"/>
              <w:spacing w:lineRule="atLeast" w:line="360" w:before="0" w:after="0"/>
              <w:jc w:val="left"/>
              <w:rPr>
                <w:rFonts w:ascii="arial" w:hAnsi="arial"/>
                <w:b/>
                <w:sz w:val="18"/>
              </w:rPr>
            </w:pPr>
            <w:r>
              <w:rPr>
                <w:rFonts w:ascii="arial" w:hAnsi="arial"/>
                <w:b/>
                <w:sz w:val="18"/>
              </w:rPr>
              <w:t>Education</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University of Texas at Austin, BS in economics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University of Texas at Austin, MBA in Finance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On January 30, 2026, Mr. Hunt was appointed Chairman of the Board at Kelly Services, Inc. He has served as Chief Executive Officer of Hunt Companies, Inc. since 2015 and is an active member of its Board of Directors and a member of the firm’s executive investment committees. In addition to his role at Hunt Companies, Mr. Hunt serves on the boards of several affiliated entities, including Amber Infrastructure Group, Envolve (formerly LEDIC Realty Company), Hunt Companies Finance Trust (formerly Five Oaks), and Moss &amp; Associates. Mr. Hunt began his career at Hunt Companies in 1993 and has held a variety of leadership positions throughout his tenure. Before he was appointed CEO, he served successively as President, Chief Operating Officer, and then CEO of Hunt Development Group. His executive leadership and business perspective further strengthen the Kelly board.</w:t>
            </w:r>
          </w:p>
        </w:tc>
      </w:tr>
      <w:tr>
        <w:trPr/>
        <w:tc>
          <w:tcPr>
            <w:tcW w:w="2895" w:type="dxa"/>
            <w:tcBorders>
              <w:bottom w:val="single" w:sz="6" w:space="0" w:color="00AE4F"/>
            </w:tcBorders>
            <w:tcMar>
              <w:bottom w:w="28" w:type="dxa"/>
            </w:tcMar>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top w:val="single" w:sz="6" w:space="0" w:color="00AE4F"/>
              <w:left w:val="single" w:sz="6" w:space="0" w:color="00AE4F"/>
              <w:bottom w:val="single" w:sz="6" w:space="0" w:color="00AE4F"/>
              <w:right w:val="single" w:sz="6" w:space="0" w:color="00AE4F"/>
            </w:tcBorders>
            <w:tcMar>
              <w:top w:w="28" w:type="dxa"/>
              <w:left w:w="160" w:type="dxa"/>
              <w:bottom w:w="60" w:type="dxa"/>
              <w:right w:w="28" w:type="dxa"/>
            </w:tcMar>
            <w:vAlign w:val="center"/>
          </w:tcPr>
          <w:p>
            <w:pPr>
              <w:pStyle w:val="TableContents"/>
              <w:bidi w:val="0"/>
              <w:spacing w:lineRule="atLeast" w:line="360" w:before="0" w:after="0"/>
              <w:jc w:val="left"/>
              <w:rPr>
                <w:rFonts w:ascii="arial" w:hAnsi="arial"/>
                <w:b/>
                <w:sz w:val="18"/>
              </w:rPr>
            </w:pPr>
            <w:r>
              <w:rPr>
                <w:rFonts w:ascii="arial" w:hAnsi="arial"/>
                <w:b/>
                <w:sz w:val="18"/>
              </w:rPr>
              <w:t>Specific Experience and Skills</w:t>
            </w:r>
          </w:p>
          <w:p>
            <w:pPr>
              <w:pStyle w:val="TableContents"/>
              <w:bidi w:val="0"/>
              <w:jc w:val="left"/>
              <w:rPr/>
            </w:pPr>
            <w:r>
              <w:rPr/>
            </w:r>
          </w:p>
          <w:p>
            <w:pPr>
              <w:pStyle w:val="TableContents"/>
              <w:bidi w:val="0"/>
              <w:spacing w:before="0" w:after="0"/>
              <w:jc w:val="left"/>
              <w:rPr/>
            </w:pPr>
            <w:r>
              <w:rPr>
                <w:color w:val="00AE4F"/>
              </w:rPr>
              <w:t>●</w:t>
            </w:r>
            <w:r>
              <w:rPr/>
              <w:t> </w:t>
            </w:r>
            <w:r>
              <w:rPr>
                <w:rFonts w:ascii="arial" w:hAnsi="arial"/>
                <w:sz w:val="18"/>
              </w:rPr>
              <w:t>Executive Leadership</w:t>
            </w:r>
          </w:p>
          <w:p>
            <w:pPr>
              <w:pStyle w:val="TableContents"/>
              <w:bidi w:val="0"/>
              <w:spacing w:before="0" w:after="0"/>
              <w:jc w:val="left"/>
              <w:rPr/>
            </w:pPr>
            <w:r>
              <w:rPr>
                <w:color w:val="00AE4F"/>
              </w:rPr>
              <w:t>●</w:t>
            </w:r>
            <w:r>
              <w:rPr/>
              <w:t> </w:t>
            </w:r>
            <w:r>
              <w:rPr>
                <w:rFonts w:ascii="arial" w:hAnsi="arial"/>
                <w:sz w:val="18"/>
              </w:rPr>
              <w:t>Transformations</w:t>
            </w:r>
          </w:p>
          <w:p>
            <w:pPr>
              <w:pStyle w:val="TableContents"/>
              <w:bidi w:val="0"/>
              <w:spacing w:before="0" w:after="0"/>
              <w:jc w:val="left"/>
              <w:rPr/>
            </w:pPr>
            <w:r>
              <w:rPr>
                <w:color w:val="00AE4F"/>
              </w:rPr>
              <w:t>●</w:t>
            </w:r>
            <w:r>
              <w:rPr/>
              <w:t> </w:t>
            </w:r>
            <w:r>
              <w:rPr>
                <w:rFonts w:ascii="arial" w:hAnsi="arial"/>
                <w:sz w:val="18"/>
              </w:rPr>
              <w:t>Financial Acumen</w:t>
            </w:r>
          </w:p>
          <w:p>
            <w:pPr>
              <w:pStyle w:val="TableContents"/>
              <w:bidi w:val="0"/>
              <w:spacing w:before="0" w:after="0"/>
              <w:jc w:val="left"/>
              <w:rPr/>
            </w:pPr>
            <w:r>
              <w:rPr>
                <w:color w:val="00AE4F"/>
              </w:rPr>
              <w:t>●</w:t>
            </w:r>
            <w:r>
              <w:rPr/>
              <w:t> </w:t>
            </w:r>
            <w:r>
              <w:rPr>
                <w:rFonts w:ascii="arial" w:hAnsi="arial"/>
                <w:sz w:val="18"/>
              </w:rPr>
              <w:t>Innovation</w:t>
            </w:r>
          </w:p>
          <w:p>
            <w:pPr>
              <w:pStyle w:val="TableContents"/>
              <w:bidi w:val="0"/>
              <w:spacing w:before="0" w:after="20"/>
              <w:jc w:val="left"/>
              <w:rPr/>
            </w:pPr>
            <w:r>
              <w:rPr>
                <w:color w:val="00AE4F"/>
              </w:rPr>
              <w:t>●</w:t>
            </w:r>
            <w:r>
              <w:rPr/>
              <w:t> </w:t>
            </w:r>
            <w:r>
              <w:rPr>
                <w:rFonts w:ascii="arial" w:hAnsi="arial"/>
                <w:sz w:val="18"/>
              </w:rPr>
              <w:t>Mergers &amp; Acquisitions</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98"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2" descr=""/>
                          <pic:cNvPicPr>
                            <a:picLocks noChangeAspect="1" noChangeArrowheads="1"/>
                          </pic:cNvPicPr>
                        </pic:nvPicPr>
                        <pic:blipFill>
                          <a:blip r:embed="rId89"/>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Proposal 1: Election of Directors </w:t>
      </w:r>
    </w:p>
    <w:p>
      <w:pPr>
        <w:pStyle w:val="TextBody"/>
        <w:bidi w:val="0"/>
        <w:spacing w:before="0" w:after="0"/>
        <w:jc w:val="left"/>
        <w:rPr/>
      </w:pPr>
      <w:r>
        <w:rPr/>
        <w:t> </w:t>
      </w:r>
    </w:p>
    <w:tbl>
      <w:tblPr>
        <w:tblW w:w="12128" w:type="dxa"/>
        <w:jc w:val="left"/>
        <w:tblInd w:w="0" w:type="dxa"/>
        <w:tblLayout w:type="fixed"/>
        <w:tblCellMar>
          <w:top w:w="0" w:type="dxa"/>
          <w:left w:w="0" w:type="dxa"/>
          <w:bottom w:w="0" w:type="dxa"/>
          <w:right w:w="0" w:type="dxa"/>
        </w:tblCellMar>
      </w:tblPr>
      <w:tblGrid>
        <w:gridCol w:w="2895"/>
        <w:gridCol w:w="120"/>
        <w:gridCol w:w="9075"/>
        <w:gridCol w:w="38"/>
      </w:tblGrid>
      <w:tr>
        <w:trPr/>
        <w:tc>
          <w:tcPr>
            <w:tcW w:w="2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75"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left"/>
              <w:rPr/>
            </w:pPr>
            <w:r>
              <w:rPr/>
              <w:drawing>
                <wp:inline distT="0" distB="0" distL="0" distR="0">
                  <wp:extent cx="1828800" cy="1828800"/>
                  <wp:effectExtent l="0" t="0" r="0" b="0"/>
                  <wp:docPr id="99"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3" descr=""/>
                          <pic:cNvPicPr>
                            <a:picLocks noChangeAspect="1" noChangeArrowheads="1"/>
                          </pic:cNvPicPr>
                        </pic:nvPicPr>
                        <pic:blipFill>
                          <a:blip r:embed="rId90"/>
                          <a:stretch>
                            <a:fillRect/>
                          </a:stretch>
                        </pic:blipFill>
                        <pic:spPr bwMode="auto">
                          <a:xfrm>
                            <a:off x="0" y="0"/>
                            <a:ext cx="1828800" cy="1828800"/>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9075" w:type="dxa"/>
            <w:vMerge w:val="restart"/>
            <w:tcBorders/>
            <w:vAlign w:val="center"/>
          </w:tcPr>
          <w:p>
            <w:pPr>
              <w:pStyle w:val="TableContents"/>
              <w:bidi w:val="0"/>
              <w:spacing w:before="0" w:after="0"/>
              <w:jc w:val="left"/>
              <w:rPr/>
            </w:pPr>
            <w:r>
              <w:rPr/>
              <w:drawing>
                <wp:inline distT="0" distB="0" distL="0" distR="0">
                  <wp:extent cx="5762625" cy="800100"/>
                  <wp:effectExtent l="0" t="0" r="0" b="0"/>
                  <wp:docPr id="100"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4" descr=""/>
                          <pic:cNvPicPr>
                            <a:picLocks noChangeAspect="1" noChangeArrowheads="1"/>
                          </pic:cNvPicPr>
                        </pic:nvPicPr>
                        <pic:blipFill>
                          <a:blip r:embed="rId91"/>
                          <a:stretch>
                            <a:fillRect/>
                          </a:stretch>
                        </pic:blipFill>
                        <pic:spPr bwMode="auto">
                          <a:xfrm>
                            <a:off x="0" y="0"/>
                            <a:ext cx="5762625" cy="800100"/>
                          </a:xfrm>
                          <a:prstGeom prst="rect">
                            <a:avLst/>
                          </a:prstGeom>
                        </pic:spPr>
                      </pic:pic>
                    </a:graphicData>
                  </a:graphic>
                </wp:inline>
              </w:drawing>
            </w:r>
            <w:r>
              <w:rPr/>
              <w:t xml:space="preserve"> </w:t>
            </w:r>
          </w:p>
          <w:p>
            <w:pPr>
              <w:pStyle w:val="TableContents"/>
              <w:bidi w:val="0"/>
              <w:spacing w:lineRule="atLeast" w:line="360" w:before="0" w:after="0"/>
              <w:jc w:val="left"/>
              <w:rPr>
                <w:rFonts w:ascii="arial" w:hAnsi="arial"/>
                <w:b/>
                <w:sz w:val="18"/>
              </w:rPr>
            </w:pPr>
            <w:r>
              <w:rPr>
                <w:rFonts w:ascii="arial" w:hAnsi="arial"/>
                <w:b/>
                <w:sz w:val="18"/>
              </w:rPr>
              <w:t>Board Committees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None</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Principal Occupation and Directorships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President and Chief Executive Officer, Kelly Services, Inc. (2025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Chief Operating Officer, Prolink (2023 – 2025)</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Vice President, General Manager, Global Industry Leader ManpowerGroup (2004 – 2023)</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Education</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Boston College, BA, Philosophy</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Mr. Layden was appointed President and Chief Executive Officer of Kelly Services, Inc. in September 2025. A dynamic leader with over 20 years of industry experience, he has a proven record of transforming businesses and driving profitable growth through effective go-to-market strategies. Prior to Kelly, Mr. Layden served as COO at Prolink, a workforce solutions provider specializing in healthcare, technology, and skilled labor. He also spent nearly two decades at ManpowerGroup in various senior leadership roles encompassing general management, regional leadership, corporate strategy, and sales. Mr. Layden is a member of The Aspen Institute’s 2026 Class of Henry Crown Fellows and serves on the Board of Directors for the American Staffing Association, Business Leaders for Michigan, and the Detroit Economic Club. He brings proven leadership, industry expertise, and business acumen to the Kelly board.</w:t>
            </w:r>
          </w:p>
        </w:tc>
        <w:tc>
          <w:tcPr>
            <w:tcW w:w="38" w:type="dxa"/>
            <w:tcBorders/>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75" w:type="dxa"/>
            <w:vMerge w:val="continue"/>
            <w:tcBorders/>
            <w:vAlign w:val="center"/>
          </w:tcPr>
          <w:p>
            <w:pPr>
              <w:pStyle w:val="Normal"/>
              <w:bidi w:val="0"/>
              <w:jc w:val="left"/>
              <w:rPr/>
            </w:pPr>
            <w:r>
              <w:rPr/>
            </w:r>
          </w:p>
        </w:tc>
        <w:tc>
          <w:tcPr>
            <w:tcW w:w="38" w:type="dxa"/>
            <w:tcBorders/>
          </w:tcPr>
          <w:p>
            <w:pPr>
              <w:pStyle w:val="TableContents"/>
              <w:bidi w:val="0"/>
              <w:spacing w:before="0" w:after="283"/>
              <w:jc w:val="left"/>
              <w:rPr>
                <w:sz w:val="4"/>
                <w:szCs w:val="4"/>
              </w:rPr>
            </w:pPr>
            <w:r>
              <w:rPr>
                <w:sz w:val="4"/>
                <w:szCs w:val="4"/>
              </w:rPr>
            </w:r>
          </w:p>
        </w:tc>
      </w:tr>
      <w:tr>
        <w:trPr/>
        <w:tc>
          <w:tcPr>
            <w:tcW w:w="2895" w:type="dxa"/>
            <w:tcBorders>
              <w:top w:val="single" w:sz="6" w:space="0" w:color="00AE4F"/>
              <w:left w:val="single" w:sz="6" w:space="0" w:color="00AE4F"/>
              <w:bottom w:val="single" w:sz="6" w:space="0" w:color="00AE4F"/>
              <w:right w:val="single" w:sz="6" w:space="0" w:color="00AE4F"/>
            </w:tcBorders>
            <w:tcMar>
              <w:top w:w="28" w:type="dxa"/>
              <w:left w:w="160" w:type="dxa"/>
              <w:bottom w:w="28" w:type="dxa"/>
              <w:right w:w="28" w:type="dxa"/>
            </w:tcMar>
            <w:vAlign w:val="center"/>
          </w:tcPr>
          <w:p>
            <w:pPr>
              <w:pStyle w:val="TableContents"/>
              <w:bidi w:val="0"/>
              <w:spacing w:before="0" w:after="0"/>
              <w:jc w:val="left"/>
              <w:rPr>
                <w:rFonts w:ascii="arial" w:hAnsi="arial"/>
                <w:b/>
                <w:sz w:val="18"/>
              </w:rPr>
            </w:pPr>
            <w:r>
              <w:rPr>
                <w:rFonts w:ascii="arial" w:hAnsi="arial"/>
                <w:b/>
                <w:sz w:val="18"/>
              </w:rPr>
              <w:t>Specific Experience and Skills</w:t>
            </w:r>
          </w:p>
          <w:p>
            <w:pPr>
              <w:pStyle w:val="TableContents"/>
              <w:bidi w:val="0"/>
              <w:spacing w:before="0" w:after="0"/>
              <w:jc w:val="left"/>
              <w:rPr/>
            </w:pPr>
            <w:r>
              <w:rPr>
                <w:color w:val="00AE4F"/>
              </w:rPr>
              <w:t>●</w:t>
            </w:r>
            <w:r>
              <w:rPr/>
              <w:t> </w:t>
            </w:r>
            <w:r>
              <w:rPr>
                <w:rFonts w:ascii="arial" w:hAnsi="arial"/>
                <w:sz w:val="18"/>
              </w:rPr>
              <w:t>Executive Leadership</w:t>
            </w:r>
          </w:p>
          <w:p>
            <w:pPr>
              <w:pStyle w:val="TableContents"/>
              <w:bidi w:val="0"/>
              <w:spacing w:before="0" w:after="0"/>
              <w:jc w:val="left"/>
              <w:rPr/>
            </w:pPr>
            <w:r>
              <w:rPr>
                <w:color w:val="00AE4F"/>
              </w:rPr>
              <w:t>●</w:t>
            </w:r>
            <w:r>
              <w:rPr/>
              <w:t> </w:t>
            </w:r>
            <w:r>
              <w:rPr>
                <w:rFonts w:ascii="arial" w:hAnsi="arial"/>
                <w:sz w:val="18"/>
              </w:rPr>
              <w:t>Transformations</w:t>
            </w:r>
          </w:p>
          <w:p>
            <w:pPr>
              <w:pStyle w:val="TableContents"/>
              <w:bidi w:val="0"/>
              <w:spacing w:before="0" w:after="0"/>
              <w:jc w:val="left"/>
              <w:rPr/>
            </w:pPr>
            <w:r>
              <w:rPr>
                <w:color w:val="00AE4F"/>
              </w:rPr>
              <w:t>●</w:t>
            </w:r>
            <w:r>
              <w:rPr/>
              <w:t> </w:t>
            </w:r>
            <w:r>
              <w:rPr>
                <w:rFonts w:ascii="arial" w:hAnsi="arial"/>
                <w:sz w:val="18"/>
              </w:rPr>
              <w:t>Innovation</w:t>
            </w:r>
          </w:p>
          <w:p>
            <w:pPr>
              <w:pStyle w:val="TableContents"/>
              <w:bidi w:val="0"/>
              <w:spacing w:before="0" w:after="0"/>
              <w:jc w:val="left"/>
              <w:rPr/>
            </w:pPr>
            <w:r>
              <w:rPr>
                <w:color w:val="00AE4F"/>
              </w:rPr>
              <w:t>●</w:t>
            </w:r>
            <w:r>
              <w:rPr/>
              <w:t> </w:t>
            </w:r>
            <w:r>
              <w:rPr>
                <w:rFonts w:ascii="arial" w:hAnsi="arial"/>
                <w:sz w:val="18"/>
              </w:rPr>
              <w:t>Industry</w:t>
            </w:r>
          </w:p>
          <w:p>
            <w:pPr>
              <w:pStyle w:val="TableContents"/>
              <w:bidi w:val="0"/>
              <w:spacing w:before="0" w:after="0"/>
              <w:jc w:val="left"/>
              <w:rPr/>
            </w:pPr>
            <w:r>
              <w:rPr>
                <w:color w:val="00AE4F"/>
              </w:rPr>
              <w:t>●</w:t>
            </w:r>
            <w:r>
              <w:rPr/>
              <w:t> </w:t>
            </w:r>
            <w:r>
              <w:rPr>
                <w:rFonts w:ascii="arial" w:hAnsi="arial"/>
                <w:sz w:val="18"/>
              </w:rPr>
              <w:t>Technology/Digitization/</w:t>
            </w:r>
          </w:p>
          <w:p>
            <w:pPr>
              <w:pStyle w:val="TableContents"/>
              <w:bidi w:val="0"/>
              <w:spacing w:before="0" w:after="0"/>
              <w:jc w:val="left"/>
              <w:rPr/>
            </w:pPr>
            <w:r>
              <w:rPr>
                <w:color w:val="00AE4F"/>
              </w:rPr>
              <w:t>●</w:t>
            </w:r>
            <w:r>
              <w:rPr/>
              <w:t> </w:t>
            </w:r>
            <w:r>
              <w:rPr>
                <w:rFonts w:ascii="arial" w:hAnsi="arial"/>
                <w:sz w:val="18"/>
              </w:rPr>
              <w:t>Cybersecurity</w:t>
            </w:r>
          </w:p>
          <w:p>
            <w:pPr>
              <w:pStyle w:val="TableContents"/>
              <w:bidi w:val="0"/>
              <w:spacing w:before="0" w:after="0"/>
              <w:jc w:val="left"/>
              <w:rPr/>
            </w:pPr>
            <w:r>
              <w:rPr>
                <w:color w:val="00AE4F"/>
              </w:rPr>
              <w:t>●</w:t>
            </w:r>
            <w:r>
              <w:rPr/>
              <w:t> </w:t>
            </w:r>
            <w:r>
              <w:rPr>
                <w:rFonts w:ascii="arial" w:hAnsi="arial"/>
                <w:sz w:val="18"/>
              </w:rPr>
              <w:t>Financial Acumen</w:t>
            </w:r>
          </w:p>
          <w:p>
            <w:pPr>
              <w:pStyle w:val="TableContents"/>
              <w:bidi w:val="0"/>
              <w:spacing w:before="0" w:after="0"/>
              <w:jc w:val="left"/>
              <w:rPr/>
            </w:pPr>
            <w:r>
              <w:rPr>
                <w:color w:val="00AE4F"/>
              </w:rPr>
              <w:t>●</w:t>
            </w:r>
            <w:r>
              <w:rPr/>
              <w:t> </w:t>
            </w:r>
            <w:r>
              <w:rPr>
                <w:rFonts w:ascii="arial" w:hAnsi="arial"/>
                <w:sz w:val="18"/>
              </w:rPr>
              <w:t>Risk Management</w:t>
            </w:r>
          </w:p>
          <w:p>
            <w:pPr>
              <w:pStyle w:val="TableContents"/>
              <w:bidi w:val="0"/>
              <w:spacing w:before="0" w:after="0"/>
              <w:jc w:val="left"/>
              <w:rPr/>
            </w:pPr>
            <w:r>
              <w:rPr>
                <w:color w:val="00AE4F"/>
              </w:rPr>
              <w:t>●</w:t>
            </w:r>
            <w:r>
              <w:rPr/>
              <w:t> </w:t>
            </w:r>
            <w:r>
              <w:rPr>
                <w:rFonts w:ascii="arial" w:hAnsi="arial"/>
                <w:sz w:val="18"/>
              </w:rPr>
              <w:t>Sustainability/ESG</w:t>
            </w:r>
          </w:p>
          <w:p>
            <w:pPr>
              <w:pStyle w:val="TableContents"/>
              <w:bidi w:val="0"/>
              <w:spacing w:before="0" w:after="20"/>
              <w:jc w:val="left"/>
              <w:rPr/>
            </w:pPr>
            <w:r>
              <w:rPr>
                <w:color w:val="00AE4F"/>
              </w:rPr>
              <w:t>●</w:t>
            </w:r>
            <w:r>
              <w:rPr/>
              <w:t> </w:t>
            </w:r>
            <w:r>
              <w:rPr>
                <w:rFonts w:ascii="arial" w:hAnsi="arial"/>
                <w:sz w:val="18"/>
              </w:rPr>
              <w:t>Mergers &amp; Acquisitions</w:t>
            </w:r>
          </w:p>
        </w:tc>
        <w:tc>
          <w:tcPr>
            <w:tcW w:w="120" w:type="dxa"/>
            <w:vMerge w:val="continue"/>
            <w:tcBorders/>
            <w:vAlign w:val="center"/>
          </w:tcPr>
          <w:p>
            <w:pPr>
              <w:pStyle w:val="Normal"/>
              <w:bidi w:val="0"/>
              <w:jc w:val="left"/>
              <w:rPr/>
            </w:pPr>
            <w:r>
              <w:rPr/>
            </w:r>
          </w:p>
        </w:tc>
        <w:tc>
          <w:tcPr>
            <w:tcW w:w="9075" w:type="dxa"/>
            <w:vMerge w:val="continue"/>
            <w:tcBorders/>
            <w:vAlign w:val="center"/>
          </w:tcPr>
          <w:p>
            <w:pPr>
              <w:pStyle w:val="Normal"/>
              <w:bidi w:val="0"/>
              <w:jc w:val="left"/>
              <w:rPr/>
            </w:pPr>
            <w:r>
              <w:rPr/>
            </w:r>
          </w:p>
        </w:tc>
        <w:tc>
          <w:tcPr>
            <w:tcW w:w="38" w:type="dxa"/>
            <w:tcBorders/>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75" w:type="dxa"/>
            <w:vMerge w:val="continue"/>
            <w:tcBorders/>
            <w:vAlign w:val="center"/>
          </w:tcPr>
          <w:p>
            <w:pPr>
              <w:pStyle w:val="Normal"/>
              <w:bidi w:val="0"/>
              <w:jc w:val="left"/>
              <w:rPr/>
            </w:pPr>
            <w:r>
              <w:rPr/>
            </w:r>
          </w:p>
        </w:tc>
        <w:tc>
          <w:tcPr>
            <w:tcW w:w="38" w:type="dxa"/>
            <w:tcBorders/>
          </w:tcPr>
          <w:p>
            <w:pPr>
              <w:pStyle w:val="TableContents"/>
              <w:bidi w:val="0"/>
              <w:spacing w:before="0" w:after="283"/>
              <w:jc w:val="left"/>
              <w:rPr>
                <w:sz w:val="4"/>
                <w:szCs w:val="4"/>
              </w:rPr>
            </w:pPr>
            <w:r>
              <w:rPr>
                <w:sz w:val="4"/>
                <w:szCs w:val="4"/>
              </w:rPr>
            </w:r>
          </w:p>
        </w:tc>
      </w:tr>
      <w:tr>
        <w:trPr/>
        <w:tc>
          <w:tcPr>
            <w:tcW w:w="2895" w:type="dxa"/>
            <w:vMerge w:val="restart"/>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9075" w:type="dxa"/>
            <w:vMerge w:val="continue"/>
            <w:tcBorders/>
            <w:vAlign w:val="center"/>
          </w:tcPr>
          <w:p>
            <w:pPr>
              <w:pStyle w:val="Normal"/>
              <w:bidi w:val="0"/>
              <w:jc w:val="left"/>
              <w:rPr/>
            </w:pPr>
            <w:r>
              <w:rPr/>
            </w:r>
          </w:p>
        </w:tc>
        <w:tc>
          <w:tcPr>
            <w:tcW w:w="38" w:type="dxa"/>
            <w:tcBorders/>
          </w:tcPr>
          <w:p>
            <w:pPr>
              <w:pStyle w:val="TableContents"/>
              <w:bidi w:val="0"/>
              <w:spacing w:before="0" w:after="283"/>
              <w:jc w:val="left"/>
              <w:rPr>
                <w:sz w:val="4"/>
                <w:szCs w:val="4"/>
              </w:rPr>
            </w:pPr>
            <w:r>
              <w:rPr>
                <w:sz w:val="4"/>
                <w:szCs w:val="4"/>
              </w:rPr>
            </w:r>
          </w:p>
        </w:tc>
      </w:tr>
      <w:tr>
        <w:trPr/>
        <w:tc>
          <w:tcPr>
            <w:tcW w:w="289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9075"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89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9075"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2105" w:type="dxa"/>
        <w:jc w:val="left"/>
        <w:tblInd w:w="0" w:type="dxa"/>
        <w:tblLayout w:type="fixed"/>
        <w:tblCellMar>
          <w:top w:w="0" w:type="dxa"/>
          <w:left w:w="0" w:type="dxa"/>
          <w:bottom w:w="0" w:type="dxa"/>
          <w:right w:w="0" w:type="dxa"/>
        </w:tblCellMar>
      </w:tblPr>
      <w:tblGrid>
        <w:gridCol w:w="2895"/>
        <w:gridCol w:w="120"/>
        <w:gridCol w:w="9090"/>
      </w:tblGrid>
      <w:tr>
        <w:trPr/>
        <w:tc>
          <w:tcPr>
            <w:tcW w:w="2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90" w:type="dxa"/>
            <w:tcBorders/>
            <w:vAlign w:val="center"/>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jc w:val="left"/>
              <w:rPr/>
            </w:pPr>
            <w:r>
              <w:rPr/>
              <w:drawing>
                <wp:inline distT="0" distB="0" distL="0" distR="0">
                  <wp:extent cx="1828800" cy="1828800"/>
                  <wp:effectExtent l="0" t="0" r="0" b="0"/>
                  <wp:docPr id="101"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5" descr=""/>
                          <pic:cNvPicPr>
                            <a:picLocks noChangeAspect="1" noChangeArrowheads="1"/>
                          </pic:cNvPicPr>
                        </pic:nvPicPr>
                        <pic:blipFill>
                          <a:blip r:embed="rId92"/>
                          <a:stretch>
                            <a:fillRect/>
                          </a:stretch>
                        </pic:blipFill>
                        <pic:spPr bwMode="auto">
                          <a:xfrm>
                            <a:off x="0" y="0"/>
                            <a:ext cx="1828800" cy="182880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9090" w:type="dxa"/>
            <w:vMerge w:val="restart"/>
            <w:tcBorders/>
            <w:vAlign w:val="center"/>
          </w:tcPr>
          <w:p>
            <w:pPr>
              <w:pStyle w:val="TableContents"/>
              <w:bidi w:val="0"/>
              <w:spacing w:before="0" w:after="0"/>
              <w:jc w:val="left"/>
              <w:rPr/>
            </w:pPr>
            <w:r>
              <w:rPr/>
              <w:drawing>
                <wp:inline distT="0" distB="0" distL="0" distR="0">
                  <wp:extent cx="5762625" cy="800100"/>
                  <wp:effectExtent l="0" t="0" r="0" b="0"/>
                  <wp:docPr id="102"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6" descr=""/>
                          <pic:cNvPicPr>
                            <a:picLocks noChangeAspect="1" noChangeArrowheads="1"/>
                          </pic:cNvPicPr>
                        </pic:nvPicPr>
                        <pic:blipFill>
                          <a:blip r:embed="rId93"/>
                          <a:stretch>
                            <a:fillRect/>
                          </a:stretch>
                        </pic:blipFill>
                        <pic:spPr bwMode="auto">
                          <a:xfrm>
                            <a:off x="0" y="0"/>
                            <a:ext cx="5762625" cy="800100"/>
                          </a:xfrm>
                          <a:prstGeom prst="rect">
                            <a:avLst/>
                          </a:prstGeom>
                        </pic:spPr>
                      </pic:pic>
                    </a:graphicData>
                  </a:graphic>
                </wp:inline>
              </w:drawing>
            </w:r>
            <w:r>
              <w:rPr/>
              <w:t xml:space="preserve"> </w:t>
            </w:r>
          </w:p>
          <w:p>
            <w:pPr>
              <w:pStyle w:val="TableContents"/>
              <w:bidi w:val="0"/>
              <w:spacing w:lineRule="atLeast" w:line="360" w:before="0" w:after="0"/>
              <w:jc w:val="left"/>
              <w:rPr>
                <w:rFonts w:ascii="arial" w:hAnsi="arial"/>
                <w:b/>
                <w:sz w:val="18"/>
              </w:rPr>
            </w:pPr>
            <w:r>
              <w:rPr>
                <w:rFonts w:ascii="arial" w:hAnsi="arial"/>
                <w:b/>
                <w:sz w:val="18"/>
              </w:rPr>
              <w:t>Board Committees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Corporate Governance and Nominating</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Principal Occupation and Directorships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External Board Member, Hunt Companies, Inc. (2019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Bowhead Specialty Holdings Inc. and predecessor (2020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Founder &amp; CEO, B.O.A.R.D.S. (board governance consultancy) (2013 – 2023)</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Trustee, Guggenheim Funds Trusts (2016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Trustee, Mutual Fund Directors Forum (2022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Chair, Global X Venture Fund (2025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Infinity Property &amp; Casualty (2014 –2018)</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Education</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University of California, Los Angeles, JD/MBA</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California State University, East Bay, BS, Finance and Marketing</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NACD Certified Director</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Ms. Brock-Kyle joined the Board in January 2026. She is an accomplished independent director and trustee, holding the CFE credential with more than 35 years of corporate experience and governance expertise on diverse boards and committees. Her specialties encompass financial statement analysis, strategic planning, due diligence, enterprise risk management, brand management, and portfolio management. Her leadership and contributions to governance have earned her recognition as a “Director to Watch” and inclusion in the NACD Directorship 100 as an influential director. Ms. Brock-Kyle currently serves on the Boards of Hunt Companies Inc., Guggenheim Funds, Bowhead Specialty Holdings Inc. (BOW), the Global X Venture Fund, and the MFDF (formerly Mutual Fund Directors Forum). She is passionate about elevating board performance, promoting best practices, and fostering collaboration among stakeholders, consistently driving positive outcomes in the organizations she serves.</w:t>
            </w:r>
          </w:p>
        </w:tc>
      </w:tr>
      <w:tr>
        <w:trPr/>
        <w:tc>
          <w:tcPr>
            <w:tcW w:w="2895"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top w:val="single" w:sz="6" w:space="0" w:color="00AE4F"/>
              <w:left w:val="single" w:sz="6" w:space="0" w:color="00AE4F"/>
              <w:bottom w:val="single" w:sz="6" w:space="0" w:color="00AE4F"/>
              <w:right w:val="single" w:sz="6" w:space="0" w:color="00AE4F"/>
            </w:tcBorders>
            <w:tcMar>
              <w:top w:w="28" w:type="dxa"/>
              <w:left w:w="160" w:type="dxa"/>
              <w:bottom w:w="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Specific Experience and Skills</w:t>
            </w:r>
          </w:p>
          <w:p>
            <w:pPr>
              <w:pStyle w:val="TableContents"/>
              <w:bidi w:val="0"/>
              <w:spacing w:before="0" w:after="0"/>
              <w:jc w:val="left"/>
              <w:rPr/>
            </w:pPr>
            <w:r>
              <w:rPr>
                <w:color w:val="00AE4F"/>
              </w:rPr>
              <w:t>●</w:t>
            </w:r>
            <w:r>
              <w:rPr/>
              <w:t> </w:t>
            </w:r>
            <w:r>
              <w:rPr>
                <w:rFonts w:ascii="arial" w:hAnsi="arial"/>
                <w:sz w:val="18"/>
              </w:rPr>
              <w:t>Executive Leadership</w:t>
            </w:r>
          </w:p>
          <w:p>
            <w:pPr>
              <w:pStyle w:val="TableContents"/>
              <w:bidi w:val="0"/>
              <w:spacing w:before="0" w:after="0"/>
              <w:jc w:val="left"/>
              <w:rPr/>
            </w:pPr>
            <w:r>
              <w:rPr>
                <w:color w:val="00AE4F"/>
              </w:rPr>
              <w:t>●</w:t>
            </w:r>
            <w:r>
              <w:rPr/>
              <w:t> </w:t>
            </w:r>
            <w:r>
              <w:rPr>
                <w:rFonts w:ascii="arial" w:hAnsi="arial"/>
                <w:sz w:val="18"/>
              </w:rPr>
              <w:t>Transformations</w:t>
            </w:r>
          </w:p>
          <w:p>
            <w:pPr>
              <w:pStyle w:val="TableContents"/>
              <w:bidi w:val="0"/>
              <w:spacing w:before="0" w:after="0"/>
              <w:jc w:val="left"/>
              <w:rPr/>
            </w:pPr>
            <w:r>
              <w:rPr>
                <w:color w:val="00AE4F"/>
              </w:rPr>
              <w:t>●</w:t>
            </w:r>
            <w:r>
              <w:rPr/>
              <w:t> </w:t>
            </w:r>
            <w:r>
              <w:rPr>
                <w:rFonts w:ascii="arial" w:hAnsi="arial"/>
                <w:sz w:val="18"/>
              </w:rPr>
              <w:t>Innovation</w:t>
            </w:r>
          </w:p>
          <w:p>
            <w:pPr>
              <w:pStyle w:val="TableContents"/>
              <w:bidi w:val="0"/>
              <w:spacing w:before="0" w:after="0"/>
              <w:jc w:val="left"/>
              <w:rPr/>
            </w:pPr>
            <w:r>
              <w:rPr>
                <w:color w:val="00AE4F"/>
              </w:rPr>
              <w:t>●</w:t>
            </w:r>
            <w:r>
              <w:rPr/>
              <w:t> </w:t>
            </w:r>
            <w:r>
              <w:rPr>
                <w:rFonts w:ascii="arial" w:hAnsi="arial"/>
                <w:sz w:val="18"/>
              </w:rPr>
              <w:t>Financial Expert</w:t>
            </w:r>
          </w:p>
          <w:p>
            <w:pPr>
              <w:pStyle w:val="TableContents"/>
              <w:bidi w:val="0"/>
              <w:spacing w:before="0" w:after="0"/>
              <w:jc w:val="left"/>
              <w:rPr/>
            </w:pPr>
            <w:r>
              <w:rPr>
                <w:color w:val="00AE4F"/>
              </w:rPr>
              <w:t>●</w:t>
            </w:r>
            <w:r>
              <w:rPr/>
              <w:t> </w:t>
            </w:r>
            <w:r>
              <w:rPr>
                <w:rFonts w:ascii="arial" w:hAnsi="arial"/>
                <w:sz w:val="18"/>
              </w:rPr>
              <w:t>Technology/Digitization/</w:t>
            </w:r>
          </w:p>
          <w:p>
            <w:pPr>
              <w:pStyle w:val="TableContents"/>
              <w:bidi w:val="0"/>
              <w:spacing w:before="0" w:after="0"/>
              <w:jc w:val="left"/>
              <w:rPr/>
            </w:pPr>
            <w:r>
              <w:rPr/>
              <w:t>  </w:t>
            </w:r>
            <w:r>
              <w:rPr>
                <w:rFonts w:ascii="arial" w:hAnsi="arial"/>
                <w:sz w:val="18"/>
              </w:rPr>
              <w:t>Cybersecurity</w:t>
            </w:r>
          </w:p>
          <w:p>
            <w:pPr>
              <w:pStyle w:val="TableContents"/>
              <w:bidi w:val="0"/>
              <w:spacing w:before="0" w:after="0"/>
              <w:jc w:val="left"/>
              <w:rPr/>
            </w:pPr>
            <w:r>
              <w:rPr>
                <w:color w:val="00AE4F"/>
              </w:rPr>
              <w:t>●</w:t>
            </w:r>
            <w:r>
              <w:rPr/>
              <w:t> </w:t>
            </w:r>
            <w:r>
              <w:rPr>
                <w:rFonts w:ascii="arial" w:hAnsi="arial"/>
                <w:sz w:val="18"/>
              </w:rPr>
              <w:t>Risk Management</w:t>
            </w:r>
          </w:p>
          <w:p>
            <w:pPr>
              <w:pStyle w:val="TableContents"/>
              <w:bidi w:val="0"/>
              <w:spacing w:before="0" w:after="0"/>
              <w:jc w:val="left"/>
              <w:rPr/>
            </w:pPr>
            <w:r>
              <w:rPr>
                <w:color w:val="00AE4F"/>
              </w:rPr>
              <w:t>●</w:t>
            </w:r>
            <w:r>
              <w:rPr/>
              <w:t> </w:t>
            </w:r>
            <w:r>
              <w:rPr>
                <w:rFonts w:ascii="arial" w:hAnsi="arial"/>
                <w:sz w:val="18"/>
              </w:rPr>
              <w:t>Legal/Corporate Governance</w:t>
            </w:r>
          </w:p>
          <w:p>
            <w:pPr>
              <w:pStyle w:val="TableContents"/>
              <w:bidi w:val="0"/>
              <w:spacing w:before="0" w:after="0"/>
              <w:jc w:val="left"/>
              <w:rPr/>
            </w:pPr>
            <w:r>
              <w:rPr>
                <w:color w:val="00AE4F"/>
              </w:rPr>
              <w:t>●</w:t>
            </w:r>
            <w:r>
              <w:rPr/>
              <w:t> </w:t>
            </w:r>
            <w:r>
              <w:rPr>
                <w:rFonts w:ascii="arial" w:hAnsi="arial"/>
                <w:sz w:val="18"/>
              </w:rPr>
              <w:t>Sustainability &amp; ESG</w:t>
            </w:r>
          </w:p>
          <w:p>
            <w:pPr>
              <w:pStyle w:val="TableContents"/>
              <w:bidi w:val="0"/>
              <w:spacing w:before="0" w:after="20"/>
              <w:jc w:val="left"/>
              <w:rPr/>
            </w:pPr>
            <w:r>
              <w:rPr>
                <w:color w:val="00AE4F"/>
              </w:rPr>
              <w:t>●</w:t>
            </w:r>
            <w:r>
              <w:rPr/>
              <w:t> </w:t>
            </w:r>
            <w:r>
              <w:rPr>
                <w:rFonts w:ascii="arial" w:hAnsi="arial"/>
                <w:sz w:val="18"/>
              </w:rPr>
              <w:t>Mergers &amp; Acquisitions</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18 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103"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7" descr=""/>
                          <pic:cNvPicPr>
                            <a:picLocks noChangeAspect="1" noChangeArrowheads="1"/>
                          </pic:cNvPicPr>
                        </pic:nvPicPr>
                        <pic:blipFill>
                          <a:blip r:embed="rId94"/>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Proposal 1: Election of Directors </w:t>
      </w:r>
    </w:p>
    <w:p>
      <w:pPr>
        <w:pStyle w:val="TextBody"/>
        <w:bidi w:val="0"/>
        <w:spacing w:before="0" w:after="0"/>
        <w:jc w:val="left"/>
        <w:rPr/>
      </w:pPr>
      <w:r>
        <w:rPr/>
        <w:t> </w:t>
      </w:r>
    </w:p>
    <w:tbl>
      <w:tblPr>
        <w:tblW w:w="12105" w:type="dxa"/>
        <w:jc w:val="left"/>
        <w:tblInd w:w="0" w:type="dxa"/>
        <w:tblLayout w:type="fixed"/>
        <w:tblCellMar>
          <w:top w:w="0" w:type="dxa"/>
          <w:left w:w="0" w:type="dxa"/>
          <w:bottom w:w="0" w:type="dxa"/>
          <w:right w:w="0" w:type="dxa"/>
        </w:tblCellMar>
      </w:tblPr>
      <w:tblGrid>
        <w:gridCol w:w="2895"/>
        <w:gridCol w:w="120"/>
        <w:gridCol w:w="9090"/>
      </w:tblGrid>
      <w:tr>
        <w:trPr/>
        <w:tc>
          <w:tcPr>
            <w:tcW w:w="2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90" w:type="dxa"/>
            <w:tcBorders/>
            <w:vAlign w:val="center"/>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left"/>
              <w:rPr/>
            </w:pPr>
            <w:r>
              <w:rPr/>
              <w:drawing>
                <wp:inline distT="0" distB="0" distL="0" distR="0">
                  <wp:extent cx="1828800" cy="1828800"/>
                  <wp:effectExtent l="0" t="0" r="0" b="0"/>
                  <wp:docPr id="10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8" descr=""/>
                          <pic:cNvPicPr>
                            <a:picLocks noChangeAspect="1" noChangeArrowheads="1"/>
                          </pic:cNvPicPr>
                        </pic:nvPicPr>
                        <pic:blipFill>
                          <a:blip r:embed="rId95"/>
                          <a:stretch>
                            <a:fillRect/>
                          </a:stretch>
                        </pic:blipFill>
                        <pic:spPr bwMode="auto">
                          <a:xfrm>
                            <a:off x="0" y="0"/>
                            <a:ext cx="1828800" cy="1828800"/>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9090" w:type="dxa"/>
            <w:vMerge w:val="restart"/>
            <w:tcBorders/>
            <w:vAlign w:val="center"/>
          </w:tcPr>
          <w:p>
            <w:pPr>
              <w:pStyle w:val="TableContents"/>
              <w:bidi w:val="0"/>
              <w:spacing w:before="0" w:after="0"/>
              <w:jc w:val="left"/>
              <w:rPr/>
            </w:pPr>
            <w:r>
              <w:rPr/>
              <w:drawing>
                <wp:inline distT="0" distB="0" distL="0" distR="0">
                  <wp:extent cx="5762625" cy="800100"/>
                  <wp:effectExtent l="0" t="0" r="0" b="0"/>
                  <wp:docPr id="105"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89" descr=""/>
                          <pic:cNvPicPr>
                            <a:picLocks noChangeAspect="1" noChangeArrowheads="1"/>
                          </pic:cNvPicPr>
                        </pic:nvPicPr>
                        <pic:blipFill>
                          <a:blip r:embed="rId96"/>
                          <a:stretch>
                            <a:fillRect/>
                          </a:stretch>
                        </pic:blipFill>
                        <pic:spPr bwMode="auto">
                          <a:xfrm>
                            <a:off x="0" y="0"/>
                            <a:ext cx="5762625" cy="800100"/>
                          </a:xfrm>
                          <a:prstGeom prst="rect">
                            <a:avLst/>
                          </a:prstGeom>
                        </pic:spPr>
                      </pic:pic>
                    </a:graphicData>
                  </a:graphic>
                </wp:inline>
              </w:drawing>
            </w:r>
            <w:r>
              <w:rPr/>
              <w:t xml:space="preserve"> </w:t>
            </w:r>
          </w:p>
          <w:p>
            <w:pPr>
              <w:pStyle w:val="TableContents"/>
              <w:bidi w:val="0"/>
              <w:spacing w:lineRule="atLeast" w:line="360" w:before="0" w:after="0"/>
              <w:jc w:val="left"/>
              <w:rPr>
                <w:rFonts w:ascii="arial" w:hAnsi="arial"/>
                <w:b/>
                <w:sz w:val="18"/>
              </w:rPr>
            </w:pPr>
            <w:r>
              <w:rPr>
                <w:rFonts w:ascii="arial" w:hAnsi="arial"/>
                <w:b/>
                <w:sz w:val="18"/>
              </w:rPr>
              <w:t>Board Committees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Audit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Compensation and Talent Management (Chair)</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Principal Occupation and Directorships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Huntington Bancshares Incorporated (2017 – 2023)</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First Merit Corporation (2013 – 2017)</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Citizens Republic Bancorp (2008 – 2013)</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President and Chief Executive Officer, Meadowbrook Insurance Group, Inc. (2002 – 2016)</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Education</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Detroit College of Law, JD</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Wayne State University, BA, Psychology</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Mr. Cubbin is an attorney with 31 years of experience in insurance law. In 2016, he retired as President and Chief Executive Officer following a 30-year career with Meadowbrook Insurance Group. He previously served on the board of directors of three large publicly held companies. Mr. Cubbin is an experienced director with broad-ranging experience in legal, insurance, enterprise risk management, accounting, actuarial, investment, underwriting, reinsurance, and claims. The Board determined that Mr. Cubbin qualifies as an “audit committee financial expert” within the meaning of applicable SEC regulations.</w:t>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top w:val="single" w:sz="6" w:space="0" w:color="00AE4F"/>
              <w:left w:val="single" w:sz="6" w:space="0" w:color="00AE4F"/>
              <w:bottom w:val="single" w:sz="6" w:space="0" w:color="00AE4F"/>
              <w:right w:val="single" w:sz="6" w:space="0" w:color="00AE4F"/>
            </w:tcBorders>
            <w:tcMar>
              <w:top w:w="28" w:type="dxa"/>
              <w:left w:w="160" w:type="dxa"/>
              <w:bottom w:w="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Specific Experience and Skills</w:t>
            </w:r>
          </w:p>
          <w:p>
            <w:pPr>
              <w:pStyle w:val="TableContents"/>
              <w:bidi w:val="0"/>
              <w:spacing w:before="0" w:after="0"/>
              <w:jc w:val="left"/>
              <w:rPr/>
            </w:pPr>
            <w:r>
              <w:rPr>
                <w:color w:val="00AE4F"/>
              </w:rPr>
              <w:t>●</w:t>
            </w:r>
            <w:r>
              <w:rPr/>
              <w:t> </w:t>
            </w:r>
            <w:r>
              <w:rPr>
                <w:rFonts w:ascii="arial" w:hAnsi="arial"/>
                <w:sz w:val="18"/>
              </w:rPr>
              <w:t>Executive Leadership</w:t>
            </w:r>
          </w:p>
          <w:p>
            <w:pPr>
              <w:pStyle w:val="TableContents"/>
              <w:bidi w:val="0"/>
              <w:spacing w:before="0" w:after="0"/>
              <w:jc w:val="left"/>
              <w:rPr/>
            </w:pPr>
            <w:r>
              <w:rPr>
                <w:color w:val="00AE4F"/>
              </w:rPr>
              <w:t>●</w:t>
            </w:r>
            <w:r>
              <w:rPr/>
              <w:t> </w:t>
            </w:r>
            <w:r>
              <w:rPr>
                <w:rFonts w:ascii="arial" w:hAnsi="arial"/>
                <w:sz w:val="18"/>
              </w:rPr>
              <w:t>Transformations</w:t>
            </w:r>
          </w:p>
          <w:p>
            <w:pPr>
              <w:pStyle w:val="TableContents"/>
              <w:bidi w:val="0"/>
              <w:spacing w:before="0" w:after="0"/>
              <w:jc w:val="left"/>
              <w:rPr/>
            </w:pPr>
            <w:r>
              <w:rPr>
                <w:color w:val="00AE4F"/>
              </w:rPr>
              <w:t>●</w:t>
            </w:r>
            <w:r>
              <w:rPr/>
              <w:t> </w:t>
            </w:r>
            <w:r>
              <w:rPr>
                <w:rFonts w:ascii="arial" w:hAnsi="arial"/>
                <w:sz w:val="18"/>
              </w:rPr>
              <w:t>Innovation</w:t>
            </w:r>
          </w:p>
          <w:p>
            <w:pPr>
              <w:pStyle w:val="TableContents"/>
              <w:bidi w:val="0"/>
              <w:spacing w:before="0" w:after="0"/>
              <w:jc w:val="left"/>
              <w:rPr/>
            </w:pPr>
            <w:r>
              <w:rPr>
                <w:color w:val="00AE4F"/>
              </w:rPr>
              <w:t>●</w:t>
            </w:r>
            <w:r>
              <w:rPr/>
              <w:t> </w:t>
            </w:r>
            <w:r>
              <w:rPr>
                <w:rFonts w:ascii="arial" w:hAnsi="arial"/>
                <w:sz w:val="18"/>
              </w:rPr>
              <w:t>Industry</w:t>
            </w:r>
          </w:p>
          <w:p>
            <w:pPr>
              <w:pStyle w:val="TableContents"/>
              <w:bidi w:val="0"/>
              <w:spacing w:before="0" w:after="0"/>
              <w:jc w:val="left"/>
              <w:rPr/>
            </w:pPr>
            <w:r>
              <w:rPr>
                <w:color w:val="00AE4F"/>
              </w:rPr>
              <w:t>●</w:t>
            </w:r>
            <w:r>
              <w:rPr/>
              <w:t> </w:t>
            </w:r>
            <w:r>
              <w:rPr>
                <w:rFonts w:ascii="arial" w:hAnsi="arial"/>
                <w:sz w:val="18"/>
              </w:rPr>
              <w:t>Financial Expert</w:t>
            </w:r>
          </w:p>
          <w:p>
            <w:pPr>
              <w:pStyle w:val="TableContents"/>
              <w:bidi w:val="0"/>
              <w:spacing w:before="0" w:after="0"/>
              <w:jc w:val="left"/>
              <w:rPr/>
            </w:pPr>
            <w:r>
              <w:rPr>
                <w:color w:val="00AE4F"/>
              </w:rPr>
              <w:t>●</w:t>
            </w:r>
            <w:r>
              <w:rPr/>
              <w:t> </w:t>
            </w:r>
            <w:r>
              <w:rPr>
                <w:rFonts w:ascii="arial" w:hAnsi="arial"/>
                <w:sz w:val="18"/>
              </w:rPr>
              <w:t>Risk Management</w:t>
            </w:r>
          </w:p>
          <w:p>
            <w:pPr>
              <w:pStyle w:val="TableContents"/>
              <w:bidi w:val="0"/>
              <w:spacing w:before="0" w:after="0"/>
              <w:jc w:val="left"/>
              <w:rPr/>
            </w:pPr>
            <w:r>
              <w:rPr>
                <w:color w:val="00AE4F"/>
              </w:rPr>
              <w:t>●</w:t>
            </w:r>
            <w:r>
              <w:rPr/>
              <w:t> </w:t>
            </w:r>
            <w:r>
              <w:rPr>
                <w:rFonts w:ascii="arial" w:hAnsi="arial"/>
                <w:sz w:val="18"/>
              </w:rPr>
              <w:t>Legal/Corporate Governance</w:t>
            </w:r>
          </w:p>
          <w:p>
            <w:pPr>
              <w:pStyle w:val="TableContents"/>
              <w:bidi w:val="0"/>
              <w:spacing w:before="0" w:after="20"/>
              <w:jc w:val="left"/>
              <w:rPr/>
            </w:pPr>
            <w:r>
              <w:rPr>
                <w:color w:val="00AE4F"/>
              </w:rPr>
              <w:t>●</w:t>
            </w:r>
            <w:r>
              <w:rPr/>
              <w:t> </w:t>
            </w:r>
            <w:r>
              <w:rPr>
                <w:rFonts w:ascii="arial" w:hAnsi="arial"/>
                <w:sz w:val="18"/>
              </w:rPr>
              <w:t>Mergers &amp; Acquisitions</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12105" w:type="dxa"/>
        <w:jc w:val="left"/>
        <w:tblInd w:w="0" w:type="dxa"/>
        <w:tblLayout w:type="fixed"/>
        <w:tblCellMar>
          <w:top w:w="0" w:type="dxa"/>
          <w:left w:w="0" w:type="dxa"/>
          <w:bottom w:w="0" w:type="dxa"/>
          <w:right w:w="0" w:type="dxa"/>
        </w:tblCellMar>
      </w:tblPr>
      <w:tblGrid>
        <w:gridCol w:w="2895"/>
        <w:gridCol w:w="120"/>
        <w:gridCol w:w="9090"/>
      </w:tblGrid>
      <w:tr>
        <w:trPr/>
        <w:tc>
          <w:tcPr>
            <w:tcW w:w="2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90" w:type="dxa"/>
            <w:tcBorders/>
            <w:vAlign w:val="center"/>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left"/>
              <w:rPr/>
            </w:pPr>
            <w:r>
              <w:rPr/>
              <w:drawing>
                <wp:inline distT="0" distB="0" distL="0" distR="0">
                  <wp:extent cx="1828800" cy="1828800"/>
                  <wp:effectExtent l="0" t="0" r="0" b="0"/>
                  <wp:docPr id="106"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0" descr=""/>
                          <pic:cNvPicPr>
                            <a:picLocks noChangeAspect="1" noChangeArrowheads="1"/>
                          </pic:cNvPicPr>
                        </pic:nvPicPr>
                        <pic:blipFill>
                          <a:blip r:embed="rId97"/>
                          <a:stretch>
                            <a:fillRect/>
                          </a:stretch>
                        </pic:blipFill>
                        <pic:spPr bwMode="auto">
                          <a:xfrm>
                            <a:off x="0" y="0"/>
                            <a:ext cx="1828800" cy="1828800"/>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9090" w:type="dxa"/>
            <w:vMerge w:val="restart"/>
            <w:tcBorders/>
            <w:vAlign w:val="center"/>
          </w:tcPr>
          <w:p>
            <w:pPr>
              <w:pStyle w:val="TableContents"/>
              <w:bidi w:val="0"/>
              <w:spacing w:before="0" w:after="0"/>
              <w:jc w:val="left"/>
              <w:rPr/>
            </w:pPr>
            <w:r>
              <w:rPr/>
              <w:drawing>
                <wp:inline distT="0" distB="0" distL="0" distR="0">
                  <wp:extent cx="5762625" cy="800100"/>
                  <wp:effectExtent l="0" t="0" r="0" b="0"/>
                  <wp:docPr id="107"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1" descr=""/>
                          <pic:cNvPicPr>
                            <a:picLocks noChangeAspect="1" noChangeArrowheads="1"/>
                          </pic:cNvPicPr>
                        </pic:nvPicPr>
                        <pic:blipFill>
                          <a:blip r:embed="rId98"/>
                          <a:stretch>
                            <a:fillRect/>
                          </a:stretch>
                        </pic:blipFill>
                        <pic:spPr bwMode="auto">
                          <a:xfrm>
                            <a:off x="0" y="0"/>
                            <a:ext cx="5762625" cy="800100"/>
                          </a:xfrm>
                          <a:prstGeom prst="rect">
                            <a:avLst/>
                          </a:prstGeom>
                        </pic:spPr>
                      </pic:pic>
                    </a:graphicData>
                  </a:graphic>
                </wp:inline>
              </w:drawing>
            </w:r>
            <w:r>
              <w:rPr/>
              <w:t xml:space="preserve"> </w:t>
            </w:r>
          </w:p>
          <w:p>
            <w:pPr>
              <w:pStyle w:val="TableContents"/>
              <w:bidi w:val="0"/>
              <w:spacing w:lineRule="atLeast" w:line="360" w:before="0" w:after="0"/>
              <w:jc w:val="left"/>
              <w:rPr>
                <w:rFonts w:ascii="arial" w:hAnsi="arial"/>
                <w:b/>
                <w:sz w:val="18"/>
              </w:rPr>
            </w:pPr>
            <w:r>
              <w:rPr>
                <w:rFonts w:ascii="arial" w:hAnsi="arial"/>
                <w:b/>
                <w:sz w:val="18"/>
              </w:rPr>
              <w:t>Board Committees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Audit</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Principal Occupation and Directorships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Chief Digital Officer and Chief Technology Officer, Delta Air ines (2026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Executive Vice President and Chief Information Officer, United Services Automobile Association (USAA) (2022 – 2026)</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Senior Executive Vice President, Chief Operations and Technology Officer, Regions Financial Corporation (2017 – 2021)</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Innovation Depot (2021)</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Techbridge, Inc. (2016 - 2020)</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Education</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Columbia University, MS, Technology Management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University of Nebraska at Omaha, MBA, International Business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Osmania University, BS, Electronics and Communications Engineering</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Ms. Duggirala joined our Board in January 2022 with more than 25 years of experience in the telecommunications, payments, and banking industries. She is a renowned digital transformation and technology strategist with skills in large-scale strategic product delivery, technical innovation, and complex financial management. She brings to the Board a wealth of knowledge in integrations, strategic planning, product development, operations, engineering, data management, and cybersecurity. Ms. Duggirala has significant cybersecurity experience from working in a variety of information technology and data analytics roles, including Chief Operations and Technology Officer at Regions Bank and Chief Technology Officer at other large fintech firms. In 2021, Ms. Duggirala was named one of the top 50 CIOs by Forbes and received the distinguished Outstanding 50 Asian Americans in Business Award in 2022. She was also recognized as one of the most influential women in payments in Alabama in previous years.</w:t>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top w:val="single" w:sz="6" w:space="0" w:color="00AE4F"/>
              <w:left w:val="single" w:sz="6" w:space="0" w:color="00AE4F"/>
              <w:bottom w:val="single" w:sz="6" w:space="0" w:color="00AE4F"/>
              <w:right w:val="single" w:sz="6" w:space="0" w:color="00AE4F"/>
            </w:tcBorders>
            <w:tcMar>
              <w:top w:w="28" w:type="dxa"/>
              <w:left w:w="160" w:type="dxa"/>
              <w:bottom w:w="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Specific Experience and Skills</w:t>
            </w:r>
          </w:p>
          <w:p>
            <w:pPr>
              <w:pStyle w:val="TableContents"/>
              <w:bidi w:val="0"/>
              <w:spacing w:before="0" w:after="0"/>
              <w:jc w:val="left"/>
              <w:rPr/>
            </w:pPr>
            <w:r>
              <w:rPr>
                <w:color w:val="00AE4F"/>
              </w:rPr>
              <w:t>●</w:t>
            </w:r>
            <w:r>
              <w:rPr/>
              <w:t> </w:t>
            </w:r>
            <w:r>
              <w:rPr>
                <w:rFonts w:ascii="arial" w:hAnsi="arial"/>
                <w:sz w:val="18"/>
              </w:rPr>
              <w:t>Executive Leadership</w:t>
            </w:r>
          </w:p>
          <w:p>
            <w:pPr>
              <w:pStyle w:val="TableContents"/>
              <w:bidi w:val="0"/>
              <w:spacing w:before="0" w:after="0"/>
              <w:jc w:val="left"/>
              <w:rPr/>
            </w:pPr>
            <w:r>
              <w:rPr>
                <w:color w:val="00AE4F"/>
              </w:rPr>
              <w:t>●</w:t>
            </w:r>
            <w:r>
              <w:rPr/>
              <w:t> </w:t>
            </w:r>
            <w:r>
              <w:rPr>
                <w:rFonts w:ascii="arial" w:hAnsi="arial"/>
                <w:sz w:val="18"/>
              </w:rPr>
              <w:t>Transformations</w:t>
            </w:r>
          </w:p>
          <w:p>
            <w:pPr>
              <w:pStyle w:val="TableContents"/>
              <w:bidi w:val="0"/>
              <w:spacing w:before="0" w:after="0"/>
              <w:jc w:val="left"/>
              <w:rPr/>
            </w:pPr>
            <w:r>
              <w:rPr>
                <w:color w:val="00AE4F"/>
              </w:rPr>
              <w:t>●</w:t>
            </w:r>
            <w:r>
              <w:rPr/>
              <w:t> </w:t>
            </w:r>
            <w:r>
              <w:rPr>
                <w:rFonts w:ascii="arial" w:hAnsi="arial"/>
                <w:sz w:val="18"/>
              </w:rPr>
              <w:t>Innovation</w:t>
            </w:r>
          </w:p>
          <w:p>
            <w:pPr>
              <w:pStyle w:val="TableContents"/>
              <w:bidi w:val="0"/>
              <w:spacing w:before="0" w:after="0"/>
              <w:jc w:val="left"/>
              <w:rPr/>
            </w:pPr>
            <w:r>
              <w:rPr>
                <w:color w:val="00AE4F"/>
              </w:rPr>
              <w:t>●</w:t>
            </w:r>
            <w:r>
              <w:rPr/>
              <w:t> </w:t>
            </w:r>
            <w:r>
              <w:rPr>
                <w:rFonts w:ascii="arial" w:hAnsi="arial"/>
                <w:sz w:val="18"/>
              </w:rPr>
              <w:t>Industry</w:t>
            </w:r>
          </w:p>
          <w:p>
            <w:pPr>
              <w:pStyle w:val="TableContents"/>
              <w:bidi w:val="0"/>
              <w:spacing w:before="0" w:after="0"/>
              <w:jc w:val="left"/>
              <w:rPr/>
            </w:pPr>
            <w:r>
              <w:rPr>
                <w:color w:val="00AE4F"/>
              </w:rPr>
              <w:t>●</w:t>
            </w:r>
            <w:r>
              <w:rPr/>
              <w:t> </w:t>
            </w:r>
            <w:r>
              <w:rPr>
                <w:rFonts w:ascii="arial" w:hAnsi="arial"/>
                <w:sz w:val="18"/>
              </w:rPr>
              <w:t>Technology/Digitization /</w:t>
            </w:r>
          </w:p>
          <w:p>
            <w:pPr>
              <w:pStyle w:val="TableContents"/>
              <w:bidi w:val="0"/>
              <w:spacing w:before="0" w:after="0"/>
              <w:jc w:val="left"/>
              <w:rPr/>
            </w:pPr>
            <w:r>
              <w:rPr/>
              <w:t>  </w:t>
            </w:r>
            <w:r>
              <w:rPr>
                <w:rFonts w:ascii="arial" w:hAnsi="arial"/>
                <w:sz w:val="18"/>
              </w:rPr>
              <w:t>Cybersecurity</w:t>
            </w:r>
          </w:p>
          <w:p>
            <w:pPr>
              <w:pStyle w:val="TableContents"/>
              <w:bidi w:val="0"/>
              <w:spacing w:before="0" w:after="0"/>
              <w:jc w:val="left"/>
              <w:rPr/>
            </w:pPr>
            <w:r>
              <w:rPr>
                <w:color w:val="00AE4F"/>
              </w:rPr>
              <w:t>●</w:t>
            </w:r>
            <w:r>
              <w:rPr/>
              <w:t> </w:t>
            </w:r>
            <w:r>
              <w:rPr>
                <w:rFonts w:ascii="arial" w:hAnsi="arial"/>
                <w:sz w:val="18"/>
              </w:rPr>
              <w:t>Financial Acumen</w:t>
            </w:r>
          </w:p>
          <w:p>
            <w:pPr>
              <w:pStyle w:val="TableContents"/>
              <w:bidi w:val="0"/>
              <w:spacing w:before="0" w:after="0"/>
              <w:jc w:val="left"/>
              <w:rPr/>
            </w:pPr>
            <w:r>
              <w:rPr>
                <w:color w:val="00AE4F"/>
              </w:rPr>
              <w:t>●</w:t>
            </w:r>
            <w:r>
              <w:rPr/>
              <w:t> </w:t>
            </w:r>
            <w:r>
              <w:rPr>
                <w:rFonts w:ascii="arial" w:hAnsi="arial"/>
                <w:sz w:val="18"/>
              </w:rPr>
              <w:t>Risk Management</w:t>
            </w:r>
          </w:p>
          <w:p>
            <w:pPr>
              <w:pStyle w:val="TableContents"/>
              <w:bidi w:val="0"/>
              <w:spacing w:before="0" w:after="0"/>
              <w:jc w:val="left"/>
              <w:rPr/>
            </w:pPr>
            <w:r>
              <w:rPr>
                <w:color w:val="00AE4F"/>
              </w:rPr>
              <w:t>●</w:t>
            </w:r>
            <w:r>
              <w:rPr/>
              <w:t> </w:t>
            </w:r>
            <w:r>
              <w:rPr>
                <w:rFonts w:ascii="arial" w:hAnsi="arial"/>
                <w:sz w:val="18"/>
              </w:rPr>
              <w:t>Legal/Corporate Governance</w:t>
            </w:r>
          </w:p>
          <w:p>
            <w:pPr>
              <w:pStyle w:val="TableContents"/>
              <w:bidi w:val="0"/>
              <w:spacing w:before="0" w:after="0"/>
              <w:jc w:val="left"/>
              <w:rPr/>
            </w:pPr>
            <w:r>
              <w:rPr>
                <w:color w:val="00AE4F"/>
              </w:rPr>
              <w:t>●</w:t>
            </w:r>
            <w:r>
              <w:rPr/>
              <w:t> </w:t>
            </w:r>
            <w:r>
              <w:rPr>
                <w:rFonts w:ascii="arial" w:hAnsi="arial"/>
                <w:sz w:val="18"/>
              </w:rPr>
              <w:t>Sustainability/ESG</w:t>
            </w:r>
          </w:p>
          <w:p>
            <w:pPr>
              <w:pStyle w:val="TableContents"/>
              <w:bidi w:val="0"/>
              <w:spacing w:before="0" w:after="20"/>
              <w:jc w:val="left"/>
              <w:rPr/>
            </w:pPr>
            <w:r>
              <w:rPr>
                <w:color w:val="00AE4F"/>
              </w:rPr>
              <w:t>●</w:t>
            </w:r>
            <w:r>
              <w:rPr/>
              <w:t> </w:t>
            </w:r>
            <w:r>
              <w:rPr>
                <w:rFonts w:ascii="arial" w:hAnsi="arial"/>
                <w:sz w:val="18"/>
              </w:rPr>
              <w:t>Mergers &amp; Acquisitions</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jc w:val="left"/>
              <w:rPr/>
            </w:pPr>
            <w:r>
              <w:rPr/>
              <w:t> </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108"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2" descr=""/>
                          <pic:cNvPicPr>
                            <a:picLocks noChangeAspect="1" noChangeArrowheads="1"/>
                          </pic:cNvPicPr>
                        </pic:nvPicPr>
                        <pic:blipFill>
                          <a:blip r:embed="rId99"/>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Proposal 1: Election of Directors </w:t>
      </w:r>
    </w:p>
    <w:p>
      <w:pPr>
        <w:pStyle w:val="TextBody"/>
        <w:bidi w:val="0"/>
        <w:spacing w:before="0" w:after="0"/>
        <w:jc w:val="left"/>
        <w:rPr/>
      </w:pPr>
      <w:r>
        <w:rPr/>
        <w:t> </w:t>
      </w:r>
    </w:p>
    <w:tbl>
      <w:tblPr>
        <w:tblW w:w="12128" w:type="dxa"/>
        <w:jc w:val="left"/>
        <w:tblInd w:w="0" w:type="dxa"/>
        <w:tblLayout w:type="fixed"/>
        <w:tblCellMar>
          <w:top w:w="0" w:type="dxa"/>
          <w:left w:w="0" w:type="dxa"/>
          <w:bottom w:w="0" w:type="dxa"/>
          <w:right w:w="0" w:type="dxa"/>
        </w:tblCellMar>
      </w:tblPr>
      <w:tblGrid>
        <w:gridCol w:w="2895"/>
        <w:gridCol w:w="120"/>
        <w:gridCol w:w="9075"/>
        <w:gridCol w:w="38"/>
      </w:tblGrid>
      <w:tr>
        <w:trPr/>
        <w:tc>
          <w:tcPr>
            <w:tcW w:w="2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75"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895" w:type="dxa"/>
            <w:vMerge w:val="restart"/>
            <w:tcBorders/>
            <w:vAlign w:val="center"/>
          </w:tcPr>
          <w:p>
            <w:pPr>
              <w:pStyle w:val="TableContents"/>
              <w:bidi w:val="0"/>
              <w:jc w:val="left"/>
              <w:rPr/>
            </w:pPr>
            <w:r>
              <w:rPr/>
              <w:drawing>
                <wp:inline distT="0" distB="0" distL="0" distR="0">
                  <wp:extent cx="1828800" cy="1828800"/>
                  <wp:effectExtent l="0" t="0" r="0" b="0"/>
                  <wp:docPr id="109"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3" descr=""/>
                          <pic:cNvPicPr>
                            <a:picLocks noChangeAspect="1" noChangeArrowheads="1"/>
                          </pic:cNvPicPr>
                        </pic:nvPicPr>
                        <pic:blipFill>
                          <a:blip r:embed="rId100"/>
                          <a:stretch>
                            <a:fillRect/>
                          </a:stretch>
                        </pic:blipFill>
                        <pic:spPr bwMode="auto">
                          <a:xfrm>
                            <a:off x="0" y="0"/>
                            <a:ext cx="1828800" cy="182880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9075" w:type="dxa"/>
            <w:vMerge w:val="restart"/>
            <w:tcBorders/>
            <w:vAlign w:val="center"/>
          </w:tcPr>
          <w:p>
            <w:pPr>
              <w:pStyle w:val="TableContents"/>
              <w:bidi w:val="0"/>
              <w:spacing w:before="0" w:after="0"/>
              <w:jc w:val="left"/>
              <w:rPr/>
            </w:pPr>
            <w:r>
              <w:rPr/>
              <w:drawing>
                <wp:inline distT="0" distB="0" distL="0" distR="0">
                  <wp:extent cx="5762625" cy="800100"/>
                  <wp:effectExtent l="0" t="0" r="0" b="0"/>
                  <wp:docPr id="110"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4" descr=""/>
                          <pic:cNvPicPr>
                            <a:picLocks noChangeAspect="1" noChangeArrowheads="1"/>
                          </pic:cNvPicPr>
                        </pic:nvPicPr>
                        <pic:blipFill>
                          <a:blip r:embed="rId101"/>
                          <a:stretch>
                            <a:fillRect/>
                          </a:stretch>
                        </pic:blipFill>
                        <pic:spPr bwMode="auto">
                          <a:xfrm>
                            <a:off x="0" y="0"/>
                            <a:ext cx="5762625" cy="800100"/>
                          </a:xfrm>
                          <a:prstGeom prst="rect">
                            <a:avLst/>
                          </a:prstGeom>
                        </pic:spPr>
                      </pic:pic>
                    </a:graphicData>
                  </a:graphic>
                </wp:inline>
              </w:drawing>
            </w:r>
            <w:r>
              <w:rPr/>
              <w:t xml:space="preserve"> </w:t>
            </w:r>
          </w:p>
          <w:p>
            <w:pPr>
              <w:pStyle w:val="TableContents"/>
              <w:bidi w:val="0"/>
              <w:spacing w:lineRule="atLeast" w:line="360" w:before="0" w:after="0"/>
              <w:jc w:val="left"/>
              <w:rPr>
                <w:rFonts w:ascii="arial" w:hAnsi="arial"/>
                <w:b/>
                <w:sz w:val="18"/>
              </w:rPr>
            </w:pPr>
            <w:r>
              <w:rPr>
                <w:rFonts w:ascii="arial" w:hAnsi="arial"/>
                <w:b/>
                <w:sz w:val="18"/>
              </w:rPr>
              <w:t>Board Committees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Compensation and Talent Management</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Principal Occupation and Directorships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President and CEO, High Desert Capital (2010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Chairman, El Paso Electric Company (2013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External Board Member, Hunt Companies, Inc. (2020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Vice Chairman, WestStar Bank (2014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Executive Vice President &amp; Chief Financial Officer, C&amp;R Distributing (2008 – 2013)</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Secretary &amp; Chief Financial Officer, Petro Stopping Centers, L.P. (2002 – 2007)</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Advisory Board Member, Transtelco, Inc. (2021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Medical Center of the Americas Foundation (2006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Executive Committee Member, Texas Business Leadership Council (2016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Member, University of Texas Chancellor’s Council Executive Committee</w:t>
              <w:br/>
              <w:t>(2022 – present)</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Education</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University of Texas at El Paso, BBA, Accounting</w:t>
            </w:r>
          </w:p>
          <w:p>
            <w:pPr>
              <w:pStyle w:val="TableContents"/>
              <w:bidi w:val="0"/>
              <w:spacing w:before="0" w:after="0"/>
              <w:jc w:val="left"/>
              <w:rPr/>
            </w:pPr>
            <w:r>
              <w:rPr/>
              <w:t> </w:t>
            </w:r>
          </w:p>
          <w:p>
            <w:pPr>
              <w:pStyle w:val="TableContents"/>
              <w:bidi w:val="0"/>
              <w:spacing w:before="0" w:after="20"/>
              <w:jc w:val="left"/>
              <w:rPr>
                <w:rFonts w:ascii="arial" w:hAnsi="arial"/>
                <w:sz w:val="17"/>
              </w:rPr>
            </w:pPr>
            <w:r>
              <w:rPr>
                <w:rFonts w:ascii="arial" w:hAnsi="arial"/>
                <w:sz w:val="17"/>
              </w:rPr>
              <w:t>Mr. Escudero joined the Board in January 2026. He is the President and CEO of High Desert Capital, an El Paso-based small business financing company, and Vice Chairman of WestStar Bank. He previously served as Executive Vice President and CFO of C&amp;R Distributing and as Secretary and CFO of Petro Stopping Centers, L.P. Mr. Escudero is Chairman of the El Paso Electric Company and serves on the boards of Flo Networks, the Medical Center of the Americas Foundation, the Hospitals of Providence Memorial &amp; Sierra Campuses, Paso del Norte Community Foundation, and a range of other civic and business organizations. Mr. Escudero has received several awards that recognize his achievements and philanthropic efforts, including the UTEP Distinguished Alumni in 2023, Lucy G. Acosta Humanitarian Award in 2020, the Community Spirit Award in 2015, El Paso Business Hall of Fame Award in 2014, the Hispanos Triunfadores Award in 2013, and the UTEP Gold Nugget Award in 2012.</w:t>
            </w:r>
          </w:p>
        </w:tc>
        <w:tc>
          <w:tcPr>
            <w:tcW w:w="38" w:type="dxa"/>
            <w:tcBorders/>
          </w:tcPr>
          <w:p>
            <w:pPr>
              <w:pStyle w:val="TableContents"/>
              <w:bidi w:val="0"/>
              <w:spacing w:before="0" w:after="283"/>
              <w:jc w:val="left"/>
              <w:rPr>
                <w:sz w:val="4"/>
                <w:szCs w:val="4"/>
              </w:rPr>
            </w:pPr>
            <w:r>
              <w:rPr>
                <w:sz w:val="4"/>
                <w:szCs w:val="4"/>
              </w:rPr>
            </w:r>
          </w:p>
        </w:tc>
      </w:tr>
      <w:tr>
        <w:trPr/>
        <w:tc>
          <w:tcPr>
            <w:tcW w:w="289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9075"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895" w:type="dxa"/>
            <w:tcBorders>
              <w:top w:val="single" w:sz="6" w:space="0" w:color="00AE4F"/>
              <w:left w:val="single" w:sz="6" w:space="0" w:color="00AE4F"/>
              <w:bottom w:val="single" w:sz="6" w:space="0" w:color="00AE4F"/>
              <w:right w:val="single" w:sz="6" w:space="0" w:color="00AE4F"/>
            </w:tcBorders>
            <w:tcMar>
              <w:top w:w="28" w:type="dxa"/>
              <w:left w:w="160" w:type="dxa"/>
              <w:bottom w:w="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Specific Experience and Skills</w:t>
            </w:r>
          </w:p>
          <w:p>
            <w:pPr>
              <w:pStyle w:val="TableContents"/>
              <w:bidi w:val="0"/>
              <w:spacing w:before="0" w:after="0"/>
              <w:jc w:val="left"/>
              <w:rPr/>
            </w:pPr>
            <w:r>
              <w:rPr>
                <w:color w:val="00AE4F"/>
              </w:rPr>
              <w:t>●</w:t>
            </w:r>
            <w:r>
              <w:rPr/>
              <w:t> </w:t>
            </w:r>
            <w:r>
              <w:rPr>
                <w:rFonts w:ascii="arial" w:hAnsi="arial"/>
                <w:sz w:val="18"/>
              </w:rPr>
              <w:t>Executive Leadership</w:t>
            </w:r>
          </w:p>
          <w:p>
            <w:pPr>
              <w:pStyle w:val="TableContents"/>
              <w:bidi w:val="0"/>
              <w:spacing w:before="0" w:after="0"/>
              <w:jc w:val="left"/>
              <w:rPr/>
            </w:pPr>
            <w:r>
              <w:rPr>
                <w:color w:val="00AE4F"/>
              </w:rPr>
              <w:t>●</w:t>
            </w:r>
            <w:r>
              <w:rPr/>
              <w:t> </w:t>
            </w:r>
            <w:r>
              <w:rPr>
                <w:rFonts w:ascii="arial" w:hAnsi="arial"/>
                <w:sz w:val="18"/>
              </w:rPr>
              <w:t>Transformations</w:t>
            </w:r>
          </w:p>
          <w:p>
            <w:pPr>
              <w:pStyle w:val="TableContents"/>
              <w:bidi w:val="0"/>
              <w:spacing w:before="0" w:after="0"/>
              <w:jc w:val="left"/>
              <w:rPr/>
            </w:pPr>
            <w:r>
              <w:rPr>
                <w:color w:val="00AE4F"/>
              </w:rPr>
              <w:t>●</w:t>
            </w:r>
            <w:r>
              <w:rPr/>
              <w:t> </w:t>
            </w:r>
            <w:r>
              <w:rPr>
                <w:rFonts w:ascii="arial" w:hAnsi="arial"/>
                <w:sz w:val="18"/>
              </w:rPr>
              <w:t>Financial Acumen</w:t>
            </w:r>
          </w:p>
          <w:p>
            <w:pPr>
              <w:pStyle w:val="TableContents"/>
              <w:bidi w:val="0"/>
              <w:spacing w:before="0" w:after="20"/>
              <w:jc w:val="left"/>
              <w:rPr/>
            </w:pPr>
            <w:r>
              <w:rPr>
                <w:color w:val="00AE4F"/>
              </w:rPr>
              <w:t>●</w:t>
            </w:r>
            <w:r>
              <w:rPr/>
              <w:t> </w:t>
            </w:r>
            <w:r>
              <w:rPr>
                <w:rFonts w:ascii="arial" w:hAnsi="arial"/>
                <w:sz w:val="18"/>
              </w:rPr>
              <w:t>Mergers &amp; Acquisitions</w:t>
            </w:r>
          </w:p>
        </w:tc>
        <w:tc>
          <w:tcPr>
            <w:tcW w:w="120" w:type="dxa"/>
            <w:vMerge w:val="continue"/>
            <w:tcBorders/>
            <w:vAlign w:val="center"/>
          </w:tcPr>
          <w:p>
            <w:pPr>
              <w:pStyle w:val="Normal"/>
              <w:bidi w:val="0"/>
              <w:jc w:val="left"/>
              <w:rPr/>
            </w:pPr>
            <w:r>
              <w:rPr/>
            </w:r>
          </w:p>
        </w:tc>
        <w:tc>
          <w:tcPr>
            <w:tcW w:w="9075" w:type="dxa"/>
            <w:vMerge w:val="continue"/>
            <w:tcBorders/>
            <w:vAlign w:val="center"/>
          </w:tcPr>
          <w:p>
            <w:pPr>
              <w:pStyle w:val="Normal"/>
              <w:bidi w:val="0"/>
              <w:jc w:val="left"/>
              <w:rPr/>
            </w:pPr>
            <w:r>
              <w:rPr/>
            </w:r>
          </w:p>
        </w:tc>
        <w:tc>
          <w:tcPr>
            <w:tcW w:w="38" w:type="dxa"/>
            <w:tcBorders/>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75" w:type="dxa"/>
            <w:vMerge w:val="continue"/>
            <w:tcBorders/>
            <w:vAlign w:val="center"/>
          </w:tcPr>
          <w:p>
            <w:pPr>
              <w:pStyle w:val="Normal"/>
              <w:bidi w:val="0"/>
              <w:jc w:val="left"/>
              <w:rPr/>
            </w:pPr>
            <w:r>
              <w:rPr/>
            </w:r>
          </w:p>
        </w:tc>
        <w:tc>
          <w:tcPr>
            <w:tcW w:w="38" w:type="dxa"/>
            <w:tcBorders/>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jc w:val="left"/>
              <w:rPr/>
            </w:pPr>
            <w:r>
              <w:rPr/>
              <w:t> </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9075" w:type="dxa"/>
            <w:vMerge w:val="continue"/>
            <w:tcBorders/>
            <w:vAlign w:val="center"/>
          </w:tcPr>
          <w:p>
            <w:pPr>
              <w:pStyle w:val="Normal"/>
              <w:bidi w:val="0"/>
              <w:jc w:val="left"/>
              <w:rPr/>
            </w:pPr>
            <w:r>
              <w:rPr/>
            </w:r>
          </w:p>
        </w:tc>
        <w:tc>
          <w:tcPr>
            <w:tcW w:w="38" w:type="dxa"/>
            <w:tcBorders/>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75" w:type="dxa"/>
            <w:vMerge w:val="continue"/>
            <w:tcBorders/>
            <w:vAlign w:val="center"/>
          </w:tcPr>
          <w:p>
            <w:pPr>
              <w:pStyle w:val="Normal"/>
              <w:bidi w:val="0"/>
              <w:jc w:val="left"/>
              <w:rPr/>
            </w:pPr>
            <w:r>
              <w:rPr/>
            </w:r>
          </w:p>
        </w:tc>
        <w:tc>
          <w:tcPr>
            <w:tcW w:w="3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111"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5" descr=""/>
                          <pic:cNvPicPr>
                            <a:picLocks noChangeAspect="1" noChangeArrowheads="1"/>
                          </pic:cNvPicPr>
                        </pic:nvPicPr>
                        <pic:blipFill>
                          <a:blip r:embed="rId102"/>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Proposal 1: Election of Directors </w:t>
      </w:r>
    </w:p>
    <w:p>
      <w:pPr>
        <w:pStyle w:val="TextBody"/>
        <w:bidi w:val="0"/>
        <w:spacing w:before="0" w:after="0"/>
        <w:jc w:val="left"/>
        <w:rPr/>
      </w:pPr>
      <w:r>
        <w:rPr/>
        <w:t> </w:t>
      </w:r>
    </w:p>
    <w:tbl>
      <w:tblPr>
        <w:tblW w:w="12105" w:type="dxa"/>
        <w:jc w:val="left"/>
        <w:tblInd w:w="0" w:type="dxa"/>
        <w:tblLayout w:type="fixed"/>
        <w:tblCellMar>
          <w:top w:w="0" w:type="dxa"/>
          <w:left w:w="0" w:type="dxa"/>
          <w:bottom w:w="0" w:type="dxa"/>
          <w:right w:w="0" w:type="dxa"/>
        </w:tblCellMar>
      </w:tblPr>
      <w:tblGrid>
        <w:gridCol w:w="2895"/>
        <w:gridCol w:w="120"/>
        <w:gridCol w:w="9090"/>
      </w:tblGrid>
      <w:tr>
        <w:trPr/>
        <w:tc>
          <w:tcPr>
            <w:tcW w:w="2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90" w:type="dxa"/>
            <w:tcBorders/>
            <w:vAlign w:val="center"/>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left"/>
              <w:rPr/>
            </w:pPr>
            <w:r>
              <w:rPr/>
              <w:drawing>
                <wp:inline distT="0" distB="0" distL="0" distR="0">
                  <wp:extent cx="1828800" cy="1828800"/>
                  <wp:effectExtent l="0" t="0" r="0" b="0"/>
                  <wp:docPr id="112"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6" descr=""/>
                          <pic:cNvPicPr>
                            <a:picLocks noChangeAspect="1" noChangeArrowheads="1"/>
                          </pic:cNvPicPr>
                        </pic:nvPicPr>
                        <pic:blipFill>
                          <a:blip r:embed="rId103"/>
                          <a:stretch>
                            <a:fillRect/>
                          </a:stretch>
                        </pic:blipFill>
                        <pic:spPr bwMode="auto">
                          <a:xfrm>
                            <a:off x="0" y="0"/>
                            <a:ext cx="1828800" cy="1828800"/>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9090" w:type="dxa"/>
            <w:vMerge w:val="restart"/>
            <w:tcBorders/>
            <w:vAlign w:val="center"/>
          </w:tcPr>
          <w:p>
            <w:pPr>
              <w:pStyle w:val="TableContents"/>
              <w:bidi w:val="0"/>
              <w:spacing w:before="0" w:after="0"/>
              <w:jc w:val="left"/>
              <w:rPr/>
            </w:pPr>
            <w:r>
              <w:rPr/>
              <w:drawing>
                <wp:inline distT="0" distB="0" distL="0" distR="0">
                  <wp:extent cx="5762625" cy="800100"/>
                  <wp:effectExtent l="0" t="0" r="0" b="0"/>
                  <wp:docPr id="113"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7" descr=""/>
                          <pic:cNvPicPr>
                            <a:picLocks noChangeAspect="1" noChangeArrowheads="1"/>
                          </pic:cNvPicPr>
                        </pic:nvPicPr>
                        <pic:blipFill>
                          <a:blip r:embed="rId104"/>
                          <a:stretch>
                            <a:fillRect/>
                          </a:stretch>
                        </pic:blipFill>
                        <pic:spPr bwMode="auto">
                          <a:xfrm>
                            <a:off x="0" y="0"/>
                            <a:ext cx="5762625" cy="800100"/>
                          </a:xfrm>
                          <a:prstGeom prst="rect">
                            <a:avLst/>
                          </a:prstGeom>
                        </pic:spPr>
                      </pic:pic>
                    </a:graphicData>
                  </a:graphic>
                </wp:inline>
              </w:drawing>
            </w:r>
            <w:r>
              <w:rPr/>
              <w:t xml:space="preserve"> </w:t>
            </w:r>
          </w:p>
          <w:p>
            <w:pPr>
              <w:pStyle w:val="TableContents"/>
              <w:bidi w:val="0"/>
              <w:spacing w:lineRule="atLeast" w:line="360" w:before="0" w:after="0"/>
              <w:jc w:val="left"/>
              <w:rPr>
                <w:rFonts w:ascii="arial" w:hAnsi="arial"/>
                <w:b/>
                <w:sz w:val="18"/>
              </w:rPr>
            </w:pPr>
            <w:r>
              <w:rPr>
                <w:rFonts w:ascii="arial" w:hAnsi="arial"/>
                <w:b/>
                <w:sz w:val="18"/>
              </w:rPr>
              <w:t>Board Committees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Lead Director</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Corporate Governance and Nominating</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Principal Occupation and Directorships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Non-Executive Chairman, Hunt Companies, Inc. (2015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and Chairman of Investment Committee, Aspida Holdings (2013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Cartiga LLC (2022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Vice Chairman and Trustee, St. John’s Health, Jackson, WY (2023—present)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PennyMac Financial Services, Inc. (2013 – 2024) (Lead Director 2013 – 2022)</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Ares Dynamic Credit Allocation Fund Inc. (NYSE: ARDC) (2017 -2023)</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CION Ares Diversified Credit Fund (2017 – 2023)</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Founder, CEO, and Chief Investment Officer, THL Credit, Inc. and THL Credit Advisors (2007 – 2015)</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Co-Founder, CEO and Managing Partner, Bison Capital Asset Management (2001—2007)</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Education</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University of Texas at El Paso, BBA, Accounting and Economics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Wharton School at the University of Pennsylvania, MBA</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On January 30, 2026, Mr. Hunt was named Lead Director of the Board at Kelly. He currently serves as the principal of Tournament Capital Advisors LLC, where he specializes in consulting and investing across private equity and credit markets. Previously, Mr. Hunt was Managing Partner and CEO of Middle Market Credit at Kayne Anderson Capital Advisors. He also served as Non-Executive Chairman of THL Credit, Inc., where he was a founder, Chief Executive Officer, and Chief Investment Officer of both THL Credit, Inc. and THL Credit Advisors. Earlier in his career, he held senior leadership positions at Bison Capital Asset Management and SunAmerica Investments. Mr. Hunt began his professional journey at Citibank/Citicorp, ultimately becoming the Far West Area Head of Leveraged Capital.</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Currently, Mr. Hunt is the Lead Director of PennyMac Financial Services, Inc., and serves on the boards of Ares Dynamic Credit Allocation Fund and CION Ares Diversified Credit Fund.</w:t>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top w:val="single" w:sz="6" w:space="0" w:color="00AE4F"/>
              <w:left w:val="single" w:sz="6" w:space="0" w:color="00AE4F"/>
              <w:bottom w:val="single" w:sz="6" w:space="0" w:color="00AE4F"/>
              <w:right w:val="single" w:sz="6" w:space="0" w:color="00AE4F"/>
            </w:tcBorders>
            <w:tcMar>
              <w:top w:w="28" w:type="dxa"/>
              <w:left w:w="160" w:type="dxa"/>
              <w:bottom w:w="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Specific Experience and Skills</w:t>
            </w:r>
          </w:p>
          <w:p>
            <w:pPr>
              <w:pStyle w:val="TableContents"/>
              <w:bidi w:val="0"/>
              <w:spacing w:before="0" w:after="0"/>
              <w:jc w:val="left"/>
              <w:rPr/>
            </w:pPr>
            <w:r>
              <w:rPr>
                <w:color w:val="00AE4F"/>
              </w:rPr>
              <w:t>●</w:t>
            </w:r>
            <w:r>
              <w:rPr/>
              <w:t> </w:t>
            </w:r>
            <w:r>
              <w:rPr>
                <w:rFonts w:ascii="arial" w:hAnsi="arial"/>
                <w:sz w:val="18"/>
              </w:rPr>
              <w:t>Executive Leadership</w:t>
            </w:r>
          </w:p>
          <w:p>
            <w:pPr>
              <w:pStyle w:val="TableContents"/>
              <w:bidi w:val="0"/>
              <w:spacing w:before="0" w:after="0"/>
              <w:jc w:val="left"/>
              <w:rPr/>
            </w:pPr>
            <w:r>
              <w:rPr>
                <w:color w:val="00AE4F"/>
              </w:rPr>
              <w:t>●</w:t>
            </w:r>
            <w:r>
              <w:rPr/>
              <w:t> </w:t>
            </w:r>
            <w:r>
              <w:rPr>
                <w:rFonts w:ascii="arial" w:hAnsi="arial"/>
                <w:sz w:val="18"/>
              </w:rPr>
              <w:t>Transformations</w:t>
            </w:r>
          </w:p>
          <w:p>
            <w:pPr>
              <w:pStyle w:val="TableContents"/>
              <w:bidi w:val="0"/>
              <w:spacing w:before="0" w:after="0"/>
              <w:jc w:val="left"/>
              <w:rPr/>
            </w:pPr>
            <w:r>
              <w:rPr>
                <w:color w:val="00AE4F"/>
              </w:rPr>
              <w:t>●</w:t>
            </w:r>
            <w:r>
              <w:rPr/>
              <w:t> </w:t>
            </w:r>
            <w:r>
              <w:rPr>
                <w:rFonts w:ascii="arial" w:hAnsi="arial"/>
                <w:sz w:val="18"/>
              </w:rPr>
              <w:t>Financial Expert</w:t>
            </w:r>
          </w:p>
          <w:p>
            <w:pPr>
              <w:pStyle w:val="TableContents"/>
              <w:bidi w:val="0"/>
              <w:spacing w:before="0" w:after="0"/>
              <w:jc w:val="left"/>
              <w:rPr/>
            </w:pPr>
            <w:r>
              <w:rPr>
                <w:color w:val="00AE4F"/>
              </w:rPr>
              <w:t>●</w:t>
            </w:r>
            <w:r>
              <w:rPr/>
              <w:t> </w:t>
            </w:r>
            <w:r>
              <w:rPr>
                <w:rFonts w:ascii="arial" w:hAnsi="arial"/>
                <w:sz w:val="18"/>
              </w:rPr>
              <w:t>Risk Management</w:t>
            </w:r>
          </w:p>
          <w:p>
            <w:pPr>
              <w:pStyle w:val="TableContents"/>
              <w:bidi w:val="0"/>
              <w:spacing w:before="0" w:after="0"/>
              <w:jc w:val="left"/>
              <w:rPr/>
            </w:pPr>
            <w:r>
              <w:rPr>
                <w:color w:val="00AE4F"/>
              </w:rPr>
              <w:t>●</w:t>
            </w:r>
            <w:r>
              <w:rPr/>
              <w:t> </w:t>
            </w:r>
            <w:r>
              <w:rPr>
                <w:rFonts w:ascii="arial" w:hAnsi="arial"/>
                <w:sz w:val="18"/>
              </w:rPr>
              <w:t>Legal/Corporate Governance</w:t>
            </w:r>
          </w:p>
          <w:p>
            <w:pPr>
              <w:pStyle w:val="TableContents"/>
              <w:bidi w:val="0"/>
              <w:spacing w:before="0" w:after="20"/>
              <w:jc w:val="left"/>
              <w:rPr/>
            </w:pPr>
            <w:r>
              <w:rPr>
                <w:color w:val="00AE4F"/>
              </w:rPr>
              <w:t>●</w:t>
            </w:r>
            <w:r>
              <w:rPr/>
              <w:t> </w:t>
            </w:r>
            <w:r>
              <w:rPr>
                <w:rFonts w:ascii="arial" w:hAnsi="arial"/>
                <w:sz w:val="18"/>
              </w:rPr>
              <w:t>Mergers &amp; Acquisitions</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114"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8" descr=""/>
                          <pic:cNvPicPr>
                            <a:picLocks noChangeAspect="1" noChangeArrowheads="1"/>
                          </pic:cNvPicPr>
                        </pic:nvPicPr>
                        <pic:blipFill>
                          <a:blip r:embed="rId105"/>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Proposal 1: Election of Directors </w:t>
      </w:r>
    </w:p>
    <w:p>
      <w:pPr>
        <w:pStyle w:val="TextBody"/>
        <w:bidi w:val="0"/>
        <w:spacing w:before="0" w:after="0"/>
        <w:jc w:val="left"/>
        <w:rPr/>
      </w:pPr>
      <w:r>
        <w:rPr/>
        <w:t> </w:t>
      </w:r>
    </w:p>
    <w:tbl>
      <w:tblPr>
        <w:tblW w:w="12105" w:type="dxa"/>
        <w:jc w:val="left"/>
        <w:tblInd w:w="0" w:type="dxa"/>
        <w:tblLayout w:type="fixed"/>
        <w:tblCellMar>
          <w:top w:w="0" w:type="dxa"/>
          <w:left w:w="0" w:type="dxa"/>
          <w:bottom w:w="0" w:type="dxa"/>
          <w:right w:w="0" w:type="dxa"/>
        </w:tblCellMar>
      </w:tblPr>
      <w:tblGrid>
        <w:gridCol w:w="2895"/>
        <w:gridCol w:w="120"/>
        <w:gridCol w:w="9090"/>
      </w:tblGrid>
      <w:tr>
        <w:trPr/>
        <w:tc>
          <w:tcPr>
            <w:tcW w:w="2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90" w:type="dxa"/>
            <w:tcBorders/>
            <w:vAlign w:val="center"/>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center"/>
              <w:rPr/>
            </w:pPr>
            <w:r>
              <w:rPr/>
              <w:drawing>
                <wp:inline distT="0" distB="0" distL="0" distR="0">
                  <wp:extent cx="1828800" cy="1828800"/>
                  <wp:effectExtent l="0" t="0" r="0" b="0"/>
                  <wp:docPr id="115"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9" descr=""/>
                          <pic:cNvPicPr>
                            <a:picLocks noChangeAspect="1" noChangeArrowheads="1"/>
                          </pic:cNvPicPr>
                        </pic:nvPicPr>
                        <pic:blipFill>
                          <a:blip r:embed="rId106"/>
                          <a:stretch>
                            <a:fillRect/>
                          </a:stretch>
                        </pic:blipFill>
                        <pic:spPr bwMode="auto">
                          <a:xfrm>
                            <a:off x="0" y="0"/>
                            <a:ext cx="1828800" cy="1828800"/>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9090" w:type="dxa"/>
            <w:vMerge w:val="restart"/>
            <w:tcBorders/>
            <w:vAlign w:val="center"/>
          </w:tcPr>
          <w:p>
            <w:pPr>
              <w:pStyle w:val="TableContents"/>
              <w:bidi w:val="0"/>
              <w:spacing w:before="0" w:after="0"/>
              <w:jc w:val="left"/>
              <w:rPr/>
            </w:pPr>
            <w:r>
              <w:rPr/>
              <w:drawing>
                <wp:inline distT="0" distB="0" distL="0" distR="0">
                  <wp:extent cx="5762625" cy="790575"/>
                  <wp:effectExtent l="0" t="0" r="0" b="0"/>
                  <wp:docPr id="116"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0" descr=""/>
                          <pic:cNvPicPr>
                            <a:picLocks noChangeAspect="1" noChangeArrowheads="1"/>
                          </pic:cNvPicPr>
                        </pic:nvPicPr>
                        <pic:blipFill>
                          <a:blip r:embed="rId107"/>
                          <a:stretch>
                            <a:fillRect/>
                          </a:stretch>
                        </pic:blipFill>
                        <pic:spPr bwMode="auto">
                          <a:xfrm>
                            <a:off x="0" y="0"/>
                            <a:ext cx="5762625" cy="790575"/>
                          </a:xfrm>
                          <a:prstGeom prst="rect">
                            <a:avLst/>
                          </a:prstGeom>
                        </pic:spPr>
                      </pic:pic>
                    </a:graphicData>
                  </a:graphic>
                </wp:inline>
              </w:drawing>
            </w:r>
            <w:r>
              <w:rPr/>
              <w:t xml:space="preserve"> </w:t>
            </w:r>
          </w:p>
          <w:p>
            <w:pPr>
              <w:pStyle w:val="TableContents"/>
              <w:bidi w:val="0"/>
              <w:spacing w:lineRule="atLeast" w:line="360" w:before="0" w:after="0"/>
              <w:jc w:val="left"/>
              <w:rPr>
                <w:rFonts w:ascii="arial" w:hAnsi="arial"/>
                <w:b/>
                <w:sz w:val="18"/>
              </w:rPr>
            </w:pPr>
            <w:r>
              <w:rPr>
                <w:rFonts w:ascii="arial" w:hAnsi="arial"/>
                <w:b/>
                <w:sz w:val="18"/>
              </w:rPr>
              <w:t>Board Committees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None</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Principal Occupation and Directorships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President, Hunt Companies, Inc. (2025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Executive Vice President, Hunt Companies, Inc. (2019 – 2025)</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Senior Vice President, Hunt Companies, Inc. (2017 – 2019)</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Education</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Texas Christian University, BA, Finance and Accounting</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Mr. McCrory is the President of Hunt Companies, Inc. He joined Hunt in 2017 as Senior Vice President, was promoted to Executive Vice President in 2019, and became President in 2025. In addition to his leadership role, Mr. McCrory serves on Hunt’s Executive Committee, Investment Committee, and Finance Committee. He is also a member of the Board of Directors for several Hunt Companies affiliates, including Boyd Watterson, Carter USA, City Light &amp; Power, Inman Solar, Moss Construction, Monarch Private Capital, and View Homes, where he plays a pivotal role in optimizing governance and shaping each business’s strategic direction. Mr. McCrory also serves on the Board of Directors for Las Palmas Del Sol Medical Center. He brings a wealth of leadership experience and corporate know-how to the Kelly board.</w:t>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top w:val="single" w:sz="6" w:space="0" w:color="00AE4F"/>
              <w:left w:val="single" w:sz="6" w:space="0" w:color="00AE4F"/>
              <w:bottom w:val="single" w:sz="6" w:space="0" w:color="00AE4F"/>
              <w:right w:val="single" w:sz="6" w:space="0" w:color="00AE4F"/>
            </w:tcBorders>
            <w:tcMar>
              <w:top w:w="28" w:type="dxa"/>
              <w:left w:w="160" w:type="dxa"/>
              <w:bottom w:w="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Specific Experience and Skills</w:t>
            </w:r>
          </w:p>
          <w:p>
            <w:pPr>
              <w:pStyle w:val="TableContents"/>
              <w:bidi w:val="0"/>
              <w:spacing w:before="0" w:after="0"/>
              <w:jc w:val="left"/>
              <w:rPr/>
            </w:pPr>
            <w:r>
              <w:rPr>
                <w:color w:val="00AE4F"/>
              </w:rPr>
              <w:t>●</w:t>
            </w:r>
            <w:r>
              <w:rPr/>
              <w:t> </w:t>
            </w:r>
            <w:r>
              <w:rPr>
                <w:rFonts w:ascii="arial" w:hAnsi="arial"/>
                <w:sz w:val="18"/>
              </w:rPr>
              <w:t>Executive Leadership</w:t>
            </w:r>
          </w:p>
          <w:p>
            <w:pPr>
              <w:pStyle w:val="TableContents"/>
              <w:bidi w:val="0"/>
              <w:spacing w:before="0" w:after="0"/>
              <w:jc w:val="left"/>
              <w:rPr/>
            </w:pPr>
            <w:r>
              <w:rPr>
                <w:color w:val="00AE4F"/>
              </w:rPr>
              <w:t>●</w:t>
            </w:r>
            <w:r>
              <w:rPr/>
              <w:t> </w:t>
            </w:r>
            <w:r>
              <w:rPr>
                <w:rFonts w:ascii="arial" w:hAnsi="arial"/>
                <w:sz w:val="18"/>
              </w:rPr>
              <w:t>Transformations</w:t>
            </w:r>
          </w:p>
          <w:p>
            <w:pPr>
              <w:pStyle w:val="TableContents"/>
              <w:bidi w:val="0"/>
              <w:spacing w:before="0" w:after="0"/>
              <w:jc w:val="left"/>
              <w:rPr/>
            </w:pPr>
            <w:r>
              <w:rPr>
                <w:color w:val="00AE4F"/>
              </w:rPr>
              <w:t>●</w:t>
            </w:r>
            <w:r>
              <w:rPr/>
              <w:t> </w:t>
            </w:r>
            <w:r>
              <w:rPr>
                <w:rFonts w:ascii="arial" w:hAnsi="arial"/>
                <w:sz w:val="18"/>
              </w:rPr>
              <w:t>Innovation</w:t>
            </w:r>
          </w:p>
          <w:p>
            <w:pPr>
              <w:pStyle w:val="TableContents"/>
              <w:bidi w:val="0"/>
              <w:spacing w:before="0" w:after="0"/>
              <w:jc w:val="left"/>
              <w:rPr/>
            </w:pPr>
            <w:r>
              <w:rPr>
                <w:color w:val="00AE4F"/>
              </w:rPr>
              <w:t>●</w:t>
            </w:r>
            <w:r>
              <w:rPr/>
              <w:t> </w:t>
            </w:r>
            <w:r>
              <w:rPr>
                <w:rFonts w:ascii="arial" w:hAnsi="arial"/>
                <w:sz w:val="18"/>
              </w:rPr>
              <w:t>Technology/Digitization/</w:t>
            </w:r>
          </w:p>
          <w:p>
            <w:pPr>
              <w:pStyle w:val="TableContents"/>
              <w:bidi w:val="0"/>
              <w:spacing w:before="0" w:after="0"/>
              <w:jc w:val="left"/>
              <w:rPr/>
            </w:pPr>
            <w:r>
              <w:rPr/>
              <w:t>  </w:t>
            </w:r>
            <w:r>
              <w:rPr>
                <w:rFonts w:ascii="arial" w:hAnsi="arial"/>
                <w:sz w:val="18"/>
              </w:rPr>
              <w:t>Cybersecurity</w:t>
            </w:r>
          </w:p>
          <w:p>
            <w:pPr>
              <w:pStyle w:val="TableContents"/>
              <w:bidi w:val="0"/>
              <w:spacing w:before="0" w:after="0"/>
              <w:jc w:val="left"/>
              <w:rPr/>
            </w:pPr>
            <w:r>
              <w:rPr>
                <w:color w:val="00AE4F"/>
              </w:rPr>
              <w:t>●</w:t>
            </w:r>
            <w:r>
              <w:rPr/>
              <w:t> </w:t>
            </w:r>
            <w:r>
              <w:rPr>
                <w:rFonts w:ascii="arial" w:hAnsi="arial"/>
                <w:sz w:val="18"/>
              </w:rPr>
              <w:t>Financial Acumen</w:t>
            </w:r>
          </w:p>
          <w:p>
            <w:pPr>
              <w:pStyle w:val="TableContents"/>
              <w:bidi w:val="0"/>
              <w:spacing w:before="0" w:after="20"/>
              <w:jc w:val="left"/>
              <w:rPr/>
            </w:pPr>
            <w:r>
              <w:rPr>
                <w:color w:val="00AE4F"/>
              </w:rPr>
              <w:t>●</w:t>
            </w:r>
            <w:r>
              <w:rPr/>
              <w:t> </w:t>
            </w:r>
            <w:r>
              <w:rPr>
                <w:rFonts w:ascii="arial" w:hAnsi="arial"/>
                <w:sz w:val="18"/>
              </w:rPr>
              <w:t>Mergers &amp; Acquisitions</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12105" w:type="dxa"/>
        <w:jc w:val="left"/>
        <w:tblInd w:w="0" w:type="dxa"/>
        <w:tblLayout w:type="fixed"/>
        <w:tblCellMar>
          <w:top w:w="0" w:type="dxa"/>
          <w:left w:w="0" w:type="dxa"/>
          <w:bottom w:w="0" w:type="dxa"/>
          <w:right w:w="0" w:type="dxa"/>
        </w:tblCellMar>
      </w:tblPr>
      <w:tblGrid>
        <w:gridCol w:w="2895"/>
        <w:gridCol w:w="120"/>
        <w:gridCol w:w="9090"/>
      </w:tblGrid>
      <w:tr>
        <w:trPr/>
        <w:tc>
          <w:tcPr>
            <w:tcW w:w="2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90" w:type="dxa"/>
            <w:tcBorders/>
            <w:vAlign w:val="center"/>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left"/>
              <w:rPr/>
            </w:pPr>
            <w:r>
              <w:rPr/>
              <w:drawing>
                <wp:inline distT="0" distB="0" distL="0" distR="0">
                  <wp:extent cx="1828800" cy="1828800"/>
                  <wp:effectExtent l="0" t="0" r="0" b="0"/>
                  <wp:docPr id="117"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1" descr=""/>
                          <pic:cNvPicPr>
                            <a:picLocks noChangeAspect="1" noChangeArrowheads="1"/>
                          </pic:cNvPicPr>
                        </pic:nvPicPr>
                        <pic:blipFill>
                          <a:blip r:embed="rId108"/>
                          <a:stretch>
                            <a:fillRect/>
                          </a:stretch>
                        </pic:blipFill>
                        <pic:spPr bwMode="auto">
                          <a:xfrm>
                            <a:off x="0" y="0"/>
                            <a:ext cx="1828800" cy="1828800"/>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9090" w:type="dxa"/>
            <w:vMerge w:val="restart"/>
            <w:tcBorders/>
            <w:vAlign w:val="center"/>
          </w:tcPr>
          <w:p>
            <w:pPr>
              <w:pStyle w:val="TableContents"/>
              <w:bidi w:val="0"/>
              <w:spacing w:lineRule="atLeast" w:line="360" w:before="0" w:after="0"/>
              <w:jc w:val="left"/>
              <w:rPr/>
            </w:pPr>
            <w:r>
              <w:rPr/>
              <w:drawing>
                <wp:inline distT="0" distB="0" distL="0" distR="0">
                  <wp:extent cx="5762625" cy="800100"/>
                  <wp:effectExtent l="0" t="0" r="0" b="0"/>
                  <wp:docPr id="11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2" descr=""/>
                          <pic:cNvPicPr>
                            <a:picLocks noChangeAspect="1" noChangeArrowheads="1"/>
                          </pic:cNvPicPr>
                        </pic:nvPicPr>
                        <pic:blipFill>
                          <a:blip r:embed="rId109"/>
                          <a:stretch>
                            <a:fillRect/>
                          </a:stretch>
                        </pic:blipFill>
                        <pic:spPr bwMode="auto">
                          <a:xfrm>
                            <a:off x="0" y="0"/>
                            <a:ext cx="5762625" cy="800100"/>
                          </a:xfrm>
                          <a:prstGeom prst="rect">
                            <a:avLst/>
                          </a:prstGeom>
                        </pic:spPr>
                      </pic:pic>
                    </a:graphicData>
                  </a:graphic>
                </wp:inline>
              </w:drawing>
            </w:r>
            <w:r>
              <w:rPr/>
              <w:t xml:space="preserve"> </w:t>
            </w:r>
          </w:p>
          <w:p>
            <w:pPr>
              <w:pStyle w:val="TableContents"/>
              <w:bidi w:val="0"/>
              <w:spacing w:lineRule="atLeast" w:line="360" w:before="0" w:after="0"/>
              <w:jc w:val="left"/>
              <w:rPr>
                <w:rFonts w:ascii="arial" w:hAnsi="arial"/>
                <w:b/>
                <w:sz w:val="18"/>
              </w:rPr>
            </w:pPr>
            <w:r>
              <w:rPr>
                <w:rFonts w:ascii="arial" w:hAnsi="arial"/>
                <w:b/>
                <w:sz w:val="18"/>
              </w:rPr>
              <w:t>Board Committees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Audit (Chair)</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Principal Occupation and Directorships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President and CEO, Murphy Consulting, Inc. (2008—present)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Certified Public Accountant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Member of AICPA’s Governing Council (2000—present)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Detroit Legal News Company (2012—present)</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Education</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University of Michigan, BBA, Accounting</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Ms. Murphy is a certified public accountant, former chair of the American Institute of Certified Public Accountants, and former Group Managing Partner of Plante &amp; Moran, LLP, a registered national accounting firm. She brings to the Board analytical capability, understanding of economics and strategic elements of business, and expertise in enterprise risk management and cybersecurity. Dedicated to the highest standards of director education and ongoing learning, Ms. Murphy earned the NACD Directorship Certification and the American Institute of Certified Public Accountants’ (AICPA) Cybersecurity Fundamentals for Finance and Accounting Professionals certification. The Board determined that Ms. Murphy qualifies as an “audit committee financial expert” within the meaning of applicable SEC regulations and has the leadership skills to chair the Audit Committee.</w:t>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top w:val="single" w:sz="6" w:space="0" w:color="00AE4F"/>
              <w:left w:val="single" w:sz="6" w:space="0" w:color="00AE4F"/>
              <w:bottom w:val="single" w:sz="6" w:space="0" w:color="00AE4F"/>
              <w:right w:val="single" w:sz="6" w:space="0" w:color="00AE4F"/>
            </w:tcBorders>
            <w:tcMar>
              <w:top w:w="28" w:type="dxa"/>
              <w:left w:w="160" w:type="dxa"/>
              <w:bottom w:w="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Specific Experience and Skills</w:t>
            </w:r>
          </w:p>
          <w:p>
            <w:pPr>
              <w:pStyle w:val="TableContents"/>
              <w:bidi w:val="0"/>
              <w:spacing w:before="0" w:after="0"/>
              <w:jc w:val="left"/>
              <w:rPr/>
            </w:pPr>
            <w:r>
              <w:rPr>
                <w:color w:val="00AE4F"/>
              </w:rPr>
              <w:t>●</w:t>
            </w:r>
            <w:r>
              <w:rPr/>
              <w:t> </w:t>
            </w:r>
            <w:r>
              <w:rPr>
                <w:rFonts w:ascii="arial" w:hAnsi="arial"/>
                <w:sz w:val="18"/>
              </w:rPr>
              <w:t>Executive Leadership</w:t>
            </w:r>
          </w:p>
          <w:p>
            <w:pPr>
              <w:pStyle w:val="TableContents"/>
              <w:bidi w:val="0"/>
              <w:spacing w:before="0" w:after="0"/>
              <w:jc w:val="left"/>
              <w:rPr/>
            </w:pPr>
            <w:r>
              <w:rPr>
                <w:color w:val="00AE4F"/>
              </w:rPr>
              <w:t>●</w:t>
            </w:r>
            <w:r>
              <w:rPr/>
              <w:t> </w:t>
            </w:r>
            <w:r>
              <w:rPr>
                <w:rFonts w:ascii="arial" w:hAnsi="arial"/>
                <w:sz w:val="18"/>
              </w:rPr>
              <w:t>Transformations</w:t>
            </w:r>
          </w:p>
          <w:p>
            <w:pPr>
              <w:pStyle w:val="TableContents"/>
              <w:bidi w:val="0"/>
              <w:spacing w:before="0" w:after="0"/>
              <w:jc w:val="left"/>
              <w:rPr/>
            </w:pPr>
            <w:r>
              <w:rPr>
                <w:color w:val="00AE4F"/>
              </w:rPr>
              <w:t>●</w:t>
            </w:r>
            <w:r>
              <w:rPr/>
              <w:t> </w:t>
            </w:r>
            <w:r>
              <w:rPr>
                <w:rFonts w:ascii="arial" w:hAnsi="arial"/>
                <w:sz w:val="18"/>
              </w:rPr>
              <w:t>Industry</w:t>
            </w:r>
          </w:p>
          <w:p>
            <w:pPr>
              <w:pStyle w:val="TableContents"/>
              <w:bidi w:val="0"/>
              <w:spacing w:before="0" w:after="0"/>
              <w:jc w:val="left"/>
              <w:rPr/>
            </w:pPr>
            <w:r>
              <w:rPr>
                <w:color w:val="00AE4F"/>
              </w:rPr>
              <w:t>●</w:t>
            </w:r>
            <w:r>
              <w:rPr/>
              <w:t> </w:t>
            </w:r>
            <w:r>
              <w:rPr>
                <w:rFonts w:ascii="arial" w:hAnsi="arial"/>
                <w:sz w:val="18"/>
              </w:rPr>
              <w:t>Technology/Digitization/</w:t>
            </w:r>
          </w:p>
          <w:p>
            <w:pPr>
              <w:pStyle w:val="TableContents"/>
              <w:bidi w:val="0"/>
              <w:spacing w:before="0" w:after="0"/>
              <w:jc w:val="left"/>
              <w:rPr/>
            </w:pPr>
            <w:r>
              <w:rPr/>
              <w:t>  </w:t>
            </w:r>
            <w:r>
              <w:rPr>
                <w:rFonts w:ascii="arial" w:hAnsi="arial"/>
                <w:sz w:val="18"/>
              </w:rPr>
              <w:t>Cybersecurity</w:t>
            </w:r>
          </w:p>
          <w:p>
            <w:pPr>
              <w:pStyle w:val="TableContents"/>
              <w:bidi w:val="0"/>
              <w:spacing w:before="0" w:after="0"/>
              <w:jc w:val="left"/>
              <w:rPr/>
            </w:pPr>
            <w:r>
              <w:rPr>
                <w:color w:val="00AE4F"/>
              </w:rPr>
              <w:t>●</w:t>
            </w:r>
            <w:r>
              <w:rPr/>
              <w:t> </w:t>
            </w:r>
            <w:r>
              <w:rPr>
                <w:rFonts w:ascii="arial" w:hAnsi="arial"/>
                <w:sz w:val="18"/>
              </w:rPr>
              <w:t>Financial Expert</w:t>
            </w:r>
          </w:p>
          <w:p>
            <w:pPr>
              <w:pStyle w:val="TableContents"/>
              <w:bidi w:val="0"/>
              <w:spacing w:before="0" w:after="0"/>
              <w:jc w:val="left"/>
              <w:rPr/>
            </w:pPr>
            <w:r>
              <w:rPr>
                <w:color w:val="00AE4F"/>
              </w:rPr>
              <w:t>●</w:t>
            </w:r>
            <w:r>
              <w:rPr/>
              <w:t> </w:t>
            </w:r>
            <w:r>
              <w:rPr>
                <w:rFonts w:ascii="arial" w:hAnsi="arial"/>
                <w:sz w:val="18"/>
              </w:rPr>
              <w:t>Risk Management</w:t>
            </w:r>
          </w:p>
          <w:p>
            <w:pPr>
              <w:pStyle w:val="TableContents"/>
              <w:bidi w:val="0"/>
              <w:spacing w:before="0" w:after="0"/>
              <w:jc w:val="left"/>
              <w:rPr/>
            </w:pPr>
            <w:r>
              <w:rPr>
                <w:color w:val="00AE4F"/>
              </w:rPr>
              <w:t>●</w:t>
            </w:r>
            <w:r>
              <w:rPr/>
              <w:t> </w:t>
            </w:r>
            <w:r>
              <w:rPr>
                <w:rFonts w:ascii="arial" w:hAnsi="arial"/>
                <w:sz w:val="18"/>
              </w:rPr>
              <w:t>Legal/Corporate Governance</w:t>
            </w:r>
          </w:p>
          <w:p>
            <w:pPr>
              <w:pStyle w:val="TableContents"/>
              <w:bidi w:val="0"/>
              <w:spacing w:before="0" w:after="20"/>
              <w:jc w:val="left"/>
              <w:rPr/>
            </w:pPr>
            <w:r>
              <w:rPr>
                <w:color w:val="00AE4F"/>
              </w:rPr>
              <w:t>●</w:t>
            </w:r>
            <w:r>
              <w:rPr/>
              <w:t> </w:t>
            </w:r>
            <w:r>
              <w:rPr>
                <w:rFonts w:ascii="arial" w:hAnsi="arial"/>
                <w:sz w:val="18"/>
              </w:rPr>
              <w:t>Mergers &amp; Acquisitions</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22 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11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3" descr=""/>
                          <pic:cNvPicPr>
                            <a:picLocks noChangeAspect="1" noChangeArrowheads="1"/>
                          </pic:cNvPicPr>
                        </pic:nvPicPr>
                        <pic:blipFill>
                          <a:blip r:embed="rId110"/>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Proposal 1: Election of Directors </w:t>
      </w:r>
    </w:p>
    <w:p>
      <w:pPr>
        <w:pStyle w:val="TextBody"/>
        <w:bidi w:val="0"/>
        <w:spacing w:before="0" w:after="0"/>
        <w:jc w:val="left"/>
        <w:rPr/>
      </w:pPr>
      <w:r>
        <w:rPr/>
        <w:t> </w:t>
      </w:r>
    </w:p>
    <w:tbl>
      <w:tblPr>
        <w:tblW w:w="12105" w:type="dxa"/>
        <w:jc w:val="left"/>
        <w:tblInd w:w="0" w:type="dxa"/>
        <w:tblLayout w:type="fixed"/>
        <w:tblCellMar>
          <w:top w:w="0" w:type="dxa"/>
          <w:left w:w="0" w:type="dxa"/>
          <w:bottom w:w="0" w:type="dxa"/>
          <w:right w:w="0" w:type="dxa"/>
        </w:tblCellMar>
      </w:tblPr>
      <w:tblGrid>
        <w:gridCol w:w="2895"/>
        <w:gridCol w:w="120"/>
        <w:gridCol w:w="9090"/>
      </w:tblGrid>
      <w:tr>
        <w:trPr/>
        <w:tc>
          <w:tcPr>
            <w:tcW w:w="2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90" w:type="dxa"/>
            <w:tcBorders/>
            <w:vAlign w:val="center"/>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center"/>
              <w:rPr/>
            </w:pPr>
            <w:r>
              <w:rPr/>
              <w:drawing>
                <wp:inline distT="0" distB="0" distL="0" distR="0">
                  <wp:extent cx="1828800" cy="1828800"/>
                  <wp:effectExtent l="0" t="0" r="0" b="0"/>
                  <wp:docPr id="120"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4" descr=""/>
                          <pic:cNvPicPr>
                            <a:picLocks noChangeAspect="1" noChangeArrowheads="1"/>
                          </pic:cNvPicPr>
                        </pic:nvPicPr>
                        <pic:blipFill>
                          <a:blip r:embed="rId111"/>
                          <a:stretch>
                            <a:fillRect/>
                          </a:stretch>
                        </pic:blipFill>
                        <pic:spPr bwMode="auto">
                          <a:xfrm>
                            <a:off x="0" y="0"/>
                            <a:ext cx="1828800" cy="1828800"/>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9090" w:type="dxa"/>
            <w:vMerge w:val="restart"/>
            <w:tcBorders/>
            <w:vAlign w:val="center"/>
          </w:tcPr>
          <w:p>
            <w:pPr>
              <w:pStyle w:val="TableContents"/>
              <w:bidi w:val="0"/>
              <w:spacing w:lineRule="atLeast" w:line="360" w:before="0" w:after="0"/>
              <w:jc w:val="left"/>
              <w:rPr/>
            </w:pPr>
            <w:r>
              <w:rPr/>
              <w:drawing>
                <wp:inline distT="0" distB="0" distL="0" distR="0">
                  <wp:extent cx="5762625" cy="800100"/>
                  <wp:effectExtent l="0" t="0" r="0" b="0"/>
                  <wp:docPr id="121"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5" descr=""/>
                          <pic:cNvPicPr>
                            <a:picLocks noChangeAspect="1" noChangeArrowheads="1"/>
                          </pic:cNvPicPr>
                        </pic:nvPicPr>
                        <pic:blipFill>
                          <a:blip r:embed="rId112"/>
                          <a:stretch>
                            <a:fillRect/>
                          </a:stretch>
                        </pic:blipFill>
                        <pic:spPr bwMode="auto">
                          <a:xfrm>
                            <a:off x="0" y="0"/>
                            <a:ext cx="5762625" cy="800100"/>
                          </a:xfrm>
                          <a:prstGeom prst="rect">
                            <a:avLst/>
                          </a:prstGeom>
                        </pic:spPr>
                      </pic:pic>
                    </a:graphicData>
                  </a:graphic>
                </wp:inline>
              </w:drawing>
            </w:r>
            <w:r>
              <w:rPr/>
              <w:t xml:space="preserve"> </w:t>
            </w:r>
          </w:p>
          <w:p>
            <w:pPr>
              <w:pStyle w:val="TableContents"/>
              <w:bidi w:val="0"/>
              <w:spacing w:lineRule="atLeast" w:line="360" w:before="0" w:after="0"/>
              <w:jc w:val="left"/>
              <w:rPr>
                <w:rFonts w:ascii="arial" w:hAnsi="arial"/>
                <w:b/>
                <w:sz w:val="18"/>
              </w:rPr>
            </w:pPr>
            <w:r>
              <w:rPr>
                <w:rFonts w:ascii="arial" w:hAnsi="arial"/>
                <w:b/>
                <w:sz w:val="18"/>
              </w:rPr>
              <w:t>Board Committees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None</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Principal Occupation and Directorships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President, Bluerose Associates LLC (2023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Co-Founder and Chief Investment Officer, Venor Capital Management LP</w:t>
              <w:br/>
              <w:t>(2005 – 2023)</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Aeromexico, (2026 – present)</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Nu Ride Inc. (2024 – present)</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Education</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Wharton School at the University of Pennsylvania, BS, Finance and Accounting</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Mr. Wartell has served as President of Bluerose Associates LLC since October 2023 and as Co-Founder and Co-Chief Investment Officer of Venor Capital Management LP, a private investment management firm, since 2005. With over 35 years of experience in opportunistic credit and special situations investing, he brings expertise in strategic decision-making, risk governance, capital allocation, and stakeholder alignment. Mr. Wartell has served on the boards of several private and public companies, including Rotech Healthcare, Inc. (since 2014), Nu Ride Inc., and Aeromexico. His deep expertise in corporate finance, accounting, and financial reporting will support and enhance his contributions to the Company’s board.</w:t>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top w:val="single" w:sz="6" w:space="0" w:color="00AE4F"/>
              <w:left w:val="single" w:sz="6" w:space="0" w:color="00AE4F"/>
              <w:bottom w:val="single" w:sz="6" w:space="0" w:color="00AE4F"/>
              <w:right w:val="single" w:sz="6" w:space="0" w:color="00AE4F"/>
            </w:tcBorders>
            <w:tcMar>
              <w:top w:w="28" w:type="dxa"/>
              <w:left w:w="160" w:type="dxa"/>
              <w:bottom w:w="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Specific Experience and Skills</w:t>
            </w:r>
          </w:p>
          <w:p>
            <w:pPr>
              <w:pStyle w:val="TableContents"/>
              <w:bidi w:val="0"/>
              <w:spacing w:before="0" w:after="0"/>
              <w:jc w:val="left"/>
              <w:rPr/>
            </w:pPr>
            <w:r>
              <w:rPr>
                <w:color w:val="00AE4F"/>
              </w:rPr>
              <w:t>●</w:t>
            </w:r>
            <w:r>
              <w:rPr/>
              <w:t> </w:t>
            </w:r>
            <w:r>
              <w:rPr>
                <w:rFonts w:ascii="arial" w:hAnsi="arial"/>
                <w:sz w:val="18"/>
              </w:rPr>
              <w:t>Executive Leadership</w:t>
            </w:r>
          </w:p>
          <w:p>
            <w:pPr>
              <w:pStyle w:val="TableContents"/>
              <w:bidi w:val="0"/>
              <w:spacing w:before="0" w:after="0"/>
              <w:jc w:val="left"/>
              <w:rPr/>
            </w:pPr>
            <w:r>
              <w:rPr>
                <w:color w:val="00AE4F"/>
              </w:rPr>
              <w:t>●</w:t>
            </w:r>
            <w:r>
              <w:rPr/>
              <w:t> </w:t>
            </w:r>
            <w:r>
              <w:rPr>
                <w:rFonts w:ascii="arial" w:hAnsi="arial"/>
                <w:sz w:val="18"/>
              </w:rPr>
              <w:t>Transformations</w:t>
            </w:r>
          </w:p>
          <w:p>
            <w:pPr>
              <w:pStyle w:val="TableContents"/>
              <w:bidi w:val="0"/>
              <w:spacing w:before="0" w:after="0"/>
              <w:jc w:val="left"/>
              <w:rPr/>
            </w:pPr>
            <w:r>
              <w:rPr>
                <w:color w:val="00AE4F"/>
              </w:rPr>
              <w:t>●</w:t>
            </w:r>
            <w:r>
              <w:rPr/>
              <w:t> </w:t>
            </w:r>
            <w:r>
              <w:rPr>
                <w:rFonts w:ascii="arial" w:hAnsi="arial"/>
                <w:sz w:val="18"/>
              </w:rPr>
              <w:t>Financial Acumen</w:t>
            </w:r>
          </w:p>
          <w:p>
            <w:pPr>
              <w:pStyle w:val="TableContents"/>
              <w:bidi w:val="0"/>
              <w:spacing w:before="0" w:after="0"/>
              <w:jc w:val="left"/>
              <w:rPr/>
            </w:pPr>
            <w:r>
              <w:rPr>
                <w:color w:val="00AE4F"/>
              </w:rPr>
              <w:t>●</w:t>
            </w:r>
            <w:r>
              <w:rPr/>
              <w:t> </w:t>
            </w:r>
            <w:r>
              <w:rPr>
                <w:rFonts w:ascii="arial" w:hAnsi="arial"/>
                <w:sz w:val="18"/>
              </w:rPr>
              <w:t>Risk Management</w:t>
            </w:r>
          </w:p>
          <w:p>
            <w:pPr>
              <w:pStyle w:val="TableContents"/>
              <w:bidi w:val="0"/>
              <w:spacing w:before="0" w:after="0"/>
              <w:jc w:val="left"/>
              <w:rPr/>
            </w:pPr>
            <w:r>
              <w:rPr>
                <w:color w:val="00AE4F"/>
              </w:rPr>
              <w:t>●</w:t>
            </w:r>
            <w:r>
              <w:rPr/>
              <w:t> </w:t>
            </w:r>
            <w:r>
              <w:rPr>
                <w:rFonts w:ascii="arial" w:hAnsi="arial"/>
                <w:sz w:val="18"/>
              </w:rPr>
              <w:t>Legal/Corporate</w:t>
            </w:r>
          </w:p>
          <w:p>
            <w:pPr>
              <w:pStyle w:val="TableContents"/>
              <w:bidi w:val="0"/>
              <w:spacing w:before="0" w:after="0"/>
              <w:jc w:val="left"/>
              <w:rPr/>
            </w:pPr>
            <w:r>
              <w:rPr/>
              <w:t>  </w:t>
            </w:r>
            <w:r>
              <w:rPr>
                <w:rFonts w:ascii="arial" w:hAnsi="arial"/>
                <w:sz w:val="18"/>
              </w:rPr>
              <w:t>Governance</w:t>
            </w:r>
          </w:p>
          <w:p>
            <w:pPr>
              <w:pStyle w:val="TableContents"/>
              <w:bidi w:val="0"/>
              <w:spacing w:before="0" w:after="0"/>
              <w:jc w:val="left"/>
              <w:rPr/>
            </w:pPr>
            <w:r>
              <w:rPr>
                <w:color w:val="00AE4F"/>
              </w:rPr>
              <w:t>●</w:t>
            </w:r>
            <w:r>
              <w:rPr/>
              <w:t> </w:t>
            </w:r>
            <w:r>
              <w:rPr>
                <w:rFonts w:ascii="arial" w:hAnsi="arial"/>
                <w:sz w:val="18"/>
              </w:rPr>
              <w:t>Sustainability &amp; ESG</w:t>
            </w:r>
          </w:p>
          <w:p>
            <w:pPr>
              <w:pStyle w:val="TableContents"/>
              <w:bidi w:val="0"/>
              <w:spacing w:before="0" w:after="20"/>
              <w:jc w:val="left"/>
              <w:rPr/>
            </w:pPr>
            <w:r>
              <w:rPr>
                <w:color w:val="00AE4F"/>
              </w:rPr>
              <w:t>●</w:t>
            </w:r>
            <w:r>
              <w:rPr/>
              <w:t> </w:t>
            </w:r>
            <w:r>
              <w:rPr>
                <w:rFonts w:ascii="arial" w:hAnsi="arial"/>
                <w:sz w:val="18"/>
              </w:rPr>
              <w:t>Mergers &amp; Acquisitions</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12105" w:type="dxa"/>
        <w:jc w:val="left"/>
        <w:tblInd w:w="0" w:type="dxa"/>
        <w:tblLayout w:type="fixed"/>
        <w:tblCellMar>
          <w:top w:w="0" w:type="dxa"/>
          <w:left w:w="0" w:type="dxa"/>
          <w:bottom w:w="0" w:type="dxa"/>
          <w:right w:w="0" w:type="dxa"/>
        </w:tblCellMar>
      </w:tblPr>
      <w:tblGrid>
        <w:gridCol w:w="2895"/>
        <w:gridCol w:w="120"/>
        <w:gridCol w:w="9090"/>
      </w:tblGrid>
      <w:tr>
        <w:trPr/>
        <w:tc>
          <w:tcPr>
            <w:tcW w:w="2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90" w:type="dxa"/>
            <w:tcBorders/>
            <w:vAlign w:val="center"/>
          </w:tcPr>
          <w:p>
            <w:pPr>
              <w:pStyle w:val="TableContents"/>
              <w:bidi w:val="0"/>
              <w:spacing w:before="0" w:after="283"/>
              <w:jc w:val="left"/>
              <w:rPr>
                <w:sz w:val="4"/>
                <w:szCs w:val="4"/>
              </w:rPr>
            </w:pPr>
            <w:r>
              <w:rPr>
                <w:sz w:val="4"/>
                <w:szCs w:val="4"/>
              </w:rPr>
            </w:r>
          </w:p>
        </w:tc>
      </w:tr>
      <w:tr>
        <w:trPr/>
        <w:tc>
          <w:tcPr>
            <w:tcW w:w="2895" w:type="dxa"/>
            <w:tcBorders/>
            <w:vAlign w:val="center"/>
          </w:tcPr>
          <w:p>
            <w:pPr>
              <w:pStyle w:val="TableContents"/>
              <w:bidi w:val="0"/>
              <w:spacing w:before="0" w:after="283"/>
              <w:jc w:val="left"/>
              <w:rPr/>
            </w:pPr>
            <w:r>
              <w:rPr/>
              <w:drawing>
                <wp:inline distT="0" distB="0" distL="0" distR="0">
                  <wp:extent cx="1828800" cy="1828800"/>
                  <wp:effectExtent l="0" t="0" r="0" b="0"/>
                  <wp:docPr id="122"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6" descr=""/>
                          <pic:cNvPicPr>
                            <a:picLocks noChangeAspect="1" noChangeArrowheads="1"/>
                          </pic:cNvPicPr>
                        </pic:nvPicPr>
                        <pic:blipFill>
                          <a:blip r:embed="rId113"/>
                          <a:stretch>
                            <a:fillRect/>
                          </a:stretch>
                        </pic:blipFill>
                        <pic:spPr bwMode="auto">
                          <a:xfrm>
                            <a:off x="0" y="0"/>
                            <a:ext cx="1828800" cy="1828800"/>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9090" w:type="dxa"/>
            <w:vMerge w:val="restart"/>
            <w:tcBorders/>
            <w:vAlign w:val="center"/>
          </w:tcPr>
          <w:p>
            <w:pPr>
              <w:pStyle w:val="TableContents"/>
              <w:bidi w:val="0"/>
              <w:spacing w:before="0" w:after="0"/>
              <w:jc w:val="left"/>
              <w:rPr/>
            </w:pPr>
            <w:r>
              <w:rPr/>
              <w:drawing>
                <wp:inline distT="0" distB="0" distL="0" distR="0">
                  <wp:extent cx="5762625" cy="800100"/>
                  <wp:effectExtent l="0" t="0" r="0" b="0"/>
                  <wp:docPr id="123"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7" descr=""/>
                          <pic:cNvPicPr>
                            <a:picLocks noChangeAspect="1" noChangeArrowheads="1"/>
                          </pic:cNvPicPr>
                        </pic:nvPicPr>
                        <pic:blipFill>
                          <a:blip r:embed="rId114"/>
                          <a:stretch>
                            <a:fillRect/>
                          </a:stretch>
                        </pic:blipFill>
                        <pic:spPr bwMode="auto">
                          <a:xfrm>
                            <a:off x="0" y="0"/>
                            <a:ext cx="5762625" cy="800100"/>
                          </a:xfrm>
                          <a:prstGeom prst="rect">
                            <a:avLst/>
                          </a:prstGeom>
                        </pic:spPr>
                      </pic:pic>
                    </a:graphicData>
                  </a:graphic>
                </wp:inline>
              </w:drawing>
            </w:r>
            <w:r>
              <w:rPr/>
              <w:t xml:space="preserve"> </w:t>
            </w:r>
          </w:p>
          <w:p>
            <w:pPr>
              <w:pStyle w:val="TableContents"/>
              <w:bidi w:val="0"/>
              <w:spacing w:lineRule="atLeast" w:line="360" w:before="0" w:after="0"/>
              <w:jc w:val="left"/>
              <w:rPr>
                <w:rFonts w:ascii="arial" w:hAnsi="arial"/>
                <w:b/>
                <w:sz w:val="18"/>
              </w:rPr>
            </w:pPr>
            <w:r>
              <w:rPr>
                <w:rFonts w:ascii="arial" w:hAnsi="arial"/>
                <w:b/>
                <w:sz w:val="18"/>
              </w:rPr>
              <w:t>Board Committees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None</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Principal Occupation and Directorships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Frontier Communications (2024 – 2026)</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Director, Wolfspeed (2025)</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President and Board Member, Solidigm (2022 – 2023)</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Partner, Chairman of M&amp;A, Perella Weinberg Partners LLC (2016 – 2022)</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Vice Chairman, U.S. Investment Banking, Lazard Ltd. (2009 – 2015)</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Led the Global Technology, Media &amp; Telecommunications Group</w:t>
              <w:br/>
              <w:t>Merrill Lynch &amp; Co., Inc. (2008 – 2009)</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Managing Director, Head of Global Communications, Lehman Brothers Holdings, Inc. (1993 – 2007)</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Education</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Brown University, BA, International Relations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Cambridge University, MA, International Relations</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Yale School of Management, MPA, Public and Private Management</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Mr. Young has over 35 years of experience as an investment banker in the telecommunications and media industries, including leadership roles at several global investment banks. He served as Co-Head of the Global Telecommunications, Media &amp; Technology Group at Lazard before leading telecom and media at Perella Weinberg Partners, where he also served as the firm’s Chairman of Mergers and Acquisitions. He most recently served as President of Solidigm, where he directed finance, strategy, corporate development, human resources, legal, and IT functions. Mr. Young also served as a White House Fellow and Special Assistant to the Deputy Secretary of the U.S. Treasury, and is a member of the Council on Foreign Relations, formerly on its Term Membership Committee. Mr. Young’s extensive experience, exceptional financial acumen, and proven leadership abilities make him a valuable addition to Kelly’s board of directors.</w:t>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top w:val="single" w:sz="6" w:space="0" w:color="00AE4F"/>
              <w:left w:val="single" w:sz="6" w:space="0" w:color="00AE4F"/>
              <w:bottom w:val="single" w:sz="6" w:space="0" w:color="00AE4F"/>
              <w:right w:val="single" w:sz="6" w:space="0" w:color="00AE4F"/>
            </w:tcBorders>
            <w:tcMar>
              <w:top w:w="28" w:type="dxa"/>
              <w:left w:w="160" w:type="dxa"/>
              <w:bottom w:w="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Specific Experience and Skills</w:t>
            </w:r>
          </w:p>
          <w:p>
            <w:pPr>
              <w:pStyle w:val="TableContents"/>
              <w:bidi w:val="0"/>
              <w:spacing w:before="0" w:after="0"/>
              <w:jc w:val="left"/>
              <w:rPr/>
            </w:pPr>
            <w:r>
              <w:rPr>
                <w:color w:val="00AE4F"/>
              </w:rPr>
              <w:t>●</w:t>
            </w:r>
            <w:r>
              <w:rPr/>
              <w:t> </w:t>
            </w:r>
            <w:r>
              <w:rPr>
                <w:rFonts w:ascii="arial" w:hAnsi="arial"/>
                <w:sz w:val="18"/>
              </w:rPr>
              <w:t>Executive Leadership</w:t>
            </w:r>
          </w:p>
          <w:p>
            <w:pPr>
              <w:pStyle w:val="TableContents"/>
              <w:bidi w:val="0"/>
              <w:spacing w:before="0" w:after="0"/>
              <w:jc w:val="left"/>
              <w:rPr/>
            </w:pPr>
            <w:r>
              <w:rPr>
                <w:color w:val="00AE4F"/>
              </w:rPr>
              <w:t>●</w:t>
            </w:r>
            <w:r>
              <w:rPr/>
              <w:t> </w:t>
            </w:r>
            <w:r>
              <w:rPr>
                <w:rFonts w:ascii="arial" w:hAnsi="arial"/>
                <w:sz w:val="18"/>
              </w:rPr>
              <w:t>Transformations</w:t>
            </w:r>
          </w:p>
          <w:p>
            <w:pPr>
              <w:pStyle w:val="TableContents"/>
              <w:bidi w:val="0"/>
              <w:spacing w:before="0" w:after="0"/>
              <w:jc w:val="left"/>
              <w:rPr/>
            </w:pPr>
            <w:r>
              <w:rPr>
                <w:color w:val="00AE4F"/>
              </w:rPr>
              <w:t>●</w:t>
            </w:r>
            <w:r>
              <w:rPr/>
              <w:t> </w:t>
            </w:r>
            <w:r>
              <w:rPr>
                <w:rFonts w:ascii="arial" w:hAnsi="arial"/>
                <w:sz w:val="18"/>
              </w:rPr>
              <w:t>Financial Expert</w:t>
            </w:r>
          </w:p>
          <w:p>
            <w:pPr>
              <w:pStyle w:val="TableContents"/>
              <w:bidi w:val="0"/>
              <w:spacing w:before="0" w:after="0"/>
              <w:jc w:val="left"/>
              <w:rPr/>
            </w:pPr>
            <w:r>
              <w:rPr>
                <w:color w:val="00AE4F"/>
              </w:rPr>
              <w:t>●</w:t>
            </w:r>
            <w:r>
              <w:rPr/>
              <w:t> </w:t>
            </w:r>
            <w:r>
              <w:rPr>
                <w:rFonts w:ascii="arial" w:hAnsi="arial"/>
                <w:sz w:val="18"/>
              </w:rPr>
              <w:t>Risk Management</w:t>
            </w:r>
          </w:p>
          <w:p>
            <w:pPr>
              <w:pStyle w:val="TableContents"/>
              <w:bidi w:val="0"/>
              <w:spacing w:before="0" w:after="0"/>
              <w:jc w:val="left"/>
              <w:rPr/>
            </w:pPr>
            <w:r>
              <w:rPr>
                <w:color w:val="00AE4F"/>
              </w:rPr>
              <w:t>●</w:t>
            </w:r>
            <w:r>
              <w:rPr/>
              <w:t> </w:t>
            </w:r>
            <w:r>
              <w:rPr>
                <w:rFonts w:ascii="arial" w:hAnsi="arial"/>
                <w:sz w:val="18"/>
              </w:rPr>
              <w:t>Legal/Corporate</w:t>
            </w:r>
          </w:p>
          <w:p>
            <w:pPr>
              <w:pStyle w:val="TableContents"/>
              <w:bidi w:val="0"/>
              <w:spacing w:before="0" w:after="0"/>
              <w:jc w:val="left"/>
              <w:rPr/>
            </w:pPr>
            <w:r>
              <w:rPr/>
              <w:t>  </w:t>
            </w:r>
            <w:r>
              <w:rPr>
                <w:rFonts w:ascii="arial" w:hAnsi="arial"/>
                <w:sz w:val="18"/>
              </w:rPr>
              <w:t>Governance</w:t>
            </w:r>
          </w:p>
          <w:p>
            <w:pPr>
              <w:pStyle w:val="TableContents"/>
              <w:bidi w:val="0"/>
              <w:spacing w:before="0" w:after="20"/>
              <w:jc w:val="left"/>
              <w:rPr/>
            </w:pPr>
            <w:r>
              <w:rPr>
                <w:color w:val="00AE4F"/>
              </w:rPr>
              <w:t>●</w:t>
            </w:r>
            <w:r>
              <w:rPr/>
              <w:t> </w:t>
            </w:r>
            <w:r>
              <w:rPr>
                <w:rFonts w:ascii="arial" w:hAnsi="arial"/>
                <w:sz w:val="18"/>
              </w:rPr>
              <w:t>Mergers &amp; Acquisitions</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r>
        <w:trPr/>
        <w:tc>
          <w:tcPr>
            <w:tcW w:w="2895"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9090"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12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8" descr=""/>
                          <pic:cNvPicPr>
                            <a:picLocks noChangeAspect="1" noChangeArrowheads="1"/>
                          </pic:cNvPicPr>
                        </pic:nvPicPr>
                        <pic:blipFill>
                          <a:blip r:embed="rId115"/>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sz w:val="36"/>
        </w:rPr>
      </w:pPr>
      <w:bookmarkStart w:id="18" w:name="toc37355_16"/>
      <w:bookmarkEnd w:id="18"/>
      <w:r>
        <w:rPr>
          <w:rFonts w:ascii="arial" w:hAnsi="arial"/>
          <w:b/>
          <w:sz w:val="36"/>
        </w:rPr>
        <w:t xml:space="preserve">Corporate Governance </w:t>
      </w:r>
    </w:p>
    <w:p>
      <w:pPr>
        <w:pStyle w:val="TextBody"/>
        <w:bidi w:val="0"/>
        <w:spacing w:before="360" w:after="0"/>
        <w:jc w:val="left"/>
        <w:rPr>
          <w:rFonts w:ascii="arial" w:hAnsi="arial"/>
          <w:b/>
          <w:sz w:val="24"/>
        </w:rPr>
      </w:pPr>
      <w:bookmarkStart w:id="19" w:name="toc37355_17"/>
      <w:bookmarkEnd w:id="19"/>
      <w:r>
        <w:rPr>
          <w:rFonts w:ascii="arial" w:hAnsi="arial"/>
          <w:b/>
          <w:sz w:val="24"/>
        </w:rPr>
        <w:t xml:space="preserve">Controlled Company Exemption </w:t>
      </w:r>
    </w:p>
    <w:p>
      <w:pPr>
        <w:pStyle w:val="TextBody"/>
        <w:bidi w:val="0"/>
        <w:spacing w:before="80" w:after="0"/>
        <w:jc w:val="left"/>
        <w:rPr>
          <w:rFonts w:ascii="arial" w:hAnsi="arial"/>
          <w:sz w:val="18"/>
        </w:rPr>
      </w:pPr>
      <w:r>
        <w:rPr>
          <w:rFonts w:ascii="arial" w:hAnsi="arial"/>
          <w:sz w:val="18"/>
        </w:rPr>
        <w:t xml:space="preserve">Nasdaq, where the Company’s common stock is listed, established exemptions from its governance requirements for “controlled companies,” defined as companies in which a single person, entity, or group holds more than 50% of the voting power for the election of its directors. The Company is a “controlled company” because Hunt, discussed below, has the power to vote more than 90% of the Company’s outstanding shares of Class B Common Stock. </w:t>
      </w:r>
    </w:p>
    <w:p>
      <w:pPr>
        <w:pStyle w:val="TextBody"/>
        <w:bidi w:val="0"/>
        <w:spacing w:before="80" w:after="0"/>
        <w:jc w:val="left"/>
        <w:rPr>
          <w:rFonts w:ascii="arial" w:hAnsi="arial"/>
          <w:sz w:val="18"/>
        </w:rPr>
      </w:pPr>
      <w:r>
        <w:rPr>
          <w:rFonts w:ascii="arial" w:hAnsi="arial"/>
          <w:sz w:val="18"/>
        </w:rPr>
        <w:t xml:space="preserve">A controlled company is not required to have a majority of its board of directors comprised of independent directors. Director nominees are not required to be selected or recommended for the board’s selection by a majority of independent directors or a nominations committee comprised solely of independent directors, nor do the Nasdaq Global Select Market listing standards require a controlled company to certify the adoption of a formal written charter or board resolution, as applicable, addressing the nominations process. A controlled company is also exempt from the Nasdaq Global Select Market’s requirements regarding the determination of officer compensation by a majority of independent directors or a compensation committee comprised solely of independent directors. A controlled company is required to have an audit committee composed of at least three directors who are independent as defined under the rules of both the SEC and the Nasdaq Global Select Market. The Nasdaq Global Select Market further requires that all members of the audit committee have the ability to read and understand fundamental financial statements and that at least one member of the audit committee possesses financial sophistication. The independent directors must also meet at least twice a year in meetings at which only they are present. </w:t>
      </w:r>
    </w:p>
    <w:p>
      <w:pPr>
        <w:pStyle w:val="TextBody"/>
        <w:bidi w:val="0"/>
        <w:spacing w:before="80" w:after="0"/>
        <w:jc w:val="left"/>
        <w:rPr>
          <w:rFonts w:ascii="arial" w:hAnsi="arial"/>
          <w:sz w:val="18"/>
        </w:rPr>
      </w:pPr>
      <w:r>
        <w:rPr>
          <w:rFonts w:ascii="arial" w:hAnsi="arial"/>
          <w:sz w:val="18"/>
        </w:rPr>
        <w:t xml:space="preserve">As a “controlled company” under Nasdaq Global Select Market listing standards, we have elected to rely on the controlled company exemptions from certain corporate governance requirements. As a result, we are not required to (i) have director nominees selected or recommended to our board of directors by independent directors (either through a committee composed entirely of independent directors or by a majority of the independent directors on our board of directors) or (ii) have a compensation committee composed entirely of independent directors. Accordingly, the protections that these requirements are intended to provide may not be available to our stockholders, and our controlling stockholder may be able to exert significant influence over matters such as director nominations and executive compensation. In the future, we may elect to rely on additional controlled company exemptions (including exemptions relating to board and committee independence), to the extent we continue to qualify as a controlled company. </w:t>
      </w:r>
    </w:p>
    <w:p>
      <w:pPr>
        <w:pStyle w:val="TextBody"/>
        <w:bidi w:val="0"/>
        <w:spacing w:before="80" w:after="0"/>
        <w:jc w:val="left"/>
        <w:rPr>
          <w:rFonts w:ascii="arial" w:hAnsi="arial"/>
          <w:sz w:val="18"/>
        </w:rPr>
      </w:pPr>
      <w:r>
        <w:rPr>
          <w:rFonts w:ascii="arial" w:hAnsi="arial"/>
          <w:sz w:val="18"/>
        </w:rPr>
        <w:t xml:space="preserve">For additional information regarding arrangements with Hunt in connection with its acquisition of voting control, including governance and other matters, see “Related Person Transactions and Certain Relationships. </w:t>
      </w:r>
    </w:p>
    <w:p>
      <w:pPr>
        <w:pStyle w:val="TextBody"/>
        <w:bidi w:val="0"/>
        <w:spacing w:before="360" w:after="0"/>
        <w:jc w:val="left"/>
        <w:rPr>
          <w:rFonts w:ascii="arial" w:hAnsi="arial"/>
          <w:b/>
          <w:sz w:val="24"/>
        </w:rPr>
      </w:pPr>
      <w:bookmarkStart w:id="20" w:name="toc37355_18"/>
      <w:bookmarkEnd w:id="20"/>
      <w:r>
        <w:rPr>
          <w:rFonts w:ascii="arial" w:hAnsi="arial"/>
          <w:b/>
          <w:sz w:val="24"/>
        </w:rPr>
        <w:t xml:space="preserve">Role of the Board of Directors </w:t>
      </w:r>
    </w:p>
    <w:p>
      <w:pPr>
        <w:pStyle w:val="TextBody"/>
        <w:bidi w:val="0"/>
        <w:spacing w:before="80" w:after="0"/>
        <w:jc w:val="left"/>
        <w:rPr>
          <w:rFonts w:ascii="arial" w:hAnsi="arial"/>
          <w:sz w:val="18"/>
        </w:rPr>
      </w:pPr>
      <w:r>
        <w:rPr>
          <w:rFonts w:ascii="arial" w:hAnsi="arial"/>
          <w:sz w:val="18"/>
        </w:rPr>
        <w:t xml:space="preserve">The Board bears responsibility for the oversight of management on behalf of shareholders to ensure long-term value creation. The Board oversees and provides guidance for the Company’s business, property, and affairs. On an ongoing basis, the Board oversees management’s development and implementation of the Company’s strategy and business planning process, and monitors performance against those plans. The Board sets the tone at the top to support a corporate culture that emphasizes ethical standards, professionalism, integrity, and compliance. The Board and its committees consider long-range strategic issues and material risks facing the Company, together with management’s actions to address and mitigate these risks; oversee corporate policies and processes to promote and maintain the integrity of the Company’s financial reporting and controls, legal and ethical compliance, and relationships with customers and suppliers; review the Company’s sustainability practices and strategies; and provide oversight relative to the compensation of senior management, leadership development, and management succession planning. </w:t>
      </w:r>
    </w:p>
    <w:p>
      <w:pPr>
        <w:pStyle w:val="TextBody"/>
        <w:bidi w:val="0"/>
        <w:spacing w:before="80" w:after="0"/>
        <w:jc w:val="left"/>
        <w:rPr>
          <w:rFonts w:ascii="arial" w:hAnsi="arial"/>
          <w:sz w:val="18"/>
        </w:rPr>
      </w:pPr>
      <w:r>
        <w:rPr>
          <w:rFonts w:ascii="arial" w:hAnsi="arial"/>
          <w:sz w:val="18"/>
        </w:rPr>
        <w:t xml:space="preserve">As part of its oversight of the Company’s strategic direction, senior leadership presents to the Board at the beginning of each year the annual business plans for each business unit and the consolidated annual business plan for the Company as a whole. At each subsequent meeting throughout the year, management shares quarterly performance results for each business unit and the whole Company, and the Board benchmarks these outcomes against the annual plans. Each year, the Board engages in a strategic planning meeting with management where it conducts a comprehensive review and discussion of the Company’s strategic direction and goals over the short-, medium-, and long-term, as well as management’s plans to achieve such goals. At least twice each year, the business unit presidents provide an in-depth review and update of their businesses to the Board, which includes a review of the strategic goals of the business and business performance relative to business strategy. </w:t>
      </w:r>
    </w:p>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24 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125"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9" descr=""/>
                          <pic:cNvPicPr>
                            <a:picLocks noChangeAspect="1" noChangeArrowheads="1"/>
                          </pic:cNvPicPr>
                        </pic:nvPicPr>
                        <pic:blipFill>
                          <a:blip r:embed="rId116"/>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b/>
          <w:sz w:val="24"/>
        </w:rPr>
      </w:pPr>
      <w:bookmarkStart w:id="21" w:name="toc37355_19"/>
      <w:bookmarkEnd w:id="21"/>
      <w:r>
        <w:rPr>
          <w:rFonts w:ascii="arial" w:hAnsi="arial"/>
          <w:b/>
          <w:sz w:val="24"/>
        </w:rPr>
        <w:t xml:space="preserve">Board Leadership and Governance Structure </w:t>
      </w:r>
    </w:p>
    <w:p>
      <w:pPr>
        <w:pStyle w:val="TextBody"/>
        <w:bidi w:val="0"/>
        <w:spacing w:before="80" w:after="0"/>
        <w:jc w:val="left"/>
        <w:rPr>
          <w:rFonts w:ascii="arial" w:hAnsi="arial"/>
          <w:sz w:val="18"/>
        </w:rPr>
      </w:pPr>
      <w:r>
        <w:rPr>
          <w:rFonts w:ascii="arial" w:hAnsi="arial"/>
          <w:sz w:val="18"/>
        </w:rPr>
        <w:t xml:space="preserve">The Company’s leadership structure consists of the Chairman of the Board of Directors, a Lead Independent Director, and the Chief Executive Officer, subject to the overall authority of the Board of Directors. The Board determined that separating the roles of the Chairman of the Board and the Chief Executive Officer is in the best interest of the Company and its stockholders, as it allows the Chief Executive Officer to concentrate on day-to-day operations and strategy of the Company. James Christopher Hunt serves as Chairman of the Board, and Christopher D. Layden serves as Chief Executive Officer. </w:t>
      </w:r>
    </w:p>
    <w:p>
      <w:pPr>
        <w:pStyle w:val="TextBody"/>
        <w:bidi w:val="0"/>
        <w:spacing w:before="80" w:after="0"/>
        <w:jc w:val="left"/>
        <w:rPr>
          <w:rFonts w:ascii="arial" w:hAnsi="arial"/>
          <w:sz w:val="18"/>
        </w:rPr>
      </w:pPr>
      <w:r>
        <w:rPr>
          <w:rFonts w:ascii="arial" w:hAnsi="arial"/>
          <w:sz w:val="18"/>
        </w:rPr>
        <w:t xml:space="preserve">The Chairman of the Board’s duties include consulting with and advising our Chief Executive Officer, presiding over meetings of the Board, and presiding over meetings of shareholders. The Chairman of the Board’s duties also include providing effective leadership to the Board, including ongoing monitoring of its performance, compliance with governance requirements and best practices, establishing the annual schedule for Board meetings (in consultation with the Chief Executive Officer), </w:t>
      </w:r>
    </w:p>
    <w:p>
      <w:pPr>
        <w:pStyle w:val="TextBody"/>
        <w:bidi w:val="0"/>
        <w:spacing w:before="0" w:after="0"/>
        <w:jc w:val="left"/>
        <w:rPr>
          <w:rFonts w:ascii="arial" w:hAnsi="arial"/>
          <w:sz w:val="18"/>
        </w:rPr>
      </w:pPr>
      <w:r>
        <w:rPr>
          <w:rFonts w:ascii="arial" w:hAnsi="arial"/>
          <w:sz w:val="18"/>
        </w:rPr>
        <w:t xml:space="preserve">developing and approving agendas for Board meetings, working with the Chief Executive Officer to ensure that information flows to the Board to facilitate understanding of, and discussion regarding, matters of interest or concern to the Board, approving the information sent to the Board for meetings, establishing the schedule and agendas for and presiding over meetings, authority to call and preside over special meetings of the Board, and facilitating discussions among directors on key issues outside of Board meetings. </w:t>
      </w:r>
    </w:p>
    <w:p>
      <w:pPr>
        <w:pStyle w:val="TextBody"/>
        <w:bidi w:val="0"/>
        <w:spacing w:before="120" w:after="0"/>
        <w:jc w:val="left"/>
        <w:rPr>
          <w:rFonts w:ascii="arial" w:hAnsi="arial"/>
          <w:sz w:val="18"/>
        </w:rPr>
      </w:pPr>
      <w:r>
        <w:rPr>
          <w:rFonts w:ascii="arial" w:hAnsi="arial"/>
          <w:sz w:val="18"/>
        </w:rPr>
        <w:t xml:space="preserve">As long as the Chairman of the Board of Directors is not an independent Director, the independent Directors are required under the Board’s Corporate Governance Principles to elect one of the independent Directors as Lead Director. The Lead Director’s principal duties are to ensure the Board functions independent of management, to preside at meetings of the Board of Directors in the absence of the Chairman of the Board of Directors, to assist in the development of the agendas for meetings of the Board, to preside over meetings of the independent Directors in executive session, and to provide feedback to the Chairman of the Board of Directors and the Chief Executive Officer on those sessions. </w:t>
      </w:r>
    </w:p>
    <w:p>
      <w:pPr>
        <w:pStyle w:val="TextBody"/>
        <w:bidi w:val="0"/>
        <w:spacing w:before="80" w:after="0"/>
        <w:jc w:val="left"/>
        <w:rPr>
          <w:rFonts w:ascii="arial" w:hAnsi="arial"/>
          <w:sz w:val="18"/>
        </w:rPr>
      </w:pPr>
      <w:r>
        <w:rPr>
          <w:rFonts w:ascii="arial" w:hAnsi="arial"/>
          <w:sz w:val="18"/>
        </w:rPr>
        <w:t xml:space="preserve">The Chief Executive Officer is responsible for managing the business and affairs of the Company, subject to the oversight of the Board. The Chief Executive Officer’s duties include: providing leadership to the Company’s management team; developing and presenting to the Board the Company’s strategy and long-term plans, medium-term plans, and annual budgets, and within this framework, the performance of the business; complying with legal and corporate governance requirements, making recommendations on the appointment and compensation of executive officers, management development, and succession planning; representing the Company externally; consulting with the Chairman of the Board about developments in the Company; and communicating with all directors about key issues outside of Board meetings. </w:t>
      </w:r>
    </w:p>
    <w:p>
      <w:pPr>
        <w:pStyle w:val="TextBody"/>
        <w:bidi w:val="0"/>
        <w:spacing w:before="120" w:after="0"/>
        <w:jc w:val="left"/>
        <w:rPr>
          <w:rFonts w:ascii="arial" w:hAnsi="arial"/>
          <w:sz w:val="18"/>
        </w:rPr>
      </w:pPr>
      <w:r>
        <w:rPr>
          <w:rFonts w:ascii="arial" w:hAnsi="arial"/>
          <w:sz w:val="18"/>
        </w:rPr>
        <w:t xml:space="preserve">This leadership approach is intended to serve the interests of all stockholders of this controlled company, which has historically recognized the importance of maintaining a majority of independent directors. </w:t>
      </w:r>
    </w:p>
    <w:p>
      <w:pPr>
        <w:pStyle w:val="TextBody"/>
        <w:bidi w:val="0"/>
        <w:spacing w:before="360" w:after="0"/>
        <w:jc w:val="left"/>
        <w:rPr>
          <w:rFonts w:ascii="arial" w:hAnsi="arial"/>
          <w:b/>
          <w:sz w:val="24"/>
        </w:rPr>
      </w:pPr>
      <w:bookmarkStart w:id="22" w:name="toc37355_20"/>
      <w:bookmarkEnd w:id="22"/>
      <w:r>
        <w:rPr>
          <w:rFonts w:ascii="arial" w:hAnsi="arial"/>
          <w:b/>
          <w:sz w:val="24"/>
        </w:rPr>
        <w:t xml:space="preserve">Committees of the Board </w:t>
      </w:r>
    </w:p>
    <w:p>
      <w:pPr>
        <w:pStyle w:val="TextBody"/>
        <w:bidi w:val="0"/>
        <w:spacing w:before="80" w:after="0"/>
        <w:jc w:val="left"/>
        <w:rPr>
          <w:rFonts w:ascii="arial" w:hAnsi="arial"/>
          <w:sz w:val="18"/>
        </w:rPr>
      </w:pPr>
      <w:r>
        <w:rPr>
          <w:rFonts w:ascii="arial" w:hAnsi="arial"/>
          <w:sz w:val="18"/>
        </w:rPr>
        <w:t xml:space="preserve">The Board has established three standing committees: Audit Committee, Compensation and Talent Management Committee, and Corporate Governance and Nominating Committee. Each committee functions under a written charter adopted by the Board, which is available on the Company’s website at </w:t>
      </w:r>
      <w:r>
        <w:rPr>
          <w:rFonts w:ascii="arial" w:hAnsi="arial"/>
          <w:i/>
          <w:sz w:val="18"/>
        </w:rPr>
        <w:t>kellyservices.com</w:t>
      </w:r>
      <w:r>
        <w:rPr>
          <w:rFonts w:ascii="arial" w:hAnsi="arial"/>
          <w:sz w:val="18"/>
        </w:rPr>
        <w:t xml:space="preserve"> or to any shareholder who requests a copy. The members, responsibilities, and the number of meetings each of these committees held in 2025 are shown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49"/>
        <w:gridCol w:w="60"/>
        <w:gridCol w:w="1220"/>
        <w:gridCol w:w="120"/>
        <w:gridCol w:w="799"/>
        <w:gridCol w:w="60"/>
        <w:gridCol w:w="3203"/>
        <w:gridCol w:w="120"/>
        <w:gridCol w:w="709"/>
        <w:gridCol w:w="60"/>
        <w:gridCol w:w="3105"/>
      </w:tblGrid>
      <w:tr>
        <w:trPr/>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05" w:type="dxa"/>
            <w:tcBorders/>
            <w:vAlign w:val="center"/>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283"/>
              <w:jc w:val="center"/>
              <w:rPr/>
            </w:pPr>
            <w:r>
              <w:rPr/>
              <w:drawing>
                <wp:inline distT="0" distB="0" distL="0" distR="0">
                  <wp:extent cx="450850" cy="447040"/>
                  <wp:effectExtent l="0" t="0" r="0" b="0"/>
                  <wp:docPr id="126"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10" descr=""/>
                          <pic:cNvPicPr>
                            <a:picLocks noChangeAspect="1" noChangeArrowheads="1"/>
                          </pic:cNvPicPr>
                        </pic:nvPicPr>
                        <pic:blipFill>
                          <a:blip r:embed="rId117"/>
                          <a:stretch>
                            <a:fillRect/>
                          </a:stretch>
                        </pic:blipFill>
                        <pic:spPr bwMode="auto">
                          <a:xfrm>
                            <a:off x="0" y="0"/>
                            <a:ext cx="450850" cy="4470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lineRule="atLeast" w:line="142" w:before="0" w:after="40"/>
              <w:jc w:val="left"/>
              <w:rPr>
                <w:bdr w:val="single" w:sz="48" w:space="1" w:color="00AE4F"/>
              </w:rPr>
            </w:pPr>
            <w:r>
              <w:rPr>
                <w:bdr w:val="single" w:sz="48" w:space="1" w:color="00AE4F"/>
              </w:rPr>
              <w:t> </w:t>
            </w:r>
          </w:p>
          <w:p>
            <w:pPr>
              <w:pStyle w:val="TableContents"/>
              <w:bidi w:val="0"/>
              <w:spacing w:before="0" w:after="0"/>
              <w:jc w:val="left"/>
              <w:rPr>
                <w:rFonts w:ascii="arial" w:hAnsi="arial"/>
                <w:b/>
                <w:sz w:val="18"/>
              </w:rPr>
            </w:pPr>
            <w:r>
              <w:rPr>
                <w:rFonts w:ascii="arial" w:hAnsi="arial"/>
                <w:b/>
                <w:sz w:val="18"/>
              </w:rPr>
              <w:t>Audit Committee</w:t>
            </w:r>
          </w:p>
          <w:p>
            <w:pPr>
              <w:pStyle w:val="TableContents"/>
              <w:bidi w:val="0"/>
              <w:spacing w:before="0" w:after="20"/>
              <w:jc w:val="left"/>
              <w:rPr>
                <w:rFonts w:ascii="arial" w:hAnsi="arial"/>
                <w:sz w:val="18"/>
              </w:rPr>
            </w:pPr>
            <w:r>
              <w:rPr>
                <w:rFonts w:ascii="arial" w:hAnsi="arial"/>
                <w:sz w:val="18"/>
              </w:rPr>
              <w:t>All Independent</w:t>
            </w:r>
          </w:p>
        </w:tc>
        <w:tc>
          <w:tcPr>
            <w:tcW w:w="120"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center"/>
              <w:rPr/>
            </w:pPr>
            <w:r>
              <w:rPr/>
              <w:drawing>
                <wp:inline distT="0" distB="0" distL="0" distR="0">
                  <wp:extent cx="492125" cy="407670"/>
                  <wp:effectExtent l="0" t="0" r="0" b="0"/>
                  <wp:docPr id="127"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11" descr=""/>
                          <pic:cNvPicPr>
                            <a:picLocks noChangeAspect="1" noChangeArrowheads="1"/>
                          </pic:cNvPicPr>
                        </pic:nvPicPr>
                        <pic:blipFill>
                          <a:blip r:embed="rId118"/>
                          <a:stretch>
                            <a:fillRect/>
                          </a:stretch>
                        </pic:blipFill>
                        <pic:spPr bwMode="auto">
                          <a:xfrm>
                            <a:off x="0" y="0"/>
                            <a:ext cx="492125" cy="407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203" w:type="dxa"/>
            <w:tcBorders/>
            <w:vAlign w:val="center"/>
          </w:tcPr>
          <w:p>
            <w:pPr>
              <w:pStyle w:val="TableContents"/>
              <w:bidi w:val="0"/>
              <w:spacing w:lineRule="atLeast" w:line="142" w:before="0" w:after="40"/>
              <w:jc w:val="left"/>
              <w:rPr>
                <w:bdr w:val="single" w:sz="48" w:space="1" w:color="000000"/>
              </w:rPr>
            </w:pPr>
            <w:r>
              <w:rPr>
                <w:bdr w:val="single" w:sz="48" w:space="1" w:color="000000"/>
              </w:rPr>
              <w:t> </w:t>
            </w:r>
          </w:p>
          <w:p>
            <w:pPr>
              <w:pStyle w:val="TableContents"/>
              <w:bidi w:val="0"/>
              <w:spacing w:before="0" w:after="0"/>
              <w:jc w:val="left"/>
              <w:rPr>
                <w:rFonts w:ascii="arial" w:hAnsi="arial"/>
                <w:b/>
                <w:sz w:val="18"/>
              </w:rPr>
            </w:pPr>
            <w:r>
              <w:rPr>
                <w:rFonts w:ascii="arial" w:hAnsi="arial"/>
                <w:b/>
                <w:sz w:val="18"/>
              </w:rPr>
              <w:t>Compensation and Talent Management Committee</w:t>
            </w:r>
          </w:p>
          <w:p>
            <w:pPr>
              <w:pStyle w:val="TableContents"/>
              <w:bidi w:val="0"/>
              <w:spacing w:before="0" w:after="20"/>
              <w:jc w:val="left"/>
              <w:rPr>
                <w:rFonts w:ascii="arial" w:hAnsi="arial"/>
                <w:sz w:val="18"/>
              </w:rPr>
            </w:pPr>
            <w:r>
              <w:rPr>
                <w:rFonts w:ascii="arial" w:hAnsi="arial"/>
                <w:sz w:val="18"/>
              </w:rPr>
              <w:t>All Independent through January 30, 2026 Currently Majority Independent</w:t>
            </w:r>
          </w:p>
        </w:tc>
        <w:tc>
          <w:tcPr>
            <w:tcW w:w="12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center"/>
              <w:rPr/>
            </w:pPr>
            <w:r>
              <w:rPr/>
              <w:drawing>
                <wp:inline distT="0" distB="0" distL="0" distR="0">
                  <wp:extent cx="434975" cy="411480"/>
                  <wp:effectExtent l="0" t="0" r="0" b="0"/>
                  <wp:docPr id="128"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12" descr=""/>
                          <pic:cNvPicPr>
                            <a:picLocks noChangeAspect="1" noChangeArrowheads="1"/>
                          </pic:cNvPicPr>
                        </pic:nvPicPr>
                        <pic:blipFill>
                          <a:blip r:embed="rId119"/>
                          <a:stretch>
                            <a:fillRect/>
                          </a:stretch>
                        </pic:blipFill>
                        <pic:spPr bwMode="auto">
                          <a:xfrm>
                            <a:off x="0" y="0"/>
                            <a:ext cx="434975" cy="41148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105" w:type="dxa"/>
            <w:tcBorders/>
            <w:vAlign w:val="center"/>
          </w:tcPr>
          <w:p>
            <w:pPr>
              <w:pStyle w:val="TableContents"/>
              <w:bidi w:val="0"/>
              <w:spacing w:lineRule="atLeast" w:line="142" w:before="0" w:after="40"/>
              <w:jc w:val="left"/>
              <w:rPr>
                <w:bdr w:val="single" w:sz="48" w:space="1" w:color="00AE4F"/>
              </w:rPr>
            </w:pPr>
            <w:r>
              <w:rPr>
                <w:bdr w:val="single" w:sz="48" w:space="1" w:color="00AE4F"/>
              </w:rPr>
              <w:t> </w:t>
            </w:r>
          </w:p>
          <w:p>
            <w:pPr>
              <w:pStyle w:val="TableContents"/>
              <w:bidi w:val="0"/>
              <w:spacing w:before="0" w:after="0"/>
              <w:jc w:val="left"/>
              <w:rPr>
                <w:rFonts w:ascii="arial" w:hAnsi="arial"/>
                <w:b/>
                <w:sz w:val="18"/>
              </w:rPr>
            </w:pPr>
            <w:r>
              <w:rPr>
                <w:rFonts w:ascii="arial" w:hAnsi="arial"/>
                <w:b/>
                <w:sz w:val="18"/>
              </w:rPr>
              <w:t>Corporate Governance and Nominating Committee</w:t>
            </w:r>
          </w:p>
          <w:p>
            <w:pPr>
              <w:pStyle w:val="TableContents"/>
              <w:bidi w:val="0"/>
              <w:spacing w:before="0" w:after="20"/>
              <w:jc w:val="left"/>
              <w:rPr>
                <w:rFonts w:ascii="arial" w:hAnsi="arial"/>
                <w:sz w:val="18"/>
              </w:rPr>
            </w:pPr>
            <w:r>
              <w:rPr>
                <w:rFonts w:ascii="arial" w:hAnsi="arial"/>
                <w:sz w:val="18"/>
              </w:rPr>
              <w:t>All Independent through January 30, 2026 Currently Majority Independent</w:t>
            </w:r>
          </w:p>
        </w:tc>
      </w:tr>
    </w:tbl>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129"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3" descr=""/>
                          <pic:cNvPicPr>
                            <a:picLocks noChangeAspect="1" noChangeArrowheads="1"/>
                          </pic:cNvPicPr>
                        </pic:nvPicPr>
                        <pic:blipFill>
                          <a:blip r:embed="rId120"/>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Corporate Governance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59"/>
        <w:gridCol w:w="60"/>
        <w:gridCol w:w="260"/>
        <w:gridCol w:w="60"/>
        <w:gridCol w:w="60"/>
        <w:gridCol w:w="60"/>
        <w:gridCol w:w="759"/>
        <w:gridCol w:w="62"/>
        <w:gridCol w:w="988"/>
        <w:gridCol w:w="60"/>
        <w:gridCol w:w="277"/>
      </w:tblGrid>
      <w:tr>
        <w:trPr/>
        <w:tc>
          <w:tcPr>
            <w:tcW w:w="7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7559" w:type="dxa"/>
            <w:tcBorders>
              <w:bottom w:val="single" w:sz="6" w:space="0" w:color="84827F"/>
            </w:tcBorders>
            <w:tcMar>
              <w:bottom w:w="120" w:type="dxa"/>
            </w:tcMar>
            <w:vAlign w:val="center"/>
          </w:tcPr>
          <w:p>
            <w:pPr>
              <w:pStyle w:val="TableContents"/>
              <w:bidi w:val="0"/>
              <w:spacing w:before="0" w:after="283"/>
              <w:jc w:val="left"/>
              <w:rPr>
                <w:b/>
                <w:color w:val="00AE4F"/>
                <w:sz w:val="24"/>
              </w:rPr>
            </w:pPr>
            <w:r>
              <w:rPr>
                <w:b/>
                <w:color w:val="00AE4F"/>
                <w:sz w:val="24"/>
              </w:rPr>
              <w:t>Audit Committee</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260" w:type="dxa"/>
            <w:tcBorders>
              <w:bottom w:val="single" w:sz="6" w:space="0" w:color="84827F"/>
            </w:tcBorders>
            <w:tcMar>
              <w:bottom w:w="28" w:type="dxa"/>
            </w:tcMar>
            <w:vAlign w:val="center"/>
          </w:tcPr>
          <w:p>
            <w:pPr>
              <w:pStyle w:val="TableContents"/>
              <w:bidi w:val="0"/>
              <w:spacing w:before="0" w:after="283"/>
              <w:jc w:val="left"/>
              <w:rPr/>
            </w:pPr>
            <w:r>
              <w:rPr/>
              <w:t> </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759" w:type="dxa"/>
            <w:tcBorders>
              <w:bottom w:val="single" w:sz="6" w:space="0" w:color="84827F"/>
            </w:tcBorders>
            <w:tcMar>
              <w:bottom w:w="28" w:type="dxa"/>
            </w:tcMar>
            <w:vAlign w:val="center"/>
          </w:tcPr>
          <w:p>
            <w:pPr>
              <w:pStyle w:val="TableContents"/>
              <w:bidi w:val="0"/>
              <w:spacing w:before="0" w:after="283"/>
              <w:jc w:val="left"/>
              <w:rPr/>
            </w:pPr>
            <w:r>
              <w:rPr/>
              <w:t> </w:t>
            </w:r>
          </w:p>
        </w:tc>
        <w:tc>
          <w:tcPr>
            <w:tcW w:w="62" w:type="dxa"/>
            <w:tcBorders>
              <w:bottom w:val="single" w:sz="6" w:space="0" w:color="84827F"/>
            </w:tcBorders>
            <w:tcMar>
              <w:bottom w:w="28" w:type="dxa"/>
            </w:tcMar>
            <w:vAlign w:val="center"/>
          </w:tcPr>
          <w:p>
            <w:pPr>
              <w:pStyle w:val="TableContents"/>
              <w:bidi w:val="0"/>
              <w:spacing w:before="0" w:after="283"/>
              <w:jc w:val="left"/>
              <w:rPr/>
            </w:pPr>
            <w:r>
              <w:rPr/>
              <w:t> </w:t>
            </w:r>
          </w:p>
        </w:tc>
        <w:tc>
          <w:tcPr>
            <w:tcW w:w="1325" w:type="dxa"/>
            <w:gridSpan w:val="3"/>
            <w:tcBorders>
              <w:bottom w:val="single" w:sz="6" w:space="0" w:color="84827F"/>
            </w:tcBorders>
            <w:tcMar>
              <w:bottom w:w="120" w:type="dxa"/>
            </w:tcMar>
            <w:vAlign w:val="center"/>
          </w:tcPr>
          <w:p>
            <w:pPr>
              <w:pStyle w:val="TableContents"/>
              <w:bidi w:val="0"/>
              <w:spacing w:before="0" w:after="283"/>
              <w:jc w:val="right"/>
              <w:rPr/>
            </w:pPr>
            <w:r>
              <w:rPr/>
              <w:drawing>
                <wp:inline distT="0" distB="0" distL="0" distR="0">
                  <wp:extent cx="450850" cy="447040"/>
                  <wp:effectExtent l="0" t="0" r="0" b="0"/>
                  <wp:docPr id="130"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4" descr=""/>
                          <pic:cNvPicPr>
                            <a:picLocks noChangeAspect="1" noChangeArrowheads="1"/>
                          </pic:cNvPicPr>
                        </pic:nvPicPr>
                        <pic:blipFill>
                          <a:blip r:embed="rId121"/>
                          <a:stretch>
                            <a:fillRect/>
                          </a:stretch>
                        </pic:blipFill>
                        <pic:spPr bwMode="auto">
                          <a:xfrm>
                            <a:off x="0" y="0"/>
                            <a:ext cx="450850" cy="447040"/>
                          </a:xfrm>
                          <a:prstGeom prst="rect">
                            <a:avLst/>
                          </a:prstGeom>
                        </pic:spPr>
                      </pic:pic>
                    </a:graphicData>
                  </a:graphic>
                </wp:inline>
              </w:drawing>
            </w:r>
            <w:r>
              <w:rPr/>
              <w:t xml:space="preserve"> </w:t>
            </w:r>
          </w:p>
        </w:tc>
      </w:tr>
      <w:tr>
        <w:trPr/>
        <w:tc>
          <w:tcPr>
            <w:tcW w:w="7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sz w:val="4"/>
                <w:szCs w:val="4"/>
              </w:rPr>
            </w:pPr>
            <w:r>
              <w:rPr>
                <w:sz w:val="4"/>
                <w:szCs w:val="4"/>
              </w:rPr>
            </w:r>
          </w:p>
        </w:tc>
      </w:tr>
      <w:tr>
        <w:trPr/>
        <w:tc>
          <w:tcPr>
            <w:tcW w:w="7559" w:type="dxa"/>
            <w:vMerge w:val="restart"/>
            <w:tcBorders/>
            <w:vAlign w:val="center"/>
          </w:tcPr>
          <w:p>
            <w:pPr>
              <w:pStyle w:val="TableContents"/>
              <w:bidi w:val="0"/>
              <w:spacing w:before="0" w:after="0"/>
              <w:jc w:val="left"/>
              <w:rPr>
                <w:rFonts w:ascii="arial" w:hAnsi="arial"/>
                <w:b/>
                <w:sz w:val="18"/>
              </w:rPr>
            </w:pPr>
            <w:r>
              <w:rPr>
                <w:rFonts w:ascii="arial" w:hAnsi="arial"/>
                <w:b/>
                <w:sz w:val="18"/>
              </w:rPr>
              <w:t>Key Responsibilities:</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Oversees and reports to the Board with respect to the quality, integrity, and effectiveness of the Company’s financial statements, accounting, and financial reporting processes, and audits of the financial statements and internal controls over financial reporting</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Appoints, compensates, and evaluates the qualifications, independence, and performance of the independent auditor</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Oversees the performance of the internal audit function, including the Chief Audit Executive (“CAE”)</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Oversees the Company’s Enterprise Risk Management Program</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Reviews and discusses with management the Company’s major financial, security, and cybersecurity risk exposures, artificial intelligence, and the steps management takes to monitor and control such exposures</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Monitors the Company’s compliance with legal and regulatory requirements</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Oversees sustainability disclosures, controls, processes, and assurance</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Reviews and approves related party transactions</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Serves as the Company’s Qualified Legal Compliance Committee with respect to reports of potential material violations by the Company or its officers, directors, employees, or agents, of applicable U.S. federal or state law or fiduciary duty arising under such law, and of the Company’s policies including the Code of Business Conduct and Ethics</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Reviews and approves Internal Audit’s budget and resource plan</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Regularly holds separate sessions with Kelly’s management, internal audit, and its independent auditor</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Board unanimously determined that each member of the Audit Committee meets Nasdaq’s “financial sophistication” requirements and that Mr. Cubbin and Ms. Murphy each have the financial education and experience to qualify as an “Audit Committee financial expert” within the meaning of SEC regulations.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759" w:type="dxa"/>
            <w:tcBorders/>
            <w:shd w:fill="EAEAE9" w:val="clear"/>
            <w:vAlign w:val="center"/>
          </w:tcPr>
          <w:p>
            <w:pPr>
              <w:pStyle w:val="TableContents"/>
              <w:bidi w:val="0"/>
              <w:spacing w:before="0" w:after="283"/>
              <w:jc w:val="left"/>
              <w:rPr>
                <w:sz w:val="4"/>
                <w:szCs w:val="4"/>
              </w:rPr>
            </w:pPr>
            <w:r>
              <w:rPr>
                <w:sz w:val="4"/>
                <w:szCs w:val="4"/>
              </w:rPr>
            </w:r>
          </w:p>
        </w:tc>
        <w:tc>
          <w:tcPr>
            <w:tcW w:w="62" w:type="dxa"/>
            <w:tcBorders/>
            <w:shd w:fill="EAEAE9" w:val="clear"/>
            <w:vAlign w:val="center"/>
          </w:tcPr>
          <w:p>
            <w:pPr>
              <w:pStyle w:val="TableContents"/>
              <w:bidi w:val="0"/>
              <w:spacing w:before="0" w:after="283"/>
              <w:jc w:val="left"/>
              <w:rPr/>
            </w:pPr>
            <w:r>
              <w:rPr/>
              <w:t> </w:t>
            </w:r>
          </w:p>
        </w:tc>
        <w:tc>
          <w:tcPr>
            <w:tcW w:w="988"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277" w:type="dxa"/>
            <w:tcBorders/>
            <w:shd w:fill="EAEAE9" w:val="clear"/>
            <w:vAlign w:val="center"/>
          </w:tcPr>
          <w:p>
            <w:pPr>
              <w:pStyle w:val="TableContents"/>
              <w:bidi w:val="0"/>
              <w:spacing w:before="0" w:after="283"/>
              <w:jc w:val="left"/>
              <w:rPr>
                <w:sz w:val="4"/>
                <w:szCs w:val="4"/>
              </w:rPr>
            </w:pPr>
            <w:r>
              <w:rPr>
                <w:sz w:val="4"/>
                <w:szCs w:val="4"/>
              </w:rPr>
            </w:r>
          </w:p>
        </w:tc>
      </w:tr>
      <w:tr>
        <w:trPr/>
        <w:tc>
          <w:tcPr>
            <w:tcW w:w="755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1809" w:type="dxa"/>
            <w:gridSpan w:val="3"/>
            <w:tcBorders/>
            <w:shd w:fill="EAEAE9" w:val="clear"/>
            <w:vAlign w:val="center"/>
          </w:tcPr>
          <w:p>
            <w:pPr>
              <w:pStyle w:val="TableContents"/>
              <w:bidi w:val="0"/>
              <w:spacing w:before="0" w:after="283"/>
              <w:jc w:val="left"/>
              <w:rPr>
                <w:b/>
              </w:rPr>
            </w:pPr>
            <w:r>
              <w:rPr>
                <w:b/>
              </w:rPr>
              <w:t xml:space="preserve">Members: </w:t>
            </w:r>
            <w:r>
              <w:rPr>
                <w:b/>
                <w:color w:val="00AE4F"/>
              </w:rPr>
              <w:t>All Independent</w:t>
            </w:r>
          </w:p>
        </w:tc>
        <w:tc>
          <w:tcPr>
            <w:tcW w:w="60" w:type="dxa"/>
            <w:tcBorders/>
            <w:shd w:fill="EAEAE9" w:val="clear"/>
            <w:vAlign w:val="center"/>
          </w:tcPr>
          <w:p>
            <w:pPr>
              <w:pStyle w:val="TableContents"/>
              <w:bidi w:val="0"/>
              <w:spacing w:before="0" w:after="283"/>
              <w:jc w:val="left"/>
              <w:rPr/>
            </w:pPr>
            <w:r>
              <w:rPr/>
              <w:t> </w:t>
            </w:r>
          </w:p>
        </w:tc>
        <w:tc>
          <w:tcPr>
            <w:tcW w:w="277" w:type="dxa"/>
            <w:tcBorders/>
            <w:shd w:fill="EAEAE9" w:val="clear"/>
            <w:vAlign w:val="center"/>
          </w:tcPr>
          <w:p>
            <w:pPr>
              <w:pStyle w:val="TableContents"/>
              <w:bidi w:val="0"/>
              <w:spacing w:before="0" w:after="283"/>
              <w:jc w:val="left"/>
              <w:rPr/>
            </w:pPr>
            <w:r>
              <w:rPr/>
              <w:t> </w:t>
            </w:r>
          </w:p>
        </w:tc>
      </w:tr>
      <w:tr>
        <w:trPr/>
        <w:tc>
          <w:tcPr>
            <w:tcW w:w="755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759" w:type="dxa"/>
            <w:tcBorders/>
            <w:shd w:fill="EAEAE9" w:val="clear"/>
            <w:vAlign w:val="center"/>
          </w:tcPr>
          <w:p>
            <w:pPr>
              <w:pStyle w:val="TableContents"/>
              <w:bidi w:val="0"/>
              <w:spacing w:before="0" w:after="283"/>
              <w:jc w:val="left"/>
              <w:rPr/>
            </w:pPr>
            <w:r>
              <w:rPr/>
              <w:drawing>
                <wp:inline distT="0" distB="0" distL="0" distR="0">
                  <wp:extent cx="457200" cy="457200"/>
                  <wp:effectExtent l="0" t="0" r="0" b="0"/>
                  <wp:docPr id="131"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5" descr=""/>
                          <pic:cNvPicPr>
                            <a:picLocks noChangeAspect="1" noChangeArrowheads="1"/>
                          </pic:cNvPicPr>
                        </pic:nvPicPr>
                        <pic:blipFill>
                          <a:blip r:embed="rId122"/>
                          <a:stretch>
                            <a:fillRect/>
                          </a:stretch>
                        </pic:blipFill>
                        <pic:spPr bwMode="auto">
                          <a:xfrm>
                            <a:off x="0" y="0"/>
                            <a:ext cx="457200" cy="457200"/>
                          </a:xfrm>
                          <a:prstGeom prst="rect">
                            <a:avLst/>
                          </a:prstGeom>
                        </pic:spPr>
                      </pic:pic>
                    </a:graphicData>
                  </a:graphic>
                </wp:inline>
              </w:drawing>
            </w:r>
            <w:r>
              <w:rPr/>
              <w:t xml:space="preserve"> </w:t>
            </w:r>
          </w:p>
        </w:tc>
        <w:tc>
          <w:tcPr>
            <w:tcW w:w="62" w:type="dxa"/>
            <w:tcBorders/>
            <w:shd w:fill="EAEAE9" w:val="clear"/>
            <w:vAlign w:val="center"/>
          </w:tcPr>
          <w:p>
            <w:pPr>
              <w:pStyle w:val="TableContents"/>
              <w:bidi w:val="0"/>
              <w:spacing w:before="0" w:after="283"/>
              <w:jc w:val="left"/>
              <w:rPr/>
            </w:pPr>
            <w:r>
              <w:rPr/>
              <w:t> </w:t>
            </w:r>
          </w:p>
        </w:tc>
        <w:tc>
          <w:tcPr>
            <w:tcW w:w="988" w:type="dxa"/>
            <w:tcBorders/>
            <w:shd w:fill="EAEAE9" w:val="clear"/>
            <w:vAlign w:val="center"/>
          </w:tcPr>
          <w:p>
            <w:pPr>
              <w:pStyle w:val="TableContents"/>
              <w:bidi w:val="0"/>
              <w:spacing w:before="0" w:after="0"/>
              <w:jc w:val="left"/>
              <w:rPr>
                <w:rFonts w:ascii="arial" w:hAnsi="arial"/>
                <w:sz w:val="18"/>
              </w:rPr>
            </w:pPr>
            <w:r>
              <w:rPr>
                <w:rFonts w:ascii="arial" w:hAnsi="arial"/>
                <w:sz w:val="18"/>
              </w:rPr>
              <w:t>Leslie A. Murphy</w:t>
              <w:br/>
            </w:r>
            <w:r>
              <w:rPr>
                <w:rFonts w:ascii="arial" w:hAnsi="arial"/>
                <w:b/>
                <w:color w:val="00AE4F"/>
                <w:sz w:val="18"/>
              </w:rPr>
              <w:t>(Chair)</w:t>
            </w:r>
          </w:p>
        </w:tc>
        <w:tc>
          <w:tcPr>
            <w:tcW w:w="60" w:type="dxa"/>
            <w:tcBorders/>
            <w:shd w:fill="EAEAE9" w:val="clear"/>
            <w:vAlign w:val="center"/>
          </w:tcPr>
          <w:p>
            <w:pPr>
              <w:pStyle w:val="TableContents"/>
              <w:bidi w:val="0"/>
              <w:spacing w:before="0" w:after="283"/>
              <w:jc w:val="left"/>
              <w:rPr/>
            </w:pPr>
            <w:r>
              <w:rPr/>
              <w:t> </w:t>
            </w:r>
          </w:p>
        </w:tc>
        <w:tc>
          <w:tcPr>
            <w:tcW w:w="277" w:type="dxa"/>
            <w:tcBorders/>
            <w:shd w:fill="EAEAE9" w:val="clear"/>
            <w:vAlign w:val="center"/>
          </w:tcPr>
          <w:p>
            <w:pPr>
              <w:pStyle w:val="TableContents"/>
              <w:bidi w:val="0"/>
              <w:spacing w:before="0" w:after="283"/>
              <w:jc w:val="left"/>
              <w:rPr>
                <w:sz w:val="4"/>
                <w:szCs w:val="4"/>
              </w:rPr>
            </w:pPr>
            <w:r>
              <w:rPr>
                <w:sz w:val="4"/>
                <w:szCs w:val="4"/>
              </w:rPr>
            </w:r>
          </w:p>
        </w:tc>
      </w:tr>
      <w:tr>
        <w:trPr/>
        <w:tc>
          <w:tcPr>
            <w:tcW w:w="755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759" w:type="dxa"/>
            <w:tcBorders/>
            <w:shd w:fill="EAEAE9" w:val="clear"/>
            <w:vAlign w:val="center"/>
          </w:tcPr>
          <w:p>
            <w:pPr>
              <w:pStyle w:val="TableContents"/>
              <w:bidi w:val="0"/>
              <w:spacing w:before="0" w:after="283"/>
              <w:jc w:val="left"/>
              <w:rPr/>
            </w:pPr>
            <w:r>
              <w:rPr/>
              <w:drawing>
                <wp:inline distT="0" distB="0" distL="0" distR="0">
                  <wp:extent cx="457200" cy="457200"/>
                  <wp:effectExtent l="0" t="0" r="0" b="0"/>
                  <wp:docPr id="132"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6" descr=""/>
                          <pic:cNvPicPr>
                            <a:picLocks noChangeAspect="1" noChangeArrowheads="1"/>
                          </pic:cNvPicPr>
                        </pic:nvPicPr>
                        <pic:blipFill>
                          <a:blip r:embed="rId123"/>
                          <a:stretch>
                            <a:fillRect/>
                          </a:stretch>
                        </pic:blipFill>
                        <pic:spPr bwMode="auto">
                          <a:xfrm>
                            <a:off x="0" y="0"/>
                            <a:ext cx="457200" cy="457200"/>
                          </a:xfrm>
                          <a:prstGeom prst="rect">
                            <a:avLst/>
                          </a:prstGeom>
                        </pic:spPr>
                      </pic:pic>
                    </a:graphicData>
                  </a:graphic>
                </wp:inline>
              </w:drawing>
            </w:r>
            <w:r>
              <w:rPr/>
              <w:t xml:space="preserve"> </w:t>
            </w:r>
          </w:p>
        </w:tc>
        <w:tc>
          <w:tcPr>
            <w:tcW w:w="62" w:type="dxa"/>
            <w:tcBorders/>
            <w:shd w:fill="EAEAE9" w:val="clear"/>
            <w:vAlign w:val="center"/>
          </w:tcPr>
          <w:p>
            <w:pPr>
              <w:pStyle w:val="TableContents"/>
              <w:bidi w:val="0"/>
              <w:spacing w:before="0" w:after="283"/>
              <w:jc w:val="left"/>
              <w:rPr/>
            </w:pPr>
            <w:r>
              <w:rPr/>
              <w:t> </w:t>
            </w:r>
          </w:p>
        </w:tc>
        <w:tc>
          <w:tcPr>
            <w:tcW w:w="988" w:type="dxa"/>
            <w:tcBorders/>
            <w:shd w:fill="EAEAE9" w:val="clear"/>
            <w:vAlign w:val="center"/>
          </w:tcPr>
          <w:p>
            <w:pPr>
              <w:pStyle w:val="TableContents"/>
              <w:bidi w:val="0"/>
              <w:spacing w:before="0" w:after="0"/>
              <w:jc w:val="left"/>
              <w:rPr>
                <w:rFonts w:ascii="arial" w:hAnsi="arial"/>
                <w:sz w:val="18"/>
              </w:rPr>
            </w:pPr>
            <w:r>
              <w:rPr>
                <w:rFonts w:ascii="arial" w:hAnsi="arial"/>
                <w:sz w:val="18"/>
              </w:rPr>
              <w:t>Robert S. Cubbin</w:t>
            </w:r>
          </w:p>
        </w:tc>
        <w:tc>
          <w:tcPr>
            <w:tcW w:w="60" w:type="dxa"/>
            <w:tcBorders/>
            <w:shd w:fill="EAEAE9" w:val="clear"/>
            <w:vAlign w:val="center"/>
          </w:tcPr>
          <w:p>
            <w:pPr>
              <w:pStyle w:val="TableContents"/>
              <w:bidi w:val="0"/>
              <w:spacing w:before="0" w:after="283"/>
              <w:jc w:val="left"/>
              <w:rPr/>
            </w:pPr>
            <w:r>
              <w:rPr/>
              <w:t> </w:t>
            </w:r>
          </w:p>
        </w:tc>
        <w:tc>
          <w:tcPr>
            <w:tcW w:w="277" w:type="dxa"/>
            <w:tcBorders/>
            <w:shd w:fill="EAEAE9" w:val="clear"/>
            <w:vAlign w:val="center"/>
          </w:tcPr>
          <w:p>
            <w:pPr>
              <w:pStyle w:val="TableContents"/>
              <w:bidi w:val="0"/>
              <w:spacing w:before="0" w:after="283"/>
              <w:jc w:val="left"/>
              <w:rPr>
                <w:sz w:val="4"/>
                <w:szCs w:val="4"/>
              </w:rPr>
            </w:pPr>
            <w:r>
              <w:rPr>
                <w:sz w:val="4"/>
                <w:szCs w:val="4"/>
              </w:rPr>
            </w:r>
          </w:p>
        </w:tc>
      </w:tr>
      <w:tr>
        <w:trPr/>
        <w:tc>
          <w:tcPr>
            <w:tcW w:w="755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759" w:type="dxa"/>
            <w:tcBorders/>
            <w:shd w:fill="EAEAE9" w:val="clear"/>
            <w:vAlign w:val="center"/>
          </w:tcPr>
          <w:p>
            <w:pPr>
              <w:pStyle w:val="TableContents"/>
              <w:bidi w:val="0"/>
              <w:spacing w:before="0" w:after="283"/>
              <w:jc w:val="left"/>
              <w:rPr/>
            </w:pPr>
            <w:r>
              <w:rPr/>
              <w:drawing>
                <wp:inline distT="0" distB="0" distL="0" distR="0">
                  <wp:extent cx="457200" cy="457200"/>
                  <wp:effectExtent l="0" t="0" r="0" b="0"/>
                  <wp:docPr id="133"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7" descr=""/>
                          <pic:cNvPicPr>
                            <a:picLocks noChangeAspect="1" noChangeArrowheads="1"/>
                          </pic:cNvPicPr>
                        </pic:nvPicPr>
                        <pic:blipFill>
                          <a:blip r:embed="rId124"/>
                          <a:stretch>
                            <a:fillRect/>
                          </a:stretch>
                        </pic:blipFill>
                        <pic:spPr bwMode="auto">
                          <a:xfrm>
                            <a:off x="0" y="0"/>
                            <a:ext cx="457200" cy="457200"/>
                          </a:xfrm>
                          <a:prstGeom prst="rect">
                            <a:avLst/>
                          </a:prstGeom>
                        </pic:spPr>
                      </pic:pic>
                    </a:graphicData>
                  </a:graphic>
                </wp:inline>
              </w:drawing>
            </w:r>
            <w:r>
              <w:rPr/>
              <w:t xml:space="preserve"> </w:t>
            </w:r>
          </w:p>
        </w:tc>
        <w:tc>
          <w:tcPr>
            <w:tcW w:w="62" w:type="dxa"/>
            <w:tcBorders/>
            <w:shd w:fill="EAEAE9" w:val="clear"/>
            <w:vAlign w:val="center"/>
          </w:tcPr>
          <w:p>
            <w:pPr>
              <w:pStyle w:val="TableContents"/>
              <w:bidi w:val="0"/>
              <w:spacing w:before="0" w:after="283"/>
              <w:jc w:val="left"/>
              <w:rPr/>
            </w:pPr>
            <w:r>
              <w:rPr/>
              <w:t> </w:t>
            </w:r>
          </w:p>
        </w:tc>
        <w:tc>
          <w:tcPr>
            <w:tcW w:w="988" w:type="dxa"/>
            <w:tcBorders/>
            <w:shd w:fill="EAEAE9" w:val="clear"/>
            <w:vAlign w:val="center"/>
          </w:tcPr>
          <w:p>
            <w:pPr>
              <w:pStyle w:val="TableContents"/>
              <w:bidi w:val="0"/>
              <w:spacing w:before="0" w:after="0"/>
              <w:jc w:val="left"/>
              <w:rPr>
                <w:rFonts w:ascii="arial" w:hAnsi="arial"/>
                <w:sz w:val="18"/>
              </w:rPr>
            </w:pPr>
            <w:r>
              <w:rPr>
                <w:rFonts w:ascii="arial" w:hAnsi="arial"/>
                <w:sz w:val="18"/>
              </w:rPr>
              <w:t>Amala Duggirala</w:t>
            </w:r>
          </w:p>
        </w:tc>
        <w:tc>
          <w:tcPr>
            <w:tcW w:w="60" w:type="dxa"/>
            <w:tcBorders/>
            <w:shd w:fill="EAEAE9" w:val="clear"/>
            <w:vAlign w:val="center"/>
          </w:tcPr>
          <w:p>
            <w:pPr>
              <w:pStyle w:val="TableContents"/>
              <w:bidi w:val="0"/>
              <w:spacing w:before="0" w:after="283"/>
              <w:jc w:val="left"/>
              <w:rPr/>
            </w:pPr>
            <w:r>
              <w:rPr/>
              <w:t> </w:t>
            </w:r>
          </w:p>
        </w:tc>
        <w:tc>
          <w:tcPr>
            <w:tcW w:w="277" w:type="dxa"/>
            <w:tcBorders/>
            <w:shd w:fill="EAEAE9" w:val="clear"/>
            <w:vAlign w:val="center"/>
          </w:tcPr>
          <w:p>
            <w:pPr>
              <w:pStyle w:val="TableContents"/>
              <w:bidi w:val="0"/>
              <w:spacing w:before="0" w:after="283"/>
              <w:jc w:val="left"/>
              <w:rPr>
                <w:sz w:val="4"/>
                <w:szCs w:val="4"/>
              </w:rPr>
            </w:pPr>
            <w:r>
              <w:rPr>
                <w:sz w:val="4"/>
                <w:szCs w:val="4"/>
              </w:rPr>
            </w:r>
          </w:p>
        </w:tc>
      </w:tr>
      <w:tr>
        <w:trPr/>
        <w:tc>
          <w:tcPr>
            <w:tcW w:w="755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1809" w:type="dxa"/>
            <w:gridSpan w:val="3"/>
            <w:tcBorders/>
            <w:shd w:fill="EAEAE9" w:val="clear"/>
            <w:vAlign w:val="center"/>
          </w:tcPr>
          <w:p>
            <w:pPr>
              <w:pStyle w:val="TableContents"/>
              <w:bidi w:val="0"/>
              <w:spacing w:before="0" w:after="0"/>
              <w:jc w:val="left"/>
              <w:rPr>
                <w:rFonts w:ascii="arial" w:hAnsi="arial"/>
                <w:b/>
                <w:sz w:val="18"/>
              </w:rPr>
            </w:pPr>
            <w:r>
              <w:rPr>
                <w:rFonts w:ascii="arial" w:hAnsi="arial"/>
                <w:b/>
                <w:sz w:val="18"/>
              </w:rPr>
              <w:t>Meetings in 2025:</w:t>
            </w:r>
          </w:p>
          <w:p>
            <w:pPr>
              <w:pStyle w:val="TableContents"/>
              <w:bidi w:val="0"/>
              <w:spacing w:before="0" w:after="20"/>
              <w:jc w:val="left"/>
              <w:rPr>
                <w:rFonts w:ascii="arial" w:hAnsi="arial"/>
                <w:b/>
                <w:color w:val="00AE4F"/>
                <w:sz w:val="40"/>
              </w:rPr>
            </w:pPr>
            <w:r>
              <w:rPr>
                <w:rFonts w:ascii="arial" w:hAnsi="arial"/>
                <w:b/>
                <w:color w:val="00AE4F"/>
                <w:sz w:val="40"/>
              </w:rPr>
              <w:t>4</w:t>
            </w:r>
          </w:p>
        </w:tc>
        <w:tc>
          <w:tcPr>
            <w:tcW w:w="60" w:type="dxa"/>
            <w:tcBorders/>
            <w:shd w:fill="EAEAE9" w:val="clear"/>
            <w:vAlign w:val="center"/>
          </w:tcPr>
          <w:p>
            <w:pPr>
              <w:pStyle w:val="TableContents"/>
              <w:bidi w:val="0"/>
              <w:spacing w:before="0" w:after="283"/>
              <w:jc w:val="left"/>
              <w:rPr/>
            </w:pPr>
            <w:r>
              <w:rPr/>
              <w:t> </w:t>
            </w:r>
          </w:p>
        </w:tc>
        <w:tc>
          <w:tcPr>
            <w:tcW w:w="277" w:type="dxa"/>
            <w:tcBorders/>
            <w:shd w:fill="EAEAE9" w:val="clear"/>
            <w:vAlign w:val="center"/>
          </w:tcPr>
          <w:p>
            <w:pPr>
              <w:pStyle w:val="TableContents"/>
              <w:bidi w:val="0"/>
              <w:spacing w:before="0" w:after="283"/>
              <w:jc w:val="left"/>
              <w:rPr>
                <w:sz w:val="4"/>
                <w:szCs w:val="4"/>
              </w:rPr>
            </w:pPr>
            <w:r>
              <w:rPr>
                <w:sz w:val="4"/>
                <w:szCs w:val="4"/>
              </w:rPr>
            </w:r>
          </w:p>
        </w:tc>
      </w:tr>
      <w:tr>
        <w:trPr/>
        <w:tc>
          <w:tcPr>
            <w:tcW w:w="755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759" w:type="dxa"/>
            <w:tcBorders/>
            <w:shd w:fill="EAEAE9" w:val="clear"/>
            <w:vAlign w:val="center"/>
          </w:tcPr>
          <w:p>
            <w:pPr>
              <w:pStyle w:val="TableContents"/>
              <w:bidi w:val="0"/>
              <w:spacing w:before="0" w:after="283"/>
              <w:jc w:val="left"/>
              <w:rPr>
                <w:sz w:val="4"/>
                <w:szCs w:val="4"/>
              </w:rPr>
            </w:pPr>
            <w:r>
              <w:rPr>
                <w:sz w:val="4"/>
                <w:szCs w:val="4"/>
              </w:rPr>
            </w:r>
          </w:p>
        </w:tc>
        <w:tc>
          <w:tcPr>
            <w:tcW w:w="62" w:type="dxa"/>
            <w:tcBorders/>
            <w:shd w:fill="EAEAE9" w:val="clear"/>
            <w:vAlign w:val="center"/>
          </w:tcPr>
          <w:p>
            <w:pPr>
              <w:pStyle w:val="TableContents"/>
              <w:bidi w:val="0"/>
              <w:spacing w:before="0" w:after="283"/>
              <w:jc w:val="left"/>
              <w:rPr/>
            </w:pPr>
            <w:r>
              <w:rPr/>
              <w:t> </w:t>
            </w:r>
          </w:p>
        </w:tc>
        <w:tc>
          <w:tcPr>
            <w:tcW w:w="988"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277" w:type="dxa"/>
            <w:tcBorders/>
            <w:shd w:fill="EAEAE9" w:val="clear"/>
            <w:vAlign w:val="center"/>
          </w:tcPr>
          <w:p>
            <w:pPr>
              <w:pStyle w:val="TableContents"/>
              <w:bidi w:val="0"/>
              <w:spacing w:before="0" w:after="283"/>
              <w:jc w:val="left"/>
              <w:rPr>
                <w:sz w:val="4"/>
                <w:szCs w:val="4"/>
              </w:rPr>
            </w:pPr>
            <w:r>
              <w:rPr>
                <w:sz w:val="4"/>
                <w:szCs w:val="4"/>
              </w:rPr>
            </w:r>
          </w:p>
        </w:tc>
      </w:tr>
      <w:tr>
        <w:trPr/>
        <w:tc>
          <w:tcPr>
            <w:tcW w:w="755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26 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134"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8" descr=""/>
                          <pic:cNvPicPr>
                            <a:picLocks noChangeAspect="1" noChangeArrowheads="1"/>
                          </pic:cNvPicPr>
                        </pic:nvPicPr>
                        <pic:blipFill>
                          <a:blip r:embed="rId125"/>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Corporate Governance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497"/>
        <w:gridCol w:w="60"/>
        <w:gridCol w:w="260"/>
        <w:gridCol w:w="60"/>
        <w:gridCol w:w="60"/>
        <w:gridCol w:w="60"/>
        <w:gridCol w:w="787"/>
        <w:gridCol w:w="64"/>
        <w:gridCol w:w="1020"/>
        <w:gridCol w:w="60"/>
        <w:gridCol w:w="277"/>
      </w:tblGrid>
      <w:tr>
        <w:trPr/>
        <w:tc>
          <w:tcPr>
            <w:tcW w:w="74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7497" w:type="dxa"/>
            <w:tcBorders>
              <w:bottom w:val="single" w:sz="6" w:space="0" w:color="84827F"/>
            </w:tcBorders>
            <w:tcMar>
              <w:bottom w:w="120" w:type="dxa"/>
            </w:tcMar>
            <w:vAlign w:val="center"/>
          </w:tcPr>
          <w:p>
            <w:pPr>
              <w:pStyle w:val="TableContents"/>
              <w:bidi w:val="0"/>
              <w:spacing w:before="0" w:after="283"/>
              <w:jc w:val="left"/>
              <w:rPr>
                <w:b/>
                <w:color w:val="00AE4F"/>
                <w:sz w:val="24"/>
              </w:rPr>
            </w:pPr>
            <w:r>
              <w:rPr>
                <w:b/>
                <w:color w:val="00AE4F"/>
                <w:sz w:val="24"/>
              </w:rPr>
              <w:t>Compensation and Talent Management Committee</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260" w:type="dxa"/>
            <w:tcBorders>
              <w:bottom w:val="single" w:sz="6" w:space="0" w:color="84827F"/>
            </w:tcBorders>
            <w:tcMar>
              <w:bottom w:w="28" w:type="dxa"/>
            </w:tcMar>
            <w:vAlign w:val="center"/>
          </w:tcPr>
          <w:p>
            <w:pPr>
              <w:pStyle w:val="TableContents"/>
              <w:bidi w:val="0"/>
              <w:spacing w:before="0" w:after="283"/>
              <w:jc w:val="left"/>
              <w:rPr/>
            </w:pPr>
            <w:r>
              <w:rPr/>
              <w:t> </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787" w:type="dxa"/>
            <w:tcBorders>
              <w:bottom w:val="single" w:sz="6" w:space="0" w:color="84827F"/>
            </w:tcBorders>
            <w:tcMar>
              <w:bottom w:w="28" w:type="dxa"/>
            </w:tcMar>
            <w:vAlign w:val="center"/>
          </w:tcPr>
          <w:p>
            <w:pPr>
              <w:pStyle w:val="TableContents"/>
              <w:bidi w:val="0"/>
              <w:spacing w:before="0" w:after="283"/>
              <w:jc w:val="left"/>
              <w:rPr/>
            </w:pPr>
            <w:r>
              <w:rPr/>
              <w:t> </w:t>
            </w:r>
          </w:p>
        </w:tc>
        <w:tc>
          <w:tcPr>
            <w:tcW w:w="64" w:type="dxa"/>
            <w:tcBorders>
              <w:bottom w:val="single" w:sz="6" w:space="0" w:color="84827F"/>
            </w:tcBorders>
            <w:tcMar>
              <w:bottom w:w="28" w:type="dxa"/>
            </w:tcMar>
            <w:vAlign w:val="center"/>
          </w:tcPr>
          <w:p>
            <w:pPr>
              <w:pStyle w:val="TableContents"/>
              <w:bidi w:val="0"/>
              <w:spacing w:before="0" w:after="283"/>
              <w:jc w:val="left"/>
              <w:rPr/>
            </w:pPr>
            <w:r>
              <w:rPr/>
              <w:t> </w:t>
            </w:r>
          </w:p>
        </w:tc>
        <w:tc>
          <w:tcPr>
            <w:tcW w:w="1357" w:type="dxa"/>
            <w:gridSpan w:val="3"/>
            <w:tcBorders>
              <w:bottom w:val="single" w:sz="6" w:space="0" w:color="84827F"/>
            </w:tcBorders>
            <w:tcMar>
              <w:bottom w:w="120" w:type="dxa"/>
            </w:tcMar>
            <w:vAlign w:val="center"/>
          </w:tcPr>
          <w:p>
            <w:pPr>
              <w:pStyle w:val="TableContents"/>
              <w:bidi w:val="0"/>
              <w:spacing w:before="0" w:after="283"/>
              <w:jc w:val="right"/>
              <w:rPr/>
            </w:pPr>
            <w:r>
              <w:rPr/>
              <w:drawing>
                <wp:inline distT="0" distB="0" distL="0" distR="0">
                  <wp:extent cx="492125" cy="407670"/>
                  <wp:effectExtent l="0" t="0" r="0" b="0"/>
                  <wp:docPr id="135"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9" descr=""/>
                          <pic:cNvPicPr>
                            <a:picLocks noChangeAspect="1" noChangeArrowheads="1"/>
                          </pic:cNvPicPr>
                        </pic:nvPicPr>
                        <pic:blipFill>
                          <a:blip r:embed="rId126"/>
                          <a:stretch>
                            <a:fillRect/>
                          </a:stretch>
                        </pic:blipFill>
                        <pic:spPr bwMode="auto">
                          <a:xfrm>
                            <a:off x="0" y="0"/>
                            <a:ext cx="492125" cy="407670"/>
                          </a:xfrm>
                          <a:prstGeom prst="rect">
                            <a:avLst/>
                          </a:prstGeom>
                        </pic:spPr>
                      </pic:pic>
                    </a:graphicData>
                  </a:graphic>
                </wp:inline>
              </w:drawing>
            </w:r>
            <w:r>
              <w:rPr/>
              <w:t xml:space="preserve"> </w:t>
            </w:r>
          </w:p>
        </w:tc>
      </w:tr>
      <w:tr>
        <w:trPr/>
        <w:tc>
          <w:tcPr>
            <w:tcW w:w="74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sz w:val="4"/>
                <w:szCs w:val="4"/>
              </w:rPr>
            </w:pPr>
            <w:r>
              <w:rPr>
                <w:sz w:val="4"/>
                <w:szCs w:val="4"/>
              </w:rPr>
            </w:r>
          </w:p>
        </w:tc>
      </w:tr>
      <w:tr>
        <w:trPr/>
        <w:tc>
          <w:tcPr>
            <w:tcW w:w="7497" w:type="dxa"/>
            <w:vMerge w:val="restart"/>
            <w:tcBorders/>
            <w:vAlign w:val="center"/>
          </w:tcPr>
          <w:p>
            <w:pPr>
              <w:pStyle w:val="TableContents"/>
              <w:bidi w:val="0"/>
              <w:spacing w:before="0" w:after="0"/>
              <w:jc w:val="left"/>
              <w:rPr>
                <w:rFonts w:ascii="arial" w:hAnsi="arial"/>
                <w:b/>
                <w:sz w:val="18"/>
              </w:rPr>
            </w:pPr>
            <w:r>
              <w:rPr>
                <w:rFonts w:ascii="arial" w:hAnsi="arial"/>
                <w:b/>
                <w:sz w:val="18"/>
              </w:rPr>
              <w:t>Key Responsibilities:</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Develops the Company’s compensation philosophy</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Designs and administers the Company’s executive compensation programs and policies aligned with business and compensation objectives</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Determines annually, for senior officers (including the CEO), corporate and business unit goals and establishes the level of performance that must be achieved for each</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Evaluates and determines the compensation of the CEO, senior officers, and Section 16 officers</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Reviews stock ownership requirements for senior officers and Board members, and compliance with the requirements</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Reviews and makes recommendations to the Board concerning director compensation</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Reviews and advises the Board concerning CEO and senior officer succession planning and developmental opportunities</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Reviews and makes recommendations to the Company’s Sustainability Strategy and related risk management policies and procedures related to human capital management</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Appoints, compensates and oversees the work performed by an independent compensation or legal advisor</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Oversees the Company’s strategies, initiatives, and programs related to human capital management and determines their effectiveness, including with respect to diverse representation, fairness, workplace culture, benefits and well-being, employee engagement, performance management, and talent recruitment, development, and retention</w:t>
            </w:r>
          </w:p>
          <w:p>
            <w:pPr>
              <w:pStyle w:val="TableContents"/>
              <w:bidi w:val="0"/>
              <w:spacing w:before="0" w:after="0"/>
              <w:jc w:val="left"/>
              <w:rPr/>
            </w:pPr>
            <w:r>
              <w:rPr/>
              <w:t> </w:t>
            </w:r>
          </w:p>
          <w:p>
            <w:pPr>
              <w:pStyle w:val="TableContents"/>
              <w:bidi w:val="0"/>
              <w:spacing w:before="0" w:after="0"/>
              <w:jc w:val="left"/>
              <w:rPr>
                <w:rFonts w:ascii="arial" w:hAnsi="arial"/>
                <w:i/>
                <w:sz w:val="18"/>
              </w:rPr>
            </w:pPr>
            <w:r>
              <w:rPr>
                <w:rFonts w:ascii="arial" w:hAnsi="arial"/>
                <w:i/>
                <w:sz w:val="18"/>
              </w:rPr>
              <w:t>Compensation Committee Interlocks and Insider Participation</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During 2025, none of the Company’s executive officers served on the Board of Directors of any entities whose directors or officers served on the Company’s Compensation and Talent Management Committee. No current or past executive officers of the Company or its subsidiaries serve on the Compensation and Talent Management Committee.</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787" w:type="dxa"/>
            <w:tcBorders/>
            <w:shd w:fill="EAEAE9" w:val="clear"/>
            <w:vAlign w:val="center"/>
          </w:tcPr>
          <w:p>
            <w:pPr>
              <w:pStyle w:val="TableContents"/>
              <w:bidi w:val="0"/>
              <w:spacing w:before="0" w:after="283"/>
              <w:jc w:val="left"/>
              <w:rPr>
                <w:sz w:val="4"/>
                <w:szCs w:val="4"/>
              </w:rPr>
            </w:pPr>
            <w:r>
              <w:rPr>
                <w:sz w:val="4"/>
                <w:szCs w:val="4"/>
              </w:rPr>
            </w:r>
          </w:p>
        </w:tc>
        <w:tc>
          <w:tcPr>
            <w:tcW w:w="64" w:type="dxa"/>
            <w:tcBorders/>
            <w:shd w:fill="EAEAE9" w:val="clear"/>
            <w:vAlign w:val="center"/>
          </w:tcPr>
          <w:p>
            <w:pPr>
              <w:pStyle w:val="TableContents"/>
              <w:bidi w:val="0"/>
              <w:spacing w:before="0" w:after="283"/>
              <w:jc w:val="left"/>
              <w:rPr/>
            </w:pPr>
            <w:r>
              <w:rPr/>
              <w:t> </w:t>
            </w:r>
          </w:p>
        </w:tc>
        <w:tc>
          <w:tcPr>
            <w:tcW w:w="1020"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277" w:type="dxa"/>
            <w:tcBorders/>
            <w:shd w:fill="EAEAE9" w:val="clear"/>
            <w:vAlign w:val="center"/>
          </w:tcPr>
          <w:p>
            <w:pPr>
              <w:pStyle w:val="TableContents"/>
              <w:bidi w:val="0"/>
              <w:spacing w:before="0" w:after="283"/>
              <w:jc w:val="left"/>
              <w:rPr>
                <w:sz w:val="4"/>
                <w:szCs w:val="4"/>
              </w:rPr>
            </w:pPr>
            <w:r>
              <w:rPr>
                <w:sz w:val="4"/>
                <w:szCs w:val="4"/>
              </w:rPr>
            </w:r>
          </w:p>
        </w:tc>
      </w:tr>
      <w:tr>
        <w:trPr/>
        <w:tc>
          <w:tcPr>
            <w:tcW w:w="749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1871" w:type="dxa"/>
            <w:gridSpan w:val="3"/>
            <w:tcBorders/>
            <w:shd w:fill="EAEAE9" w:val="clear"/>
            <w:vAlign w:val="center"/>
          </w:tcPr>
          <w:p>
            <w:pPr>
              <w:pStyle w:val="TableContents"/>
              <w:bidi w:val="0"/>
              <w:spacing w:before="0" w:after="283"/>
              <w:jc w:val="left"/>
              <w:rPr>
                <w:b/>
              </w:rPr>
            </w:pPr>
            <w:r>
              <w:rPr>
                <w:b/>
              </w:rPr>
              <w:t xml:space="preserve">Members: </w:t>
            </w:r>
            <w:r>
              <w:rPr>
                <w:b/>
                <w:color w:val="00AE4F"/>
              </w:rPr>
              <w:t>Majority Independent</w:t>
            </w:r>
          </w:p>
        </w:tc>
        <w:tc>
          <w:tcPr>
            <w:tcW w:w="60" w:type="dxa"/>
            <w:tcBorders/>
            <w:shd w:fill="EAEAE9" w:val="clear"/>
            <w:vAlign w:val="center"/>
          </w:tcPr>
          <w:p>
            <w:pPr>
              <w:pStyle w:val="TableContents"/>
              <w:bidi w:val="0"/>
              <w:spacing w:before="0" w:after="283"/>
              <w:jc w:val="left"/>
              <w:rPr/>
            </w:pPr>
            <w:r>
              <w:rPr/>
              <w:t> </w:t>
            </w:r>
          </w:p>
        </w:tc>
        <w:tc>
          <w:tcPr>
            <w:tcW w:w="277" w:type="dxa"/>
            <w:tcBorders/>
            <w:shd w:fill="EAEAE9" w:val="clear"/>
            <w:vAlign w:val="center"/>
          </w:tcPr>
          <w:p>
            <w:pPr>
              <w:pStyle w:val="TableContents"/>
              <w:bidi w:val="0"/>
              <w:spacing w:before="0" w:after="283"/>
              <w:jc w:val="left"/>
              <w:rPr/>
            </w:pPr>
            <w:r>
              <w:rPr/>
              <w:t> </w:t>
            </w:r>
          </w:p>
        </w:tc>
      </w:tr>
      <w:tr>
        <w:trPr/>
        <w:tc>
          <w:tcPr>
            <w:tcW w:w="749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787" w:type="dxa"/>
            <w:tcBorders/>
            <w:shd w:fill="EAEAE9" w:val="clear"/>
            <w:vAlign w:val="center"/>
          </w:tcPr>
          <w:p>
            <w:pPr>
              <w:pStyle w:val="TableContents"/>
              <w:bidi w:val="0"/>
              <w:spacing w:before="0" w:after="283"/>
              <w:jc w:val="left"/>
              <w:rPr/>
            </w:pPr>
            <w:r>
              <w:rPr/>
              <w:drawing>
                <wp:inline distT="0" distB="0" distL="0" distR="0">
                  <wp:extent cx="457200" cy="457200"/>
                  <wp:effectExtent l="0" t="0" r="0" b="0"/>
                  <wp:docPr id="136"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20" descr=""/>
                          <pic:cNvPicPr>
                            <a:picLocks noChangeAspect="1" noChangeArrowheads="1"/>
                          </pic:cNvPicPr>
                        </pic:nvPicPr>
                        <pic:blipFill>
                          <a:blip r:embed="rId127"/>
                          <a:stretch>
                            <a:fillRect/>
                          </a:stretch>
                        </pic:blipFill>
                        <pic:spPr bwMode="auto">
                          <a:xfrm>
                            <a:off x="0" y="0"/>
                            <a:ext cx="457200" cy="457200"/>
                          </a:xfrm>
                          <a:prstGeom prst="rect">
                            <a:avLst/>
                          </a:prstGeom>
                        </pic:spPr>
                      </pic:pic>
                    </a:graphicData>
                  </a:graphic>
                </wp:inline>
              </w:drawing>
            </w:r>
            <w:r>
              <w:rPr/>
              <w:t xml:space="preserve"> </w:t>
            </w:r>
          </w:p>
        </w:tc>
        <w:tc>
          <w:tcPr>
            <w:tcW w:w="64" w:type="dxa"/>
            <w:tcBorders/>
            <w:shd w:fill="EAEAE9" w:val="clear"/>
            <w:vAlign w:val="center"/>
          </w:tcPr>
          <w:p>
            <w:pPr>
              <w:pStyle w:val="TableContents"/>
              <w:bidi w:val="0"/>
              <w:spacing w:before="0" w:after="283"/>
              <w:jc w:val="left"/>
              <w:rPr/>
            </w:pPr>
            <w:r>
              <w:rPr/>
              <w:t> </w:t>
            </w:r>
          </w:p>
        </w:tc>
        <w:tc>
          <w:tcPr>
            <w:tcW w:w="1020" w:type="dxa"/>
            <w:tcBorders/>
            <w:shd w:fill="EAEAE9" w:val="clear"/>
            <w:vAlign w:val="center"/>
          </w:tcPr>
          <w:p>
            <w:pPr>
              <w:pStyle w:val="TableContents"/>
              <w:bidi w:val="0"/>
              <w:spacing w:before="0" w:after="0"/>
              <w:jc w:val="left"/>
              <w:rPr>
                <w:rFonts w:ascii="arial" w:hAnsi="arial"/>
                <w:sz w:val="18"/>
              </w:rPr>
            </w:pPr>
            <w:r>
              <w:rPr>
                <w:rFonts w:ascii="arial" w:hAnsi="arial"/>
                <w:sz w:val="18"/>
              </w:rPr>
              <w:t>Robert S. Cubbin</w:t>
              <w:br/>
            </w:r>
            <w:r>
              <w:rPr>
                <w:rFonts w:ascii="arial" w:hAnsi="arial"/>
                <w:b/>
                <w:color w:val="00AE4F"/>
                <w:sz w:val="18"/>
              </w:rPr>
              <w:t>(Chair)</w:t>
            </w:r>
          </w:p>
        </w:tc>
        <w:tc>
          <w:tcPr>
            <w:tcW w:w="60" w:type="dxa"/>
            <w:tcBorders/>
            <w:shd w:fill="EAEAE9" w:val="clear"/>
            <w:vAlign w:val="center"/>
          </w:tcPr>
          <w:p>
            <w:pPr>
              <w:pStyle w:val="TableContents"/>
              <w:bidi w:val="0"/>
              <w:spacing w:before="0" w:after="283"/>
              <w:jc w:val="left"/>
              <w:rPr/>
            </w:pPr>
            <w:r>
              <w:rPr/>
              <w:t> </w:t>
            </w:r>
          </w:p>
        </w:tc>
        <w:tc>
          <w:tcPr>
            <w:tcW w:w="277" w:type="dxa"/>
            <w:tcBorders/>
            <w:shd w:fill="EAEAE9" w:val="clear"/>
            <w:vAlign w:val="center"/>
          </w:tcPr>
          <w:p>
            <w:pPr>
              <w:pStyle w:val="TableContents"/>
              <w:bidi w:val="0"/>
              <w:spacing w:before="0" w:after="283"/>
              <w:jc w:val="left"/>
              <w:rPr>
                <w:sz w:val="4"/>
                <w:szCs w:val="4"/>
              </w:rPr>
            </w:pPr>
            <w:r>
              <w:rPr>
                <w:sz w:val="4"/>
                <w:szCs w:val="4"/>
              </w:rPr>
            </w:r>
          </w:p>
        </w:tc>
      </w:tr>
      <w:tr>
        <w:trPr/>
        <w:tc>
          <w:tcPr>
            <w:tcW w:w="749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787" w:type="dxa"/>
            <w:tcBorders/>
            <w:shd w:fill="EAEAE9" w:val="clear"/>
            <w:vAlign w:val="center"/>
          </w:tcPr>
          <w:p>
            <w:pPr>
              <w:pStyle w:val="TableContents"/>
              <w:bidi w:val="0"/>
              <w:spacing w:before="0" w:after="283"/>
              <w:jc w:val="left"/>
              <w:rPr/>
            </w:pPr>
            <w:r>
              <w:rPr/>
              <w:drawing>
                <wp:inline distT="0" distB="0" distL="0" distR="0">
                  <wp:extent cx="457200" cy="457200"/>
                  <wp:effectExtent l="0" t="0" r="0" b="0"/>
                  <wp:docPr id="137"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21" descr=""/>
                          <pic:cNvPicPr>
                            <a:picLocks noChangeAspect="1" noChangeArrowheads="1"/>
                          </pic:cNvPicPr>
                        </pic:nvPicPr>
                        <pic:blipFill>
                          <a:blip r:embed="rId128"/>
                          <a:stretch>
                            <a:fillRect/>
                          </a:stretch>
                        </pic:blipFill>
                        <pic:spPr bwMode="auto">
                          <a:xfrm>
                            <a:off x="0" y="0"/>
                            <a:ext cx="457200" cy="457200"/>
                          </a:xfrm>
                          <a:prstGeom prst="rect">
                            <a:avLst/>
                          </a:prstGeom>
                        </pic:spPr>
                      </pic:pic>
                    </a:graphicData>
                  </a:graphic>
                </wp:inline>
              </w:drawing>
            </w:r>
            <w:r>
              <w:rPr/>
              <w:t xml:space="preserve"> </w:t>
            </w:r>
          </w:p>
        </w:tc>
        <w:tc>
          <w:tcPr>
            <w:tcW w:w="64" w:type="dxa"/>
            <w:tcBorders/>
            <w:shd w:fill="EAEAE9" w:val="clear"/>
            <w:vAlign w:val="center"/>
          </w:tcPr>
          <w:p>
            <w:pPr>
              <w:pStyle w:val="TableContents"/>
              <w:bidi w:val="0"/>
              <w:spacing w:before="0" w:after="283"/>
              <w:jc w:val="left"/>
              <w:rPr/>
            </w:pPr>
            <w:r>
              <w:rPr/>
              <w:t> </w:t>
            </w:r>
          </w:p>
        </w:tc>
        <w:tc>
          <w:tcPr>
            <w:tcW w:w="1020" w:type="dxa"/>
            <w:tcBorders/>
            <w:shd w:fill="EAEAE9" w:val="clear"/>
            <w:vAlign w:val="center"/>
          </w:tcPr>
          <w:p>
            <w:pPr>
              <w:pStyle w:val="TableContents"/>
              <w:bidi w:val="0"/>
              <w:spacing w:before="0" w:after="0"/>
              <w:jc w:val="left"/>
              <w:rPr>
                <w:rFonts w:ascii="arial" w:hAnsi="arial"/>
                <w:sz w:val="18"/>
              </w:rPr>
            </w:pPr>
            <w:r>
              <w:rPr>
                <w:rFonts w:ascii="arial" w:hAnsi="arial"/>
                <w:sz w:val="18"/>
              </w:rPr>
              <w:t>Chris Hunt</w:t>
            </w:r>
          </w:p>
        </w:tc>
        <w:tc>
          <w:tcPr>
            <w:tcW w:w="60" w:type="dxa"/>
            <w:tcBorders/>
            <w:shd w:fill="EAEAE9" w:val="clear"/>
            <w:vAlign w:val="center"/>
          </w:tcPr>
          <w:p>
            <w:pPr>
              <w:pStyle w:val="TableContents"/>
              <w:bidi w:val="0"/>
              <w:spacing w:before="0" w:after="283"/>
              <w:jc w:val="left"/>
              <w:rPr/>
            </w:pPr>
            <w:r>
              <w:rPr/>
              <w:t> </w:t>
            </w:r>
          </w:p>
        </w:tc>
        <w:tc>
          <w:tcPr>
            <w:tcW w:w="277" w:type="dxa"/>
            <w:tcBorders/>
            <w:shd w:fill="EAEAE9" w:val="clear"/>
            <w:vAlign w:val="center"/>
          </w:tcPr>
          <w:p>
            <w:pPr>
              <w:pStyle w:val="TableContents"/>
              <w:bidi w:val="0"/>
              <w:spacing w:before="0" w:after="283"/>
              <w:jc w:val="left"/>
              <w:rPr>
                <w:sz w:val="4"/>
                <w:szCs w:val="4"/>
              </w:rPr>
            </w:pPr>
            <w:r>
              <w:rPr>
                <w:sz w:val="4"/>
                <w:szCs w:val="4"/>
              </w:rPr>
            </w:r>
          </w:p>
        </w:tc>
      </w:tr>
      <w:tr>
        <w:trPr/>
        <w:tc>
          <w:tcPr>
            <w:tcW w:w="749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787" w:type="dxa"/>
            <w:tcBorders/>
            <w:shd w:fill="EAEAE9" w:val="clear"/>
            <w:vAlign w:val="center"/>
          </w:tcPr>
          <w:p>
            <w:pPr>
              <w:pStyle w:val="TableContents"/>
              <w:bidi w:val="0"/>
              <w:spacing w:before="0" w:after="283"/>
              <w:jc w:val="left"/>
              <w:rPr/>
            </w:pPr>
            <w:r>
              <w:rPr/>
              <w:drawing>
                <wp:inline distT="0" distB="0" distL="0" distR="0">
                  <wp:extent cx="457200" cy="457200"/>
                  <wp:effectExtent l="0" t="0" r="0" b="0"/>
                  <wp:docPr id="138"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22" descr=""/>
                          <pic:cNvPicPr>
                            <a:picLocks noChangeAspect="1" noChangeArrowheads="1"/>
                          </pic:cNvPicPr>
                        </pic:nvPicPr>
                        <pic:blipFill>
                          <a:blip r:embed="rId129"/>
                          <a:stretch>
                            <a:fillRect/>
                          </a:stretch>
                        </pic:blipFill>
                        <pic:spPr bwMode="auto">
                          <a:xfrm>
                            <a:off x="0" y="0"/>
                            <a:ext cx="457200" cy="457200"/>
                          </a:xfrm>
                          <a:prstGeom prst="rect">
                            <a:avLst/>
                          </a:prstGeom>
                        </pic:spPr>
                      </pic:pic>
                    </a:graphicData>
                  </a:graphic>
                </wp:inline>
              </w:drawing>
            </w:r>
            <w:r>
              <w:rPr/>
              <w:t xml:space="preserve"> </w:t>
            </w:r>
          </w:p>
        </w:tc>
        <w:tc>
          <w:tcPr>
            <w:tcW w:w="64" w:type="dxa"/>
            <w:tcBorders/>
            <w:shd w:fill="EAEAE9" w:val="clear"/>
            <w:vAlign w:val="center"/>
          </w:tcPr>
          <w:p>
            <w:pPr>
              <w:pStyle w:val="TableContents"/>
              <w:bidi w:val="0"/>
              <w:spacing w:before="0" w:after="283"/>
              <w:jc w:val="left"/>
              <w:rPr/>
            </w:pPr>
            <w:r>
              <w:rPr/>
              <w:t> </w:t>
            </w:r>
          </w:p>
        </w:tc>
        <w:tc>
          <w:tcPr>
            <w:tcW w:w="1020" w:type="dxa"/>
            <w:tcBorders/>
            <w:shd w:fill="EAEAE9" w:val="clear"/>
            <w:vAlign w:val="center"/>
          </w:tcPr>
          <w:p>
            <w:pPr>
              <w:pStyle w:val="TableContents"/>
              <w:bidi w:val="0"/>
              <w:spacing w:before="0" w:after="20"/>
              <w:jc w:val="left"/>
              <w:rPr>
                <w:rFonts w:ascii="arial" w:hAnsi="arial"/>
                <w:sz w:val="18"/>
              </w:rPr>
            </w:pPr>
            <w:r>
              <w:rPr>
                <w:rFonts w:ascii="arial" w:hAnsi="arial"/>
                <w:sz w:val="18"/>
              </w:rPr>
              <w:t>Edward Escudero</w:t>
            </w:r>
          </w:p>
        </w:tc>
        <w:tc>
          <w:tcPr>
            <w:tcW w:w="60" w:type="dxa"/>
            <w:tcBorders/>
            <w:shd w:fill="EAEAE9" w:val="clear"/>
            <w:vAlign w:val="center"/>
          </w:tcPr>
          <w:p>
            <w:pPr>
              <w:pStyle w:val="TableContents"/>
              <w:bidi w:val="0"/>
              <w:spacing w:before="0" w:after="283"/>
              <w:jc w:val="left"/>
              <w:rPr/>
            </w:pPr>
            <w:r>
              <w:rPr/>
              <w:t> </w:t>
            </w:r>
          </w:p>
        </w:tc>
        <w:tc>
          <w:tcPr>
            <w:tcW w:w="277" w:type="dxa"/>
            <w:tcBorders/>
            <w:shd w:fill="EAEAE9" w:val="clear"/>
            <w:vAlign w:val="center"/>
          </w:tcPr>
          <w:p>
            <w:pPr>
              <w:pStyle w:val="TableContents"/>
              <w:bidi w:val="0"/>
              <w:spacing w:before="0" w:after="283"/>
              <w:jc w:val="left"/>
              <w:rPr>
                <w:sz w:val="4"/>
                <w:szCs w:val="4"/>
              </w:rPr>
            </w:pPr>
            <w:r>
              <w:rPr>
                <w:sz w:val="4"/>
                <w:szCs w:val="4"/>
              </w:rPr>
            </w:r>
          </w:p>
        </w:tc>
      </w:tr>
      <w:tr>
        <w:trPr/>
        <w:tc>
          <w:tcPr>
            <w:tcW w:w="749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1871" w:type="dxa"/>
            <w:gridSpan w:val="3"/>
            <w:tcBorders/>
            <w:shd w:fill="EAEAE9" w:val="clear"/>
            <w:vAlign w:val="center"/>
          </w:tcPr>
          <w:p>
            <w:pPr>
              <w:pStyle w:val="TableContents"/>
              <w:bidi w:val="0"/>
              <w:spacing w:before="0" w:after="0"/>
              <w:jc w:val="left"/>
              <w:rPr>
                <w:rFonts w:ascii="arial" w:hAnsi="arial"/>
                <w:b/>
                <w:sz w:val="18"/>
              </w:rPr>
            </w:pPr>
            <w:r>
              <w:rPr>
                <w:rFonts w:ascii="arial" w:hAnsi="arial"/>
                <w:b/>
                <w:sz w:val="18"/>
              </w:rPr>
              <w:t>Meetings in 2025:</w:t>
            </w:r>
          </w:p>
          <w:p>
            <w:pPr>
              <w:pStyle w:val="TableContents"/>
              <w:bidi w:val="0"/>
              <w:spacing w:before="0" w:after="20"/>
              <w:jc w:val="left"/>
              <w:rPr>
                <w:rFonts w:ascii="arial" w:hAnsi="arial"/>
                <w:b/>
                <w:color w:val="00AE4F"/>
                <w:sz w:val="40"/>
              </w:rPr>
            </w:pPr>
            <w:r>
              <w:rPr>
                <w:rFonts w:ascii="arial" w:hAnsi="arial"/>
                <w:b/>
                <w:color w:val="00AE4F"/>
                <w:sz w:val="40"/>
              </w:rPr>
              <w:t>7</w:t>
            </w:r>
          </w:p>
        </w:tc>
        <w:tc>
          <w:tcPr>
            <w:tcW w:w="60" w:type="dxa"/>
            <w:tcBorders/>
            <w:shd w:fill="EAEAE9" w:val="clear"/>
            <w:vAlign w:val="center"/>
          </w:tcPr>
          <w:p>
            <w:pPr>
              <w:pStyle w:val="TableContents"/>
              <w:bidi w:val="0"/>
              <w:spacing w:before="0" w:after="283"/>
              <w:jc w:val="left"/>
              <w:rPr/>
            </w:pPr>
            <w:r>
              <w:rPr/>
              <w:t> </w:t>
            </w:r>
          </w:p>
        </w:tc>
        <w:tc>
          <w:tcPr>
            <w:tcW w:w="277" w:type="dxa"/>
            <w:tcBorders/>
            <w:shd w:fill="EAEAE9" w:val="clear"/>
            <w:vAlign w:val="center"/>
          </w:tcPr>
          <w:p>
            <w:pPr>
              <w:pStyle w:val="TableContents"/>
              <w:bidi w:val="0"/>
              <w:spacing w:before="0" w:after="283"/>
              <w:jc w:val="left"/>
              <w:rPr>
                <w:sz w:val="4"/>
                <w:szCs w:val="4"/>
              </w:rPr>
            </w:pPr>
            <w:r>
              <w:rPr>
                <w:sz w:val="4"/>
                <w:szCs w:val="4"/>
              </w:rPr>
            </w:r>
          </w:p>
        </w:tc>
      </w:tr>
      <w:tr>
        <w:trPr/>
        <w:tc>
          <w:tcPr>
            <w:tcW w:w="749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787" w:type="dxa"/>
            <w:tcBorders/>
            <w:shd w:fill="EAEAE9" w:val="clear"/>
            <w:vAlign w:val="center"/>
          </w:tcPr>
          <w:p>
            <w:pPr>
              <w:pStyle w:val="TableContents"/>
              <w:bidi w:val="0"/>
              <w:spacing w:before="0" w:after="283"/>
              <w:jc w:val="left"/>
              <w:rPr>
                <w:sz w:val="4"/>
                <w:szCs w:val="4"/>
              </w:rPr>
            </w:pPr>
            <w:r>
              <w:rPr>
                <w:sz w:val="4"/>
                <w:szCs w:val="4"/>
              </w:rPr>
            </w:r>
          </w:p>
        </w:tc>
        <w:tc>
          <w:tcPr>
            <w:tcW w:w="64" w:type="dxa"/>
            <w:tcBorders/>
            <w:shd w:fill="EAEAE9" w:val="clear"/>
            <w:vAlign w:val="center"/>
          </w:tcPr>
          <w:p>
            <w:pPr>
              <w:pStyle w:val="TableContents"/>
              <w:bidi w:val="0"/>
              <w:spacing w:before="0" w:after="283"/>
              <w:jc w:val="left"/>
              <w:rPr/>
            </w:pPr>
            <w:r>
              <w:rPr/>
              <w:t> </w:t>
            </w:r>
          </w:p>
        </w:tc>
        <w:tc>
          <w:tcPr>
            <w:tcW w:w="1020"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277" w:type="dxa"/>
            <w:tcBorders/>
            <w:shd w:fill="EAEAE9" w:val="clear"/>
            <w:vAlign w:val="center"/>
          </w:tcPr>
          <w:p>
            <w:pPr>
              <w:pStyle w:val="TableContents"/>
              <w:bidi w:val="0"/>
              <w:spacing w:before="0" w:after="283"/>
              <w:jc w:val="left"/>
              <w:rPr>
                <w:sz w:val="4"/>
                <w:szCs w:val="4"/>
              </w:rPr>
            </w:pPr>
            <w:r>
              <w:rPr>
                <w:sz w:val="4"/>
                <w:szCs w:val="4"/>
              </w:rPr>
            </w:r>
          </w:p>
        </w:tc>
      </w:tr>
      <w:tr>
        <w:trPr/>
        <w:tc>
          <w:tcPr>
            <w:tcW w:w="749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139"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23" descr=""/>
                          <pic:cNvPicPr>
                            <a:picLocks noChangeAspect="1" noChangeArrowheads="1"/>
                          </pic:cNvPicPr>
                        </pic:nvPicPr>
                        <pic:blipFill>
                          <a:blip r:embed="rId130"/>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Corporate Governance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98"/>
        <w:gridCol w:w="60"/>
        <w:gridCol w:w="260"/>
        <w:gridCol w:w="60"/>
        <w:gridCol w:w="60"/>
        <w:gridCol w:w="60"/>
        <w:gridCol w:w="808"/>
        <w:gridCol w:w="65"/>
        <w:gridCol w:w="1197"/>
        <w:gridCol w:w="60"/>
        <w:gridCol w:w="277"/>
      </w:tblGrid>
      <w:tr>
        <w:trPr/>
        <w:tc>
          <w:tcPr>
            <w:tcW w:w="72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7298" w:type="dxa"/>
            <w:tcBorders>
              <w:bottom w:val="single" w:sz="6" w:space="0" w:color="84827F"/>
            </w:tcBorders>
            <w:tcMar>
              <w:bottom w:w="120" w:type="dxa"/>
            </w:tcMar>
            <w:vAlign w:val="center"/>
          </w:tcPr>
          <w:p>
            <w:pPr>
              <w:pStyle w:val="TableContents"/>
              <w:bidi w:val="0"/>
              <w:spacing w:before="0" w:after="283"/>
              <w:jc w:val="left"/>
              <w:rPr>
                <w:b/>
                <w:color w:val="00AE4F"/>
                <w:sz w:val="24"/>
              </w:rPr>
            </w:pPr>
            <w:r>
              <w:rPr>
                <w:b/>
                <w:color w:val="00AE4F"/>
                <w:sz w:val="24"/>
              </w:rPr>
              <w:t>Corporate Governance and Nominating Committee</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260" w:type="dxa"/>
            <w:tcBorders>
              <w:bottom w:val="single" w:sz="6" w:space="0" w:color="84827F"/>
            </w:tcBorders>
            <w:tcMar>
              <w:bottom w:w="28" w:type="dxa"/>
            </w:tcMar>
            <w:vAlign w:val="center"/>
          </w:tcPr>
          <w:p>
            <w:pPr>
              <w:pStyle w:val="TableContents"/>
              <w:bidi w:val="0"/>
              <w:spacing w:before="0" w:after="283"/>
              <w:jc w:val="left"/>
              <w:rPr/>
            </w:pPr>
            <w:r>
              <w:rPr/>
              <w:t> </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808" w:type="dxa"/>
            <w:tcBorders>
              <w:bottom w:val="single" w:sz="6" w:space="0" w:color="84827F"/>
            </w:tcBorders>
            <w:tcMar>
              <w:bottom w:w="28" w:type="dxa"/>
            </w:tcMar>
            <w:vAlign w:val="center"/>
          </w:tcPr>
          <w:p>
            <w:pPr>
              <w:pStyle w:val="TableContents"/>
              <w:bidi w:val="0"/>
              <w:spacing w:before="0" w:after="283"/>
              <w:jc w:val="left"/>
              <w:rPr/>
            </w:pPr>
            <w:r>
              <w:rPr/>
              <w:t> </w:t>
            </w:r>
          </w:p>
        </w:tc>
        <w:tc>
          <w:tcPr>
            <w:tcW w:w="65" w:type="dxa"/>
            <w:tcBorders>
              <w:bottom w:val="single" w:sz="6" w:space="0" w:color="84827F"/>
            </w:tcBorders>
            <w:tcMar>
              <w:bottom w:w="28" w:type="dxa"/>
            </w:tcMar>
            <w:vAlign w:val="center"/>
          </w:tcPr>
          <w:p>
            <w:pPr>
              <w:pStyle w:val="TableContents"/>
              <w:bidi w:val="0"/>
              <w:spacing w:before="0" w:after="283"/>
              <w:jc w:val="left"/>
              <w:rPr/>
            </w:pPr>
            <w:r>
              <w:rPr/>
              <w:t> </w:t>
            </w:r>
          </w:p>
        </w:tc>
        <w:tc>
          <w:tcPr>
            <w:tcW w:w="1534" w:type="dxa"/>
            <w:gridSpan w:val="3"/>
            <w:tcBorders>
              <w:bottom w:val="single" w:sz="6" w:space="0" w:color="84827F"/>
            </w:tcBorders>
            <w:tcMar>
              <w:bottom w:w="120" w:type="dxa"/>
            </w:tcMar>
            <w:vAlign w:val="center"/>
          </w:tcPr>
          <w:p>
            <w:pPr>
              <w:pStyle w:val="TableContents"/>
              <w:bidi w:val="0"/>
              <w:spacing w:before="0" w:after="283"/>
              <w:jc w:val="right"/>
              <w:rPr/>
            </w:pPr>
            <w:r>
              <w:rPr/>
              <w:drawing>
                <wp:inline distT="0" distB="0" distL="0" distR="0">
                  <wp:extent cx="434975" cy="411480"/>
                  <wp:effectExtent l="0" t="0" r="0" b="0"/>
                  <wp:docPr id="140"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4" descr=""/>
                          <pic:cNvPicPr>
                            <a:picLocks noChangeAspect="1" noChangeArrowheads="1"/>
                          </pic:cNvPicPr>
                        </pic:nvPicPr>
                        <pic:blipFill>
                          <a:blip r:embed="rId131"/>
                          <a:stretch>
                            <a:fillRect/>
                          </a:stretch>
                        </pic:blipFill>
                        <pic:spPr bwMode="auto">
                          <a:xfrm>
                            <a:off x="0" y="0"/>
                            <a:ext cx="434975" cy="411480"/>
                          </a:xfrm>
                          <a:prstGeom prst="rect">
                            <a:avLst/>
                          </a:prstGeom>
                        </pic:spPr>
                      </pic:pic>
                    </a:graphicData>
                  </a:graphic>
                </wp:inline>
              </w:drawing>
            </w:r>
            <w:r>
              <w:rPr/>
              <w:t xml:space="preserve"> </w:t>
            </w:r>
          </w:p>
        </w:tc>
      </w:tr>
      <w:tr>
        <w:trPr/>
        <w:tc>
          <w:tcPr>
            <w:tcW w:w="72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sz w:val="4"/>
                <w:szCs w:val="4"/>
              </w:rPr>
            </w:pPr>
            <w:r>
              <w:rPr>
                <w:sz w:val="4"/>
                <w:szCs w:val="4"/>
              </w:rPr>
            </w:r>
          </w:p>
        </w:tc>
      </w:tr>
      <w:tr>
        <w:trPr/>
        <w:tc>
          <w:tcPr>
            <w:tcW w:w="7298" w:type="dxa"/>
            <w:vMerge w:val="restart"/>
            <w:tcBorders/>
            <w:vAlign w:val="center"/>
          </w:tcPr>
          <w:p>
            <w:pPr>
              <w:pStyle w:val="TableContents"/>
              <w:bidi w:val="0"/>
              <w:spacing w:before="0" w:after="0"/>
              <w:jc w:val="left"/>
              <w:rPr>
                <w:rFonts w:ascii="arial" w:hAnsi="arial"/>
                <w:b/>
                <w:sz w:val="18"/>
              </w:rPr>
            </w:pPr>
            <w:r>
              <w:rPr>
                <w:rFonts w:ascii="arial" w:hAnsi="arial"/>
                <w:b/>
                <w:sz w:val="18"/>
              </w:rPr>
              <w:t>Key Responsibilities:</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Develops and oversees compliance with the Company’s Corporate Governance Principles</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Reviews and makes recommendations to the Board with respect to corporate governance matters generally</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Engages in succession planning for our Board of Directors</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Makes recommendations to the Board regarding the size, composition, and leadership structure of the Board and its committees</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Identifies and assesses the independence, backgrounds, and skills required for members of the Board and Board committees</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Identifies, considers, and recommends, consistent with criteria approved by the Board, qualified candidates for election as directors, including the slate of directors to be nominated by the Board for election at the Company’s Annual Meeting</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Oversees the orientation and education of new directors</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Facilitates the annual assessment of the performance of the Board and its committees, as well as the director peer review</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Oversees and periodically reports to the Board on matters concerning the Company’s Corporate Sustainability Strategy including corporate responsibility and sustainability performance</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Reviews and makes recommendations to the Board regarding corporate governance trends, best practices, and regulations applicable to the corporate governance of the Company</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808" w:type="dxa"/>
            <w:tcBorders/>
            <w:shd w:fill="EAEAE9" w:val="clear"/>
            <w:vAlign w:val="center"/>
          </w:tcPr>
          <w:p>
            <w:pPr>
              <w:pStyle w:val="TableContents"/>
              <w:bidi w:val="0"/>
              <w:spacing w:before="0" w:after="283"/>
              <w:jc w:val="left"/>
              <w:rPr>
                <w:sz w:val="4"/>
                <w:szCs w:val="4"/>
              </w:rPr>
            </w:pPr>
            <w:r>
              <w:rPr>
                <w:sz w:val="4"/>
                <w:szCs w:val="4"/>
              </w:rPr>
            </w:r>
          </w:p>
        </w:tc>
        <w:tc>
          <w:tcPr>
            <w:tcW w:w="65" w:type="dxa"/>
            <w:tcBorders/>
            <w:shd w:fill="EAEAE9" w:val="clear"/>
            <w:vAlign w:val="center"/>
          </w:tcPr>
          <w:p>
            <w:pPr>
              <w:pStyle w:val="TableContents"/>
              <w:bidi w:val="0"/>
              <w:spacing w:before="0" w:after="283"/>
              <w:jc w:val="left"/>
              <w:rPr/>
            </w:pPr>
            <w:r>
              <w:rPr/>
              <w:t> </w:t>
            </w:r>
          </w:p>
        </w:tc>
        <w:tc>
          <w:tcPr>
            <w:tcW w:w="1197"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277" w:type="dxa"/>
            <w:tcBorders/>
            <w:shd w:fill="EAEAE9" w:val="clear"/>
            <w:vAlign w:val="center"/>
          </w:tcPr>
          <w:p>
            <w:pPr>
              <w:pStyle w:val="TableContents"/>
              <w:bidi w:val="0"/>
              <w:spacing w:before="0" w:after="283"/>
              <w:jc w:val="left"/>
              <w:rPr>
                <w:sz w:val="4"/>
                <w:szCs w:val="4"/>
              </w:rPr>
            </w:pPr>
            <w:r>
              <w:rPr>
                <w:sz w:val="4"/>
                <w:szCs w:val="4"/>
              </w:rPr>
            </w:r>
          </w:p>
        </w:tc>
      </w:tr>
      <w:tr>
        <w:trPr/>
        <w:tc>
          <w:tcPr>
            <w:tcW w:w="729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2070" w:type="dxa"/>
            <w:gridSpan w:val="3"/>
            <w:tcBorders/>
            <w:shd w:fill="EAEAE9" w:val="clear"/>
            <w:vAlign w:val="center"/>
          </w:tcPr>
          <w:p>
            <w:pPr>
              <w:pStyle w:val="TableContents"/>
              <w:bidi w:val="0"/>
              <w:spacing w:before="0" w:after="283"/>
              <w:jc w:val="left"/>
              <w:rPr>
                <w:b/>
              </w:rPr>
            </w:pPr>
            <w:r>
              <w:rPr>
                <w:b/>
              </w:rPr>
              <w:t xml:space="preserve">Members: </w:t>
            </w:r>
            <w:r>
              <w:rPr>
                <w:b/>
                <w:color w:val="00AE4F"/>
              </w:rPr>
              <w:t>Majority Independent</w:t>
            </w:r>
          </w:p>
        </w:tc>
        <w:tc>
          <w:tcPr>
            <w:tcW w:w="60" w:type="dxa"/>
            <w:tcBorders/>
            <w:shd w:fill="EAEAE9" w:val="clear"/>
            <w:vAlign w:val="center"/>
          </w:tcPr>
          <w:p>
            <w:pPr>
              <w:pStyle w:val="TableContents"/>
              <w:bidi w:val="0"/>
              <w:spacing w:before="0" w:after="283"/>
              <w:jc w:val="left"/>
              <w:rPr/>
            </w:pPr>
            <w:r>
              <w:rPr/>
              <w:t> </w:t>
            </w:r>
          </w:p>
        </w:tc>
        <w:tc>
          <w:tcPr>
            <w:tcW w:w="277" w:type="dxa"/>
            <w:tcBorders/>
            <w:shd w:fill="EAEAE9" w:val="clear"/>
            <w:vAlign w:val="center"/>
          </w:tcPr>
          <w:p>
            <w:pPr>
              <w:pStyle w:val="TableContents"/>
              <w:bidi w:val="0"/>
              <w:spacing w:before="0" w:after="283"/>
              <w:jc w:val="left"/>
              <w:rPr/>
            </w:pPr>
            <w:r>
              <w:rPr/>
              <w:t> </w:t>
            </w:r>
          </w:p>
        </w:tc>
      </w:tr>
      <w:tr>
        <w:trPr/>
        <w:tc>
          <w:tcPr>
            <w:tcW w:w="729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808" w:type="dxa"/>
            <w:tcBorders/>
            <w:shd w:fill="EAEAE9" w:val="clear"/>
            <w:vAlign w:val="center"/>
          </w:tcPr>
          <w:p>
            <w:pPr>
              <w:pStyle w:val="TableContents"/>
              <w:bidi w:val="0"/>
              <w:spacing w:before="0" w:after="283"/>
              <w:jc w:val="left"/>
              <w:rPr/>
            </w:pPr>
            <w:r>
              <w:rPr/>
              <w:drawing>
                <wp:inline distT="0" distB="0" distL="0" distR="0">
                  <wp:extent cx="457200" cy="457200"/>
                  <wp:effectExtent l="0" t="0" r="0" b="0"/>
                  <wp:docPr id="141"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5" descr=""/>
                          <pic:cNvPicPr>
                            <a:picLocks noChangeAspect="1" noChangeArrowheads="1"/>
                          </pic:cNvPicPr>
                        </pic:nvPicPr>
                        <pic:blipFill>
                          <a:blip r:embed="rId132"/>
                          <a:stretch>
                            <a:fillRect/>
                          </a:stretch>
                        </pic:blipFill>
                        <pic:spPr bwMode="auto">
                          <a:xfrm>
                            <a:off x="0" y="0"/>
                            <a:ext cx="457200" cy="457200"/>
                          </a:xfrm>
                          <a:prstGeom prst="rect">
                            <a:avLst/>
                          </a:prstGeom>
                        </pic:spPr>
                      </pic:pic>
                    </a:graphicData>
                  </a:graphic>
                </wp:inline>
              </w:drawing>
            </w:r>
            <w:r>
              <w:rPr/>
              <w:t xml:space="preserve"> </w:t>
            </w:r>
          </w:p>
        </w:tc>
        <w:tc>
          <w:tcPr>
            <w:tcW w:w="65" w:type="dxa"/>
            <w:tcBorders/>
            <w:shd w:fill="EAEAE9" w:val="clear"/>
            <w:vAlign w:val="center"/>
          </w:tcPr>
          <w:p>
            <w:pPr>
              <w:pStyle w:val="TableContents"/>
              <w:bidi w:val="0"/>
              <w:spacing w:before="0" w:after="283"/>
              <w:jc w:val="left"/>
              <w:rPr/>
            </w:pPr>
            <w:r>
              <w:rPr/>
              <w:t> </w:t>
            </w:r>
          </w:p>
        </w:tc>
        <w:tc>
          <w:tcPr>
            <w:tcW w:w="1197" w:type="dxa"/>
            <w:tcBorders/>
            <w:shd w:fill="EAEAE9" w:val="clear"/>
            <w:vAlign w:val="center"/>
          </w:tcPr>
          <w:p>
            <w:pPr>
              <w:pStyle w:val="TableContents"/>
              <w:bidi w:val="0"/>
              <w:spacing w:before="0" w:after="0"/>
              <w:jc w:val="left"/>
              <w:rPr>
                <w:rFonts w:ascii="arial" w:hAnsi="arial"/>
                <w:sz w:val="18"/>
              </w:rPr>
            </w:pPr>
            <w:r>
              <w:rPr>
                <w:rFonts w:ascii="arial" w:hAnsi="arial"/>
                <w:sz w:val="18"/>
              </w:rPr>
              <w:t>Chris Hunt</w:t>
            </w:r>
          </w:p>
          <w:p>
            <w:pPr>
              <w:pStyle w:val="TableContents"/>
              <w:bidi w:val="0"/>
              <w:spacing w:before="0" w:after="20"/>
              <w:jc w:val="left"/>
              <w:rPr>
                <w:rFonts w:ascii="arial" w:hAnsi="arial"/>
                <w:b/>
                <w:color w:val="00AE4F"/>
                <w:sz w:val="18"/>
              </w:rPr>
            </w:pPr>
            <w:r>
              <w:rPr>
                <w:rFonts w:ascii="arial" w:hAnsi="arial"/>
                <w:b/>
                <w:color w:val="00AE4F"/>
                <w:sz w:val="18"/>
              </w:rPr>
              <w:t>(Chair)</w:t>
            </w:r>
          </w:p>
        </w:tc>
        <w:tc>
          <w:tcPr>
            <w:tcW w:w="60" w:type="dxa"/>
            <w:tcBorders/>
            <w:shd w:fill="EAEAE9" w:val="clear"/>
            <w:vAlign w:val="center"/>
          </w:tcPr>
          <w:p>
            <w:pPr>
              <w:pStyle w:val="TableContents"/>
              <w:bidi w:val="0"/>
              <w:spacing w:before="0" w:after="283"/>
              <w:jc w:val="left"/>
              <w:rPr/>
            </w:pPr>
            <w:r>
              <w:rPr/>
              <w:t> </w:t>
            </w:r>
          </w:p>
        </w:tc>
        <w:tc>
          <w:tcPr>
            <w:tcW w:w="277" w:type="dxa"/>
            <w:tcBorders/>
            <w:shd w:fill="EAEAE9" w:val="clear"/>
            <w:vAlign w:val="center"/>
          </w:tcPr>
          <w:p>
            <w:pPr>
              <w:pStyle w:val="TableContents"/>
              <w:bidi w:val="0"/>
              <w:spacing w:before="0" w:after="283"/>
              <w:jc w:val="left"/>
              <w:rPr>
                <w:sz w:val="4"/>
                <w:szCs w:val="4"/>
              </w:rPr>
            </w:pPr>
            <w:r>
              <w:rPr>
                <w:sz w:val="4"/>
                <w:szCs w:val="4"/>
              </w:rPr>
            </w:r>
          </w:p>
        </w:tc>
      </w:tr>
      <w:tr>
        <w:trPr/>
        <w:tc>
          <w:tcPr>
            <w:tcW w:w="729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808" w:type="dxa"/>
            <w:tcBorders/>
            <w:shd w:fill="EAEAE9" w:val="clear"/>
            <w:vAlign w:val="center"/>
          </w:tcPr>
          <w:p>
            <w:pPr>
              <w:pStyle w:val="TableContents"/>
              <w:bidi w:val="0"/>
              <w:spacing w:before="0" w:after="283"/>
              <w:jc w:val="left"/>
              <w:rPr/>
            </w:pPr>
            <w:r>
              <w:rPr/>
              <w:drawing>
                <wp:inline distT="0" distB="0" distL="0" distR="0">
                  <wp:extent cx="457200" cy="457200"/>
                  <wp:effectExtent l="0" t="0" r="0" b="0"/>
                  <wp:docPr id="142"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6" descr=""/>
                          <pic:cNvPicPr>
                            <a:picLocks noChangeAspect="1" noChangeArrowheads="1"/>
                          </pic:cNvPicPr>
                        </pic:nvPicPr>
                        <pic:blipFill>
                          <a:blip r:embed="rId133"/>
                          <a:stretch>
                            <a:fillRect/>
                          </a:stretch>
                        </pic:blipFill>
                        <pic:spPr bwMode="auto">
                          <a:xfrm>
                            <a:off x="0" y="0"/>
                            <a:ext cx="457200" cy="457200"/>
                          </a:xfrm>
                          <a:prstGeom prst="rect">
                            <a:avLst/>
                          </a:prstGeom>
                        </pic:spPr>
                      </pic:pic>
                    </a:graphicData>
                  </a:graphic>
                </wp:inline>
              </w:drawing>
            </w:r>
            <w:r>
              <w:rPr/>
              <w:t xml:space="preserve"> </w:t>
            </w:r>
          </w:p>
        </w:tc>
        <w:tc>
          <w:tcPr>
            <w:tcW w:w="65" w:type="dxa"/>
            <w:tcBorders/>
            <w:shd w:fill="EAEAE9" w:val="clear"/>
            <w:vAlign w:val="center"/>
          </w:tcPr>
          <w:p>
            <w:pPr>
              <w:pStyle w:val="TableContents"/>
              <w:bidi w:val="0"/>
              <w:spacing w:before="0" w:after="283"/>
              <w:jc w:val="left"/>
              <w:rPr/>
            </w:pPr>
            <w:r>
              <w:rPr/>
              <w:t> </w:t>
            </w:r>
          </w:p>
        </w:tc>
        <w:tc>
          <w:tcPr>
            <w:tcW w:w="1197" w:type="dxa"/>
            <w:tcBorders/>
            <w:shd w:fill="EAEAE9" w:val="clear"/>
            <w:vAlign w:val="center"/>
          </w:tcPr>
          <w:p>
            <w:pPr>
              <w:pStyle w:val="TableContents"/>
              <w:bidi w:val="0"/>
              <w:spacing w:before="0" w:after="0"/>
              <w:jc w:val="left"/>
              <w:rPr>
                <w:rFonts w:ascii="arial" w:hAnsi="arial"/>
                <w:sz w:val="18"/>
              </w:rPr>
            </w:pPr>
            <w:r>
              <w:rPr>
                <w:rFonts w:ascii="arial" w:hAnsi="arial"/>
                <w:sz w:val="18"/>
              </w:rPr>
              <w:t>Angela Brock-Kyle</w:t>
            </w:r>
          </w:p>
        </w:tc>
        <w:tc>
          <w:tcPr>
            <w:tcW w:w="60" w:type="dxa"/>
            <w:tcBorders/>
            <w:shd w:fill="EAEAE9" w:val="clear"/>
            <w:vAlign w:val="center"/>
          </w:tcPr>
          <w:p>
            <w:pPr>
              <w:pStyle w:val="TableContents"/>
              <w:bidi w:val="0"/>
              <w:spacing w:before="0" w:after="283"/>
              <w:jc w:val="left"/>
              <w:rPr/>
            </w:pPr>
            <w:r>
              <w:rPr/>
              <w:t> </w:t>
            </w:r>
          </w:p>
        </w:tc>
        <w:tc>
          <w:tcPr>
            <w:tcW w:w="277" w:type="dxa"/>
            <w:tcBorders/>
            <w:shd w:fill="EAEAE9" w:val="clear"/>
            <w:vAlign w:val="center"/>
          </w:tcPr>
          <w:p>
            <w:pPr>
              <w:pStyle w:val="TableContents"/>
              <w:bidi w:val="0"/>
              <w:spacing w:before="0" w:after="283"/>
              <w:jc w:val="left"/>
              <w:rPr>
                <w:sz w:val="4"/>
                <w:szCs w:val="4"/>
              </w:rPr>
            </w:pPr>
            <w:r>
              <w:rPr>
                <w:sz w:val="4"/>
                <w:szCs w:val="4"/>
              </w:rPr>
            </w:r>
          </w:p>
        </w:tc>
      </w:tr>
      <w:tr>
        <w:trPr/>
        <w:tc>
          <w:tcPr>
            <w:tcW w:w="729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808" w:type="dxa"/>
            <w:tcBorders/>
            <w:shd w:fill="EAEAE9" w:val="clear"/>
            <w:vAlign w:val="center"/>
          </w:tcPr>
          <w:p>
            <w:pPr>
              <w:pStyle w:val="TableContents"/>
              <w:bidi w:val="0"/>
              <w:spacing w:before="0" w:after="283"/>
              <w:jc w:val="left"/>
              <w:rPr/>
            </w:pPr>
            <w:r>
              <w:rPr/>
              <w:drawing>
                <wp:inline distT="0" distB="0" distL="0" distR="0">
                  <wp:extent cx="457200" cy="457200"/>
                  <wp:effectExtent l="0" t="0" r="0" b="0"/>
                  <wp:docPr id="143"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7" descr=""/>
                          <pic:cNvPicPr>
                            <a:picLocks noChangeAspect="1" noChangeArrowheads="1"/>
                          </pic:cNvPicPr>
                        </pic:nvPicPr>
                        <pic:blipFill>
                          <a:blip r:embed="rId134"/>
                          <a:stretch>
                            <a:fillRect/>
                          </a:stretch>
                        </pic:blipFill>
                        <pic:spPr bwMode="auto">
                          <a:xfrm>
                            <a:off x="0" y="0"/>
                            <a:ext cx="457200" cy="457200"/>
                          </a:xfrm>
                          <a:prstGeom prst="rect">
                            <a:avLst/>
                          </a:prstGeom>
                        </pic:spPr>
                      </pic:pic>
                    </a:graphicData>
                  </a:graphic>
                </wp:inline>
              </w:drawing>
            </w:r>
            <w:r>
              <w:rPr/>
              <w:t xml:space="preserve"> </w:t>
            </w:r>
          </w:p>
        </w:tc>
        <w:tc>
          <w:tcPr>
            <w:tcW w:w="65" w:type="dxa"/>
            <w:tcBorders/>
            <w:shd w:fill="EAEAE9" w:val="clear"/>
            <w:vAlign w:val="center"/>
          </w:tcPr>
          <w:p>
            <w:pPr>
              <w:pStyle w:val="TableContents"/>
              <w:bidi w:val="0"/>
              <w:spacing w:before="0" w:after="283"/>
              <w:jc w:val="left"/>
              <w:rPr/>
            </w:pPr>
            <w:r>
              <w:rPr/>
              <w:t> </w:t>
            </w:r>
          </w:p>
        </w:tc>
        <w:tc>
          <w:tcPr>
            <w:tcW w:w="1197" w:type="dxa"/>
            <w:tcBorders/>
            <w:shd w:fill="EAEAE9" w:val="clear"/>
            <w:vAlign w:val="center"/>
          </w:tcPr>
          <w:p>
            <w:pPr>
              <w:pStyle w:val="TableContents"/>
              <w:bidi w:val="0"/>
              <w:spacing w:before="0" w:after="0"/>
              <w:jc w:val="left"/>
              <w:rPr>
                <w:rFonts w:ascii="arial" w:hAnsi="arial"/>
                <w:sz w:val="18"/>
              </w:rPr>
            </w:pPr>
            <w:r>
              <w:rPr>
                <w:rFonts w:ascii="arial" w:hAnsi="arial"/>
                <w:sz w:val="18"/>
              </w:rPr>
              <w:t>James K. Hunt</w:t>
            </w:r>
          </w:p>
        </w:tc>
        <w:tc>
          <w:tcPr>
            <w:tcW w:w="60" w:type="dxa"/>
            <w:tcBorders/>
            <w:shd w:fill="EAEAE9" w:val="clear"/>
            <w:vAlign w:val="center"/>
          </w:tcPr>
          <w:p>
            <w:pPr>
              <w:pStyle w:val="TableContents"/>
              <w:bidi w:val="0"/>
              <w:spacing w:before="0" w:after="283"/>
              <w:jc w:val="left"/>
              <w:rPr/>
            </w:pPr>
            <w:r>
              <w:rPr/>
              <w:t> </w:t>
            </w:r>
          </w:p>
        </w:tc>
        <w:tc>
          <w:tcPr>
            <w:tcW w:w="277" w:type="dxa"/>
            <w:tcBorders/>
            <w:shd w:fill="EAEAE9" w:val="clear"/>
            <w:vAlign w:val="center"/>
          </w:tcPr>
          <w:p>
            <w:pPr>
              <w:pStyle w:val="TableContents"/>
              <w:bidi w:val="0"/>
              <w:spacing w:before="0" w:after="283"/>
              <w:jc w:val="left"/>
              <w:rPr>
                <w:sz w:val="4"/>
                <w:szCs w:val="4"/>
              </w:rPr>
            </w:pPr>
            <w:r>
              <w:rPr>
                <w:sz w:val="4"/>
                <w:szCs w:val="4"/>
              </w:rPr>
            </w:r>
          </w:p>
        </w:tc>
      </w:tr>
      <w:tr>
        <w:trPr/>
        <w:tc>
          <w:tcPr>
            <w:tcW w:w="729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2070" w:type="dxa"/>
            <w:gridSpan w:val="3"/>
            <w:tcBorders/>
            <w:shd w:fill="EAEAE9" w:val="clear"/>
            <w:vAlign w:val="center"/>
          </w:tcPr>
          <w:p>
            <w:pPr>
              <w:pStyle w:val="TableContents"/>
              <w:bidi w:val="0"/>
              <w:spacing w:before="0" w:after="0"/>
              <w:jc w:val="left"/>
              <w:rPr>
                <w:rFonts w:ascii="arial" w:hAnsi="arial"/>
                <w:b/>
                <w:sz w:val="18"/>
              </w:rPr>
            </w:pPr>
            <w:r>
              <w:rPr>
                <w:rFonts w:ascii="arial" w:hAnsi="arial"/>
                <w:b/>
                <w:sz w:val="18"/>
              </w:rPr>
              <w:t>Meetings in 2025:</w:t>
            </w:r>
          </w:p>
          <w:p>
            <w:pPr>
              <w:pStyle w:val="TableContents"/>
              <w:bidi w:val="0"/>
              <w:spacing w:before="0" w:after="20"/>
              <w:jc w:val="left"/>
              <w:rPr>
                <w:rFonts w:ascii="arial" w:hAnsi="arial"/>
                <w:b/>
                <w:color w:val="00AE4F"/>
                <w:sz w:val="40"/>
              </w:rPr>
            </w:pPr>
            <w:r>
              <w:rPr>
                <w:rFonts w:ascii="arial" w:hAnsi="arial"/>
                <w:b/>
                <w:color w:val="00AE4F"/>
                <w:sz w:val="40"/>
              </w:rPr>
              <w:t>4</w:t>
            </w:r>
          </w:p>
        </w:tc>
        <w:tc>
          <w:tcPr>
            <w:tcW w:w="60" w:type="dxa"/>
            <w:tcBorders/>
            <w:shd w:fill="EAEAE9" w:val="clear"/>
            <w:vAlign w:val="center"/>
          </w:tcPr>
          <w:p>
            <w:pPr>
              <w:pStyle w:val="TableContents"/>
              <w:bidi w:val="0"/>
              <w:spacing w:before="0" w:after="283"/>
              <w:jc w:val="left"/>
              <w:rPr/>
            </w:pPr>
            <w:r>
              <w:rPr/>
              <w:t> </w:t>
            </w:r>
          </w:p>
        </w:tc>
        <w:tc>
          <w:tcPr>
            <w:tcW w:w="277" w:type="dxa"/>
            <w:tcBorders/>
            <w:shd w:fill="EAEAE9" w:val="clear"/>
            <w:vAlign w:val="center"/>
          </w:tcPr>
          <w:p>
            <w:pPr>
              <w:pStyle w:val="TableContents"/>
              <w:bidi w:val="0"/>
              <w:spacing w:before="0" w:after="283"/>
              <w:jc w:val="left"/>
              <w:rPr>
                <w:sz w:val="4"/>
                <w:szCs w:val="4"/>
              </w:rPr>
            </w:pPr>
            <w:r>
              <w:rPr>
                <w:sz w:val="4"/>
                <w:szCs w:val="4"/>
              </w:rPr>
            </w:r>
          </w:p>
        </w:tc>
      </w:tr>
      <w:tr>
        <w:trPr/>
        <w:tc>
          <w:tcPr>
            <w:tcW w:w="729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808" w:type="dxa"/>
            <w:tcBorders/>
            <w:shd w:fill="EAEAE9" w:val="clear"/>
            <w:vAlign w:val="center"/>
          </w:tcPr>
          <w:p>
            <w:pPr>
              <w:pStyle w:val="TableContents"/>
              <w:bidi w:val="0"/>
              <w:spacing w:before="0" w:after="283"/>
              <w:jc w:val="left"/>
              <w:rPr>
                <w:sz w:val="4"/>
                <w:szCs w:val="4"/>
              </w:rPr>
            </w:pPr>
            <w:r>
              <w:rPr>
                <w:sz w:val="4"/>
                <w:szCs w:val="4"/>
              </w:rPr>
            </w:r>
          </w:p>
        </w:tc>
        <w:tc>
          <w:tcPr>
            <w:tcW w:w="65" w:type="dxa"/>
            <w:tcBorders/>
            <w:shd w:fill="EAEAE9" w:val="clear"/>
            <w:vAlign w:val="center"/>
          </w:tcPr>
          <w:p>
            <w:pPr>
              <w:pStyle w:val="TableContents"/>
              <w:bidi w:val="0"/>
              <w:spacing w:before="0" w:after="283"/>
              <w:jc w:val="left"/>
              <w:rPr/>
            </w:pPr>
            <w:r>
              <w:rPr/>
              <w:t> </w:t>
            </w:r>
          </w:p>
        </w:tc>
        <w:tc>
          <w:tcPr>
            <w:tcW w:w="1197"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shd w:fill="EAEAE9" w:val="clear"/>
            <w:vAlign w:val="center"/>
          </w:tcPr>
          <w:p>
            <w:pPr>
              <w:pStyle w:val="TableContents"/>
              <w:bidi w:val="0"/>
              <w:spacing w:before="0" w:after="283"/>
              <w:jc w:val="left"/>
              <w:rPr/>
            </w:pPr>
            <w:r>
              <w:rPr/>
              <w:t> </w:t>
            </w:r>
          </w:p>
        </w:tc>
        <w:tc>
          <w:tcPr>
            <w:tcW w:w="277" w:type="dxa"/>
            <w:tcBorders/>
            <w:shd w:fill="EAEAE9" w:val="clear"/>
            <w:vAlign w:val="center"/>
          </w:tcPr>
          <w:p>
            <w:pPr>
              <w:pStyle w:val="TableContents"/>
              <w:bidi w:val="0"/>
              <w:spacing w:before="0" w:after="283"/>
              <w:jc w:val="left"/>
              <w:rPr>
                <w:sz w:val="4"/>
                <w:szCs w:val="4"/>
              </w:rPr>
            </w:pPr>
            <w:r>
              <w:rPr>
                <w:sz w:val="4"/>
                <w:szCs w:val="4"/>
              </w:rPr>
            </w:r>
          </w:p>
        </w:tc>
      </w:tr>
      <w:tr>
        <w:trPr/>
        <w:tc>
          <w:tcPr>
            <w:tcW w:w="729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28 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144"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8" descr=""/>
                          <pic:cNvPicPr>
                            <a:picLocks noChangeAspect="1" noChangeArrowheads="1"/>
                          </pic:cNvPicPr>
                        </pic:nvPicPr>
                        <pic:blipFill>
                          <a:blip r:embed="rId135"/>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b/>
          <w:sz w:val="24"/>
        </w:rPr>
      </w:pPr>
      <w:bookmarkStart w:id="23" w:name="toc37355_21"/>
      <w:bookmarkEnd w:id="23"/>
      <w:r>
        <w:rPr>
          <w:rFonts w:ascii="arial" w:hAnsi="arial"/>
          <w:b/>
          <w:sz w:val="24"/>
        </w:rPr>
        <w:t xml:space="preserve">Risk Governance and Oversight </w:t>
      </w:r>
    </w:p>
    <w:p>
      <w:pPr>
        <w:pStyle w:val="TextBody"/>
        <w:bidi w:val="0"/>
        <w:spacing w:before="80" w:after="0"/>
        <w:jc w:val="left"/>
        <w:rPr>
          <w:rFonts w:ascii="arial" w:hAnsi="arial"/>
          <w:sz w:val="18"/>
        </w:rPr>
      </w:pPr>
      <w:r>
        <w:rPr>
          <w:rFonts w:ascii="arial" w:hAnsi="arial"/>
          <w:sz w:val="18"/>
        </w:rPr>
        <w:t xml:space="preserve">Risk is inherent in business, and while management is responsible for managing risk, the Board’s oversight, assessment, and decisions regarding risks occur in conjunction with the other activities of the Board and its committees. </w:t>
      </w:r>
    </w:p>
    <w:p>
      <w:pPr>
        <w:pStyle w:val="TextBody"/>
        <w:bidi w:val="0"/>
        <w:spacing w:before="240" w:after="0"/>
        <w:jc w:val="left"/>
        <w:rPr>
          <w:rFonts w:ascii="arial" w:hAnsi="arial"/>
          <w:i/>
          <w:sz w:val="20"/>
        </w:rPr>
      </w:pPr>
      <w:r>
        <w:rPr>
          <w:rFonts w:ascii="arial" w:hAnsi="arial"/>
          <w:i/>
          <w:sz w:val="20"/>
        </w:rPr>
        <w:t xml:space="preserve">Risk Governance and Oversight Responsibilities </w:t>
      </w:r>
    </w:p>
    <w:p>
      <w:pPr>
        <w:pStyle w:val="TextBody"/>
        <w:bidi w:val="0"/>
        <w:spacing w:before="160" w:after="0"/>
        <w:jc w:val="center"/>
        <w:rPr>
          <w:rFonts w:ascii="arial" w:hAnsi="arial"/>
          <w:b/>
          <w:color w:val="00AE4F"/>
          <w:sz w:val="16"/>
        </w:rPr>
      </w:pPr>
      <w:r>
        <w:rPr>
          <w:rFonts w:ascii="arial" w:hAnsi="arial"/>
          <w:b/>
          <w:color w:val="00AE4F"/>
          <w:sz w:val="16"/>
        </w:rPr>
        <w:t xml:space="preserve">Board of Directors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120" w:after="0"/>
        <w:jc w:val="left"/>
        <w:rPr>
          <w:rFonts w:ascii="arial" w:hAnsi="arial"/>
          <w:sz w:val="18"/>
        </w:rPr>
      </w:pPr>
      <w:r>
        <w:rPr>
          <w:rFonts w:ascii="arial" w:hAnsi="arial"/>
          <w:sz w:val="18"/>
        </w:rPr>
        <w:t xml:space="preserve">The Board oversees mission-critical risks to the Company, including strategic and operational risks, as well as management’s actions to address and mitigate those risks. The Board receives reports at regular Board meetings from the committee chairs regarding committees’ risk oversight activities. These reports and the Board’s attention focus on risk management strategy and risks of greatest significance and seek to ensure that risks assumed by the Company are consistent with the Company’s risk tolerance and risk appetite. Risk oversight is also integrated into the full Board’s regular review of strategic planning.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00"/>
        <w:gridCol w:w="120"/>
        <w:gridCol w:w="4012"/>
        <w:gridCol w:w="120"/>
        <w:gridCol w:w="2953"/>
      </w:tblGrid>
      <w:tr>
        <w:trPr/>
        <w:tc>
          <w:tcPr>
            <w:tcW w:w="3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r>
      <w:tr>
        <w:trPr/>
        <w:tc>
          <w:tcPr>
            <w:tcW w:w="3000" w:type="dxa"/>
            <w:tcBorders>
              <w:bottom w:val="single" w:sz="8" w:space="0" w:color="000000"/>
            </w:tcBorders>
            <w:tcMar>
              <w:bottom w:w="28" w:type="dxa"/>
            </w:tcMar>
            <w:vAlign w:val="center"/>
          </w:tcPr>
          <w:p>
            <w:pPr>
              <w:pStyle w:val="TableContents"/>
              <w:bidi w:val="0"/>
              <w:spacing w:before="0" w:after="20"/>
              <w:jc w:val="center"/>
              <w:rPr>
                <w:rFonts w:ascii="arial" w:hAnsi="arial"/>
                <w:b/>
                <w:color w:val="00AE4F"/>
                <w:sz w:val="16"/>
              </w:rPr>
            </w:pPr>
            <w:r>
              <w:rPr>
                <w:rFonts w:ascii="arial" w:hAnsi="arial"/>
                <w:b/>
                <w:color w:val="00AE4F"/>
                <w:sz w:val="16"/>
              </w:rPr>
              <w:t>Audit Committee</w:t>
            </w:r>
          </w:p>
        </w:tc>
        <w:tc>
          <w:tcPr>
            <w:tcW w:w="120" w:type="dxa"/>
            <w:tcBorders/>
            <w:vAlign w:val="center"/>
          </w:tcPr>
          <w:p>
            <w:pPr>
              <w:pStyle w:val="TableContents"/>
              <w:bidi w:val="0"/>
              <w:spacing w:before="0" w:after="283"/>
              <w:jc w:val="left"/>
              <w:rPr/>
            </w:pPr>
            <w:r>
              <w:rPr/>
              <w:t>  </w:t>
            </w:r>
          </w:p>
        </w:tc>
        <w:tc>
          <w:tcPr>
            <w:tcW w:w="4012" w:type="dxa"/>
            <w:tcBorders>
              <w:bottom w:val="single" w:sz="8" w:space="0" w:color="000000"/>
            </w:tcBorders>
            <w:tcMar>
              <w:bottom w:w="28" w:type="dxa"/>
            </w:tcMar>
            <w:vAlign w:val="center"/>
          </w:tcPr>
          <w:p>
            <w:pPr>
              <w:pStyle w:val="TableContents"/>
              <w:bidi w:val="0"/>
              <w:spacing w:before="0" w:after="20"/>
              <w:jc w:val="center"/>
              <w:rPr>
                <w:rFonts w:ascii="arial" w:hAnsi="arial"/>
                <w:b/>
                <w:color w:val="00AE4F"/>
                <w:sz w:val="16"/>
              </w:rPr>
            </w:pPr>
            <w:r>
              <w:rPr>
                <w:rFonts w:ascii="arial" w:hAnsi="arial"/>
                <w:b/>
                <w:color w:val="00AE4F"/>
                <w:sz w:val="16"/>
              </w:rPr>
              <w:t>Compensation and Talent Management</w:t>
              <w:br/>
              <w:t>Committee</w:t>
            </w:r>
          </w:p>
        </w:tc>
        <w:tc>
          <w:tcPr>
            <w:tcW w:w="120" w:type="dxa"/>
            <w:tcBorders/>
            <w:vAlign w:val="center"/>
          </w:tcPr>
          <w:p>
            <w:pPr>
              <w:pStyle w:val="TableContents"/>
              <w:bidi w:val="0"/>
              <w:spacing w:before="0" w:after="283"/>
              <w:jc w:val="left"/>
              <w:rPr/>
            </w:pPr>
            <w:r>
              <w:rPr/>
              <w:t>  </w:t>
            </w:r>
          </w:p>
        </w:tc>
        <w:tc>
          <w:tcPr>
            <w:tcW w:w="2953" w:type="dxa"/>
            <w:tcBorders>
              <w:bottom w:val="single" w:sz="8" w:space="0" w:color="000000"/>
            </w:tcBorders>
            <w:tcMar>
              <w:bottom w:w="28" w:type="dxa"/>
            </w:tcMar>
            <w:vAlign w:val="center"/>
          </w:tcPr>
          <w:p>
            <w:pPr>
              <w:pStyle w:val="TableContents"/>
              <w:bidi w:val="0"/>
              <w:spacing w:before="0" w:after="20"/>
              <w:jc w:val="center"/>
              <w:rPr>
                <w:rFonts w:ascii="arial" w:hAnsi="arial"/>
                <w:b/>
                <w:color w:val="00AE4F"/>
                <w:sz w:val="16"/>
              </w:rPr>
            </w:pPr>
            <w:r>
              <w:rPr>
                <w:rFonts w:ascii="arial" w:hAnsi="arial"/>
                <w:b/>
                <w:color w:val="00AE4F"/>
                <w:sz w:val="16"/>
              </w:rPr>
              <w:t>Corporate Governance and Nominating Committee</w:t>
            </w:r>
          </w:p>
        </w:tc>
      </w:tr>
      <w:tr>
        <w:trPr/>
        <w:tc>
          <w:tcPr>
            <w:tcW w:w="3000" w:type="dxa"/>
            <w:tcBorders/>
            <w:shd w:fill="EDEDED" w:val="clear"/>
            <w:vAlign w:val="center"/>
          </w:tcPr>
          <w:p>
            <w:pPr>
              <w:pStyle w:val="TableContents"/>
              <w:bidi w:val="0"/>
              <w:spacing w:before="0" w:after="283"/>
              <w:jc w:val="left"/>
              <w:rPr>
                <w:sz w:val="4"/>
                <w:szCs w:val="4"/>
              </w:rPr>
            </w:pPr>
            <w:r>
              <w:rPr>
                <w:sz w:val="4"/>
                <w:szCs w:val="4"/>
              </w:rPr>
            </w:r>
          </w:p>
        </w:tc>
        <w:tc>
          <w:tcPr>
            <w:tcW w:w="4132" w:type="dxa"/>
            <w:gridSpan w:val="2"/>
            <w:tcBorders/>
            <w:vAlign w:val="center"/>
          </w:tcPr>
          <w:p>
            <w:pPr>
              <w:pStyle w:val="TableContents"/>
              <w:bidi w:val="0"/>
              <w:spacing w:before="0" w:after="283"/>
              <w:jc w:val="left"/>
              <w:rPr>
                <w:sz w:val="4"/>
                <w:szCs w:val="4"/>
              </w:rPr>
            </w:pPr>
            <w:r>
              <w:rPr>
                <w:sz w:val="4"/>
                <w:szCs w:val="4"/>
              </w:rPr>
            </w:r>
          </w:p>
        </w:tc>
        <w:tc>
          <w:tcPr>
            <w:tcW w:w="3073"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000" w:type="dxa"/>
            <w:tcBorders>
              <w:bottom w:val="single" w:sz="6" w:space="0" w:color="7F7F7F"/>
            </w:tcBorders>
            <w:shd w:fill="EDEDED" w:val="clear"/>
            <w:tcMar>
              <w:bottom w:w="12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Provides oversight of risks, and management’s mitigations of those risks, that could have a financial impact, such as financial reporting and disclosure, accounting practices, internal controls, conflicts of interest, compliance with legal and regulatory requirements, and cybersecurity</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 xml:space="preserve">Oversees the Company’s overall risk management governance structure, </w:t>
              <w:br/>
              <w:t>risk assessment, and enterprise risk management processes</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Oversees risks associated with information security, cybersecurity, artificial intelligence, data privacy, and the Company’s process for assessing, identifying, and managing cybersecurity risk, including breach preparedness and response plans</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Reviews all quarterly and annual reports, including any disclosure of risk factors affecting the business</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Oversees the performance of the Company’s Internal Audit function including Chief Audit Executive (“CAE”)</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Reviews and approves Internal Audit’s budget and resource plan</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Monitors the qualifications, performance, and independence of the Company’s independent auditors, including responsibility for the appointment, compensation, retention, and oversight of the Company’s independent registered public accounting firm</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4012" w:type="dxa"/>
            <w:tcBorders>
              <w:bottom w:val="single" w:sz="6" w:space="0" w:color="7F7F7F"/>
            </w:tcBorders>
            <w:tcMar>
              <w:bottom w:w="12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Oversees our compensation plans, policies, and practices to ensure alignment with our Executive Compensation Risk Assessment Framework and reports to the Board any compensation program that is reasonably likely to have a material adverse effect on the Company, and otherwise advises the Board on compensation-related risk matters</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Together with the Committee’s independent compensation consultant, reviews and evaluates management’s annual assessment of potential risks created by our compensation plans, policies, and practices</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Sets performance goals under our annual and long-term incentive plans that provide an appropriate balance between the achievement of short- and long-term performance objectives, with emphasis on long-term value creation and responsible risk management</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Oversees risk associated with ongoing CEO and senior officer succession planning</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Oversees risks related to the Company’s human capital management</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Oversees the Company’s Clawback Policy</w:t>
            </w:r>
          </w:p>
        </w:tc>
        <w:tc>
          <w:tcPr>
            <w:tcW w:w="120" w:type="dxa"/>
            <w:tcBorders>
              <w:bottom w:val="single" w:sz="6" w:space="0" w:color="7F7F7F"/>
            </w:tcBorders>
            <w:shd w:fill="EDEDED" w:val="clear"/>
            <w:tcMar>
              <w:bottom w:w="28" w:type="dxa"/>
            </w:tcMar>
            <w:vAlign w:val="center"/>
          </w:tcPr>
          <w:p>
            <w:pPr>
              <w:pStyle w:val="TableContents"/>
              <w:bidi w:val="0"/>
              <w:spacing w:before="0" w:after="283"/>
              <w:jc w:val="left"/>
              <w:rPr/>
            </w:pPr>
            <w:r>
              <w:rPr/>
              <w:t>  </w:t>
            </w:r>
          </w:p>
        </w:tc>
        <w:tc>
          <w:tcPr>
            <w:tcW w:w="2953" w:type="dxa"/>
            <w:tcBorders>
              <w:bottom w:val="single" w:sz="6" w:space="0" w:color="7F7F7F"/>
            </w:tcBorders>
            <w:shd w:fill="EDEDED" w:val="clear"/>
            <w:tcMar>
              <w:bottom w:w="12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Oversees risk associated with governance issues, such as the range of independence, skills, experience, and viewpoints of the Board and its committees, Board and committee effectiveness and organization, corporate governance, and director succession planning</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Maintains Corporate Governance Principles and procedures designed to promote compliance with all applicable legal and regulatory requirements and governance standards and the Company’s Code of Business Conduct and Ethics and Insider Trading Policy</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Annually reviews the Company’s Sustainability Strategy, initiatives, and policies and monitors associated risks, including reputational, regulatory, and operational risks arising from the Company’s sustainability commitments and disclosures</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Oversees emergency succession planning for the CEO and Chairman</w:t>
            </w:r>
          </w:p>
          <w:p>
            <w:pPr>
              <w:pStyle w:val="TableContents"/>
              <w:bidi w:val="0"/>
              <w:spacing w:before="0" w:after="0"/>
              <w:jc w:val="left"/>
              <w:rPr/>
            </w:pPr>
            <w:r>
              <w:rPr/>
              <w:t> </w:t>
            </w:r>
          </w:p>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Oversees the orientation and education of directors to ensure clear understanding of their Board responsibilities and recommends continuing education programs, as appropriate</w:t>
            </w:r>
          </w:p>
        </w:tc>
      </w:tr>
    </w:tbl>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145"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9" descr=""/>
                          <pic:cNvPicPr>
                            <a:picLocks noChangeAspect="1" noChangeArrowheads="1"/>
                          </pic:cNvPicPr>
                        </pic:nvPicPr>
                        <pic:blipFill>
                          <a:blip r:embed="rId136"/>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Corporate Governance </w:t>
      </w:r>
    </w:p>
    <w:p>
      <w:pPr>
        <w:pStyle w:val="TextBody"/>
        <w:bidi w:val="0"/>
        <w:spacing w:before="0" w:after="0"/>
        <w:jc w:val="left"/>
        <w:rPr/>
      </w:pPr>
      <w:r>
        <w:rPr/>
        <w:t> </w:t>
      </w:r>
    </w:p>
    <w:p>
      <w:pPr>
        <w:pStyle w:val="TextBody"/>
        <w:bidi w:val="0"/>
        <w:spacing w:before="40" w:after="0"/>
        <w:jc w:val="center"/>
        <w:rPr>
          <w:rFonts w:ascii="arial" w:hAnsi="arial"/>
          <w:b/>
          <w:color w:val="00AE4F"/>
          <w:sz w:val="16"/>
        </w:rPr>
      </w:pPr>
      <w:r>
        <w:rPr>
          <w:rFonts w:ascii="arial" w:hAnsi="arial"/>
          <w:b/>
          <w:color w:val="00AE4F"/>
          <w:sz w:val="16"/>
        </w:rPr>
        <w:t xml:space="preserve">Management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120" w:after="0"/>
        <w:jc w:val="left"/>
        <w:rPr>
          <w:rFonts w:ascii="arial" w:hAnsi="arial"/>
          <w:sz w:val="18"/>
        </w:rPr>
      </w:pPr>
      <w:r>
        <w:rPr>
          <w:rFonts w:ascii="arial" w:hAnsi="arial"/>
          <w:sz w:val="18"/>
        </w:rPr>
        <w:t xml:space="preserve">Management assesses and manages critical risks, including the execution of the Company’s Enterprise Risk Management (“ERM”) program. The Company’s risk-related departments and functions, in collaboration with the Vice President and Chief Risk, Compliance, and Privacy Officer (“Chief Risk Officer”), are responsible for risk assessment and mitigation. The Chief Risk Officer reports directly to the company’s Executive Vice President, General Counsel, and Corporate Secretary (“General Counsel”). For Sustainability-related risk, the company maintains the ESG Advisory Committee to oversee goals and progress toward the achievement of those goals as established by the sustainability team. The ESG Advisory Committee meets monthly and includes members from the company’s business units and sustainability team, ensuring that sustainability considerations are integrated into operational decision-making at multiple levels of the company. On a quarterly basis, an expanded advisory group consisting of senior leaders from across the company’s legal, financial, human capital, risk and compliance, culture and inclusion, accounting, and audit functions will review the company’s sustainability strategy. This cross-functional composition ensures that sustainability risk is evaluated through multiple lenses and accountability is distributed across the enterprise. The General Counsel reports the results of the ESG Advisory Committee and the expanded advisory group to the Corporate Governance and Nominating Committee annually. </w:t>
      </w:r>
    </w:p>
    <w:p>
      <w:pPr>
        <w:pStyle w:val="TextBody"/>
        <w:bidi w:val="0"/>
        <w:spacing w:before="120" w:after="0"/>
        <w:jc w:val="left"/>
        <w:rPr>
          <w:rFonts w:ascii="arial" w:hAnsi="arial"/>
          <w:sz w:val="18"/>
        </w:rPr>
      </w:pPr>
      <w:r>
        <w:rPr>
          <w:rFonts w:ascii="arial" w:hAnsi="arial"/>
          <w:sz w:val="18"/>
        </w:rPr>
        <w:t xml:space="preserve">With respect to the risk assessment of the company’s compensation programs, management is responsible for the framework and approach as outlined below under Risk Assessment of Employee Compensation Programs. </w:t>
      </w:r>
    </w:p>
    <w:p>
      <w:pPr>
        <w:pStyle w:val="TextBody"/>
        <w:bidi w:val="0"/>
        <w:spacing w:before="0" w:after="0"/>
        <w:jc w:val="left"/>
        <w:rPr/>
      </w:pPr>
      <w:r>
        <w:rPr/>
        <w:t> </w:t>
      </w:r>
    </w:p>
    <w:p>
      <w:pPr>
        <w:pStyle w:val="TextBody"/>
        <w:bidi w:val="0"/>
        <w:spacing w:lineRule="atLeast" w:line="142" w:before="0" w:after="40"/>
        <w:jc w:val="left"/>
        <w:rPr>
          <w:bdr w:val="single" w:sz="2" w:space="1" w:color="7F7F7F"/>
        </w:rPr>
      </w:pPr>
      <w:r>
        <w:rPr>
          <w:bdr w:val="single" w:sz="2" w:space="1" w:color="7F7F7F"/>
        </w:rPr>
        <w:t> </w:t>
      </w:r>
    </w:p>
    <w:p>
      <w:pPr>
        <w:pStyle w:val="TextBody"/>
        <w:bidi w:val="0"/>
        <w:spacing w:before="360" w:after="0"/>
        <w:jc w:val="left"/>
        <w:rPr>
          <w:rFonts w:ascii="arial" w:hAnsi="arial"/>
          <w:b/>
          <w:i/>
          <w:sz w:val="20"/>
        </w:rPr>
      </w:pPr>
      <w:r>
        <w:rPr>
          <w:rFonts w:ascii="arial" w:hAnsi="arial"/>
          <w:b/>
          <w:i/>
          <w:sz w:val="20"/>
        </w:rPr>
        <w:t xml:space="preserve">Enterprise Risk Management Program </w:t>
      </w:r>
    </w:p>
    <w:p>
      <w:pPr>
        <w:pStyle w:val="TextBody"/>
        <w:bidi w:val="0"/>
        <w:spacing w:before="80" w:after="0"/>
        <w:jc w:val="left"/>
        <w:rPr>
          <w:rFonts w:ascii="arial" w:hAnsi="arial"/>
          <w:sz w:val="18"/>
        </w:rPr>
      </w:pPr>
      <w:r>
        <w:rPr>
          <w:rFonts w:ascii="arial" w:hAnsi="arial"/>
          <w:sz w:val="18"/>
        </w:rPr>
        <w:t xml:space="preserve">The Company’s ERM program serves as the primary means of identifying and managing the Company’s key risks. The Company’s ERM team, among other activities, performs assessments of risks to the Company, participates in the development and execution of mitigation programs for critical risks, maintains and periodically updates the Company’s risk appetite and tolerance framework, which is reviewed by the Board, manages the AI and privacy governance function, provides risk assessment, guidance, and mitigation related to cybersecurity, and assists in the integration of risk concepts within the Company’s strategic planning process and in alignment with the functional and business stakeholders. </w:t>
      </w:r>
    </w:p>
    <w:p>
      <w:pPr>
        <w:pStyle w:val="TextBody"/>
        <w:bidi w:val="0"/>
        <w:spacing w:before="80" w:after="0"/>
        <w:jc w:val="left"/>
        <w:rPr>
          <w:rFonts w:ascii="arial" w:hAnsi="arial"/>
          <w:sz w:val="18"/>
        </w:rPr>
      </w:pPr>
      <w:r>
        <w:rPr>
          <w:rFonts w:ascii="arial" w:hAnsi="arial"/>
          <w:sz w:val="18"/>
        </w:rPr>
        <w:t xml:space="preserve">The ERM team provides written and oral reports to the Audit Committee quarterly. Its current activities remain focused on oversight and mitigation of specific risk exposures, analysis of the breadth and effectiveness of existing risk management practices, and continued development and enhancement of measurement and monitoring practices concerning high-priority strategic and operational risks. Current areas of particular emphasis include cybersecurity, artificial intelligence, data privacy, strategic risk, integration of risk appetite practices into the Company’s ongoing operations, wage-hour risk, third-party risk, human capital risk, and improvements to the Company’s compliance governance practices. </w:t>
      </w:r>
    </w:p>
    <w:p>
      <w:pPr>
        <w:pStyle w:val="TextBody"/>
        <w:bidi w:val="0"/>
        <w:spacing w:before="80" w:after="0"/>
        <w:jc w:val="left"/>
        <w:rPr>
          <w:rFonts w:ascii="arial" w:hAnsi="arial"/>
          <w:sz w:val="18"/>
        </w:rPr>
      </w:pPr>
      <w:r>
        <w:rPr>
          <w:rFonts w:ascii="arial" w:hAnsi="arial"/>
          <w:sz w:val="18"/>
        </w:rPr>
        <w:t xml:space="preserve">The Company’s information technology and internal audit groups provide regular quarterly updates to the Audit Committee with respect to the company’s proactive approach to the management of cybersecurity, AI, and other compliance controls. Controls are reviewed for operational effectiveness and to provide reasonable assurance that: business risk is managed; employee, customer, and supplier data, corporate information, and other assets are safeguarded; business processing infrastructure and applications are maintained; material risks are identified and managed. </w:t>
      </w:r>
    </w:p>
    <w:p>
      <w:pPr>
        <w:pStyle w:val="TextBody"/>
        <w:bidi w:val="0"/>
        <w:spacing w:before="80" w:after="0"/>
        <w:jc w:val="left"/>
        <w:rPr>
          <w:rFonts w:ascii="arial" w:hAnsi="arial"/>
          <w:sz w:val="18"/>
        </w:rPr>
      </w:pPr>
      <w:r>
        <w:rPr>
          <w:rFonts w:ascii="arial" w:hAnsi="arial"/>
          <w:sz w:val="18"/>
        </w:rPr>
        <w:t xml:space="preserve">Teams from the Company’s information technology, data privacy, and compliance functions coordinate cybersecurity, artificial intelligence, and privacy governance matters. This includes internal monitoring to proactively identify potential security threats, maintenance of access controls, asset management, response and recovery activities, and training and awareness programs. The Company’s training program provides specialized training on a quarterly basis to employees and directors, including mandatory new hire cyber and privacy training, quarterly focused cyber trainings, and monthly training exercises for identifying phishing attempts. Evaluation of these practices is reported to the Audit Committee on a quarterly basis. </w:t>
      </w:r>
    </w:p>
    <w:p>
      <w:pPr>
        <w:pStyle w:val="TextBody"/>
        <w:bidi w:val="0"/>
        <w:spacing w:before="80" w:after="0"/>
        <w:jc w:val="left"/>
        <w:rPr>
          <w:rFonts w:ascii="arial" w:hAnsi="arial"/>
          <w:sz w:val="18"/>
        </w:rPr>
      </w:pPr>
      <w:r>
        <w:rPr>
          <w:rFonts w:ascii="arial" w:hAnsi="arial"/>
          <w:sz w:val="18"/>
        </w:rPr>
        <w:t xml:space="preserve">In addition to the reports submitted quarterly by the company’s Chief Risk Officer, the Vice President of Internal Audit independently assesses the Company’s risk management process and separately reports on the effectiveness of the company’s risk identification, prioritization, and mitigation processes to the Audit Committee. The ERM team plays a key role in the company’s response to significant operational, geopolitical, or macroeconomic disruptions, providing Board updates and scenario planning regarding impacts on cybersecurity, employee health and safety, corporate operations, and global markets. </w:t>
      </w:r>
    </w:p>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30 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146"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30" descr=""/>
                          <pic:cNvPicPr>
                            <a:picLocks noChangeAspect="1" noChangeArrowheads="1"/>
                          </pic:cNvPicPr>
                        </pic:nvPicPr>
                        <pic:blipFill>
                          <a:blip r:embed="rId137"/>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Corporate Governance </w:t>
      </w:r>
    </w:p>
    <w:p>
      <w:pPr>
        <w:pStyle w:val="TextBody"/>
        <w:bidi w:val="0"/>
        <w:spacing w:before="0" w:after="0"/>
        <w:jc w:val="left"/>
        <w:rPr/>
      </w:pPr>
      <w:r>
        <w:rPr/>
        <w:t> </w:t>
      </w:r>
    </w:p>
    <w:tbl>
      <w:tblPr>
        <w:tblW w:w="10205" w:type="dxa"/>
        <w:jc w:val="left"/>
        <w:tblInd w:w="0" w:type="dxa"/>
        <w:shd w:fill="EDEDED" w:val="clear"/>
        <w:tblLayout w:type="fixed"/>
        <w:tblCellMar>
          <w:top w:w="0" w:type="dxa"/>
          <w:left w:w="0" w:type="dxa"/>
          <w:bottom w:w="0" w:type="dxa"/>
          <w:right w:w="0" w:type="dxa"/>
        </w:tblCellMar>
      </w:tblPr>
      <w:tblGrid>
        <w:gridCol w:w="951"/>
        <w:gridCol w:w="120"/>
        <w:gridCol w:w="3917"/>
        <w:gridCol w:w="120"/>
        <w:gridCol w:w="747"/>
        <w:gridCol w:w="120"/>
        <w:gridCol w:w="4230"/>
      </w:tblGrid>
      <w:tr>
        <w:trPr/>
        <w:tc>
          <w:tcPr>
            <w:tcW w:w="951"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sz w:val="4"/>
                <w:szCs w:val="4"/>
              </w:rPr>
            </w:pPr>
            <w:r>
              <w:rPr>
                <w:sz w:val="4"/>
                <w:szCs w:val="4"/>
              </w:rPr>
            </w:r>
          </w:p>
        </w:tc>
        <w:tc>
          <w:tcPr>
            <w:tcW w:w="3917"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sz w:val="4"/>
                <w:szCs w:val="4"/>
              </w:rPr>
            </w:pPr>
            <w:r>
              <w:rPr>
                <w:sz w:val="4"/>
                <w:szCs w:val="4"/>
              </w:rPr>
            </w:r>
          </w:p>
        </w:tc>
        <w:tc>
          <w:tcPr>
            <w:tcW w:w="747"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sz w:val="4"/>
                <w:szCs w:val="4"/>
              </w:rPr>
            </w:pPr>
            <w:r>
              <w:rPr>
                <w:sz w:val="4"/>
                <w:szCs w:val="4"/>
              </w:rPr>
            </w:r>
          </w:p>
        </w:tc>
        <w:tc>
          <w:tcPr>
            <w:tcW w:w="4230" w:type="dxa"/>
            <w:tcBorders/>
            <w:shd w:fill="EDEDED" w:val="clear"/>
            <w:vAlign w:val="center"/>
          </w:tcPr>
          <w:p>
            <w:pPr>
              <w:pStyle w:val="TableContents"/>
              <w:bidi w:val="0"/>
              <w:spacing w:before="0" w:after="283"/>
              <w:jc w:val="left"/>
              <w:rPr>
                <w:sz w:val="4"/>
                <w:szCs w:val="4"/>
              </w:rPr>
            </w:pPr>
            <w:r>
              <w:rPr>
                <w:sz w:val="4"/>
                <w:szCs w:val="4"/>
              </w:rPr>
            </w:r>
          </w:p>
        </w:tc>
      </w:tr>
      <w:tr>
        <w:trPr/>
        <w:tc>
          <w:tcPr>
            <w:tcW w:w="10205" w:type="dxa"/>
            <w:gridSpan w:val="7"/>
            <w:tcBorders>
              <w:top w:val="single" w:sz="48" w:space="0" w:color="00AE4F"/>
            </w:tcBorders>
            <w:shd w:fill="EDEDED" w:val="clear"/>
            <w:tcMar>
              <w:top w:w="28" w:type="dxa"/>
            </w:tcM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INFORMATION SECURITY AND BUSINESS CONTINUITY</w:t>
            </w:r>
          </w:p>
          <w:p>
            <w:pPr>
              <w:pStyle w:val="TableContents"/>
              <w:bidi w:val="0"/>
              <w:spacing w:before="0" w:after="20"/>
              <w:jc w:val="left"/>
              <w:rPr/>
            </w:pPr>
            <w:r>
              <w:rPr/>
              <w:t> </w:t>
            </w:r>
          </w:p>
        </w:tc>
      </w:tr>
      <w:tr>
        <w:trPr/>
        <w:tc>
          <w:tcPr>
            <w:tcW w:w="951" w:type="dxa"/>
            <w:tcBorders/>
            <w:shd w:fill="EDEDED" w:val="clear"/>
            <w:vAlign w:val="center"/>
          </w:tcPr>
          <w:p>
            <w:pPr>
              <w:pStyle w:val="TableContents"/>
              <w:bidi w:val="0"/>
              <w:spacing w:before="0" w:after="0"/>
              <w:jc w:val="left"/>
              <w:rPr/>
            </w:pPr>
            <w:r>
              <w:rPr/>
              <w:t xml:space="preserve">   </w:t>
            </w:r>
            <w:r>
              <w:rPr/>
              <w:drawing>
                <wp:inline distT="0" distB="0" distL="0" distR="0">
                  <wp:extent cx="447675" cy="421640"/>
                  <wp:effectExtent l="0" t="0" r="0" b="0"/>
                  <wp:docPr id="147"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31" descr=""/>
                          <pic:cNvPicPr>
                            <a:picLocks noChangeAspect="1" noChangeArrowheads="1"/>
                          </pic:cNvPicPr>
                        </pic:nvPicPr>
                        <pic:blipFill>
                          <a:blip r:embed="rId138"/>
                          <a:stretch>
                            <a:fillRect/>
                          </a:stretch>
                        </pic:blipFill>
                        <pic:spPr bwMode="auto">
                          <a:xfrm>
                            <a:off x="0" y="0"/>
                            <a:ext cx="447675" cy="42164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3917" w:type="dxa"/>
            <w:tcBorders/>
            <w:shd w:fill="EDEDED" w:val="clear"/>
            <w:vAlign w:val="center"/>
          </w:tcPr>
          <w:p>
            <w:pPr>
              <w:pStyle w:val="TableContents"/>
              <w:bidi w:val="0"/>
              <w:spacing w:before="0" w:after="0"/>
              <w:jc w:val="left"/>
              <w:rPr>
                <w:rFonts w:ascii="arial" w:hAnsi="arial"/>
                <w:b/>
                <w:sz w:val="18"/>
              </w:rPr>
            </w:pPr>
            <w:r>
              <w:rPr>
                <w:rFonts w:ascii="arial" w:hAnsi="arial"/>
                <w:b/>
                <w:sz w:val="18"/>
              </w:rPr>
              <w:t>Emergency Management Team</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Global, interdepartmental group empowered to quickly make decisions in response to critical events that affect our employees, facilities, or business operations.</w:t>
            </w:r>
          </w:p>
          <w:p>
            <w:pPr>
              <w:pStyle w:val="TableContents"/>
              <w:bidi w:val="0"/>
              <w:spacing w:before="0" w:after="2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747" w:type="dxa"/>
            <w:tcBorders/>
            <w:shd w:fill="EDEDED" w:val="clear"/>
            <w:vAlign w:val="center"/>
          </w:tcPr>
          <w:p>
            <w:pPr>
              <w:pStyle w:val="TableContents"/>
              <w:bidi w:val="0"/>
              <w:jc w:val="center"/>
              <w:rPr/>
            </w:pPr>
            <w:r>
              <w:rPr/>
              <w:drawing>
                <wp:inline distT="0" distB="0" distL="0" distR="0">
                  <wp:extent cx="447675" cy="421640"/>
                  <wp:effectExtent l="0" t="0" r="0" b="0"/>
                  <wp:docPr id="148"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32" descr=""/>
                          <pic:cNvPicPr>
                            <a:picLocks noChangeAspect="1" noChangeArrowheads="1"/>
                          </pic:cNvPicPr>
                        </pic:nvPicPr>
                        <pic:blipFill>
                          <a:blip r:embed="rId139"/>
                          <a:stretch>
                            <a:fillRect/>
                          </a:stretch>
                        </pic:blipFill>
                        <pic:spPr bwMode="auto">
                          <a:xfrm>
                            <a:off x="0" y="0"/>
                            <a:ext cx="447675" cy="42164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4230" w:type="dxa"/>
            <w:tcBorders/>
            <w:shd w:fill="EDEDED" w:val="clear"/>
            <w:vAlign w:val="center"/>
          </w:tcPr>
          <w:p>
            <w:pPr>
              <w:pStyle w:val="TableContents"/>
              <w:bidi w:val="0"/>
              <w:spacing w:before="0" w:after="0"/>
              <w:jc w:val="left"/>
              <w:rPr>
                <w:rFonts w:ascii="arial" w:hAnsi="arial"/>
                <w:b/>
                <w:sz w:val="18"/>
              </w:rPr>
            </w:pPr>
            <w:r>
              <w:rPr>
                <w:rFonts w:ascii="arial" w:hAnsi="arial"/>
                <w:b/>
                <w:sz w:val="18"/>
              </w:rPr>
              <w:t>Third Party Risk Management</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We monitor critical engagements with vendors and partners with access to Company systems or sensitive data for cyber risk to reduce third-party exposure.</w:t>
            </w:r>
          </w:p>
          <w:p>
            <w:pPr>
              <w:pStyle w:val="TableContents"/>
              <w:bidi w:val="0"/>
              <w:spacing w:before="0" w:after="20"/>
              <w:jc w:val="left"/>
              <w:rPr/>
            </w:pPr>
            <w:r>
              <w:rPr/>
              <w:t> </w:t>
            </w:r>
          </w:p>
        </w:tc>
      </w:tr>
      <w:tr>
        <w:trPr/>
        <w:tc>
          <w:tcPr>
            <w:tcW w:w="951" w:type="dxa"/>
            <w:tcBorders/>
            <w:shd w:fill="EDEDED" w:val="clear"/>
            <w:vAlign w:val="center"/>
          </w:tcPr>
          <w:p>
            <w:pPr>
              <w:pStyle w:val="TableContents"/>
              <w:bidi w:val="0"/>
              <w:spacing w:before="0" w:after="0"/>
              <w:jc w:val="left"/>
              <w:rPr/>
            </w:pPr>
            <w:r>
              <w:rPr/>
              <w:t xml:space="preserve">   </w:t>
            </w:r>
            <w:r>
              <w:rPr/>
              <w:drawing>
                <wp:inline distT="0" distB="0" distL="0" distR="0">
                  <wp:extent cx="447675" cy="421640"/>
                  <wp:effectExtent l="0" t="0" r="0" b="0"/>
                  <wp:docPr id="149"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33" descr=""/>
                          <pic:cNvPicPr>
                            <a:picLocks noChangeAspect="1" noChangeArrowheads="1"/>
                          </pic:cNvPicPr>
                        </pic:nvPicPr>
                        <pic:blipFill>
                          <a:blip r:embed="rId140"/>
                          <a:stretch>
                            <a:fillRect/>
                          </a:stretch>
                        </pic:blipFill>
                        <pic:spPr bwMode="auto">
                          <a:xfrm>
                            <a:off x="0" y="0"/>
                            <a:ext cx="447675" cy="42164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3917" w:type="dxa"/>
            <w:tcBorders/>
            <w:shd w:fill="EDEDED" w:val="clear"/>
            <w:vAlign w:val="center"/>
          </w:tcPr>
          <w:p>
            <w:pPr>
              <w:pStyle w:val="TableContents"/>
              <w:bidi w:val="0"/>
              <w:spacing w:before="0" w:after="0"/>
              <w:jc w:val="left"/>
              <w:rPr>
                <w:rFonts w:ascii="arial" w:hAnsi="arial"/>
                <w:b/>
                <w:sz w:val="18"/>
              </w:rPr>
            </w:pPr>
            <w:r>
              <w:rPr>
                <w:rFonts w:ascii="arial" w:hAnsi="arial"/>
                <w:b/>
                <w:sz w:val="18"/>
              </w:rPr>
              <w:t>Business Continuity Plan Testing</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Kelly’s Business Continuity and IT Disaster Recovery programs are tested at least annually and most recently tested in September 2025 and November 2025, respectively. Our document and plan reviews, tabletop exercises, and failover system tests were completed successfully.</w:t>
            </w:r>
          </w:p>
        </w:tc>
        <w:tc>
          <w:tcPr>
            <w:tcW w:w="120" w:type="dxa"/>
            <w:tcBorders/>
            <w:shd w:fill="EDEDED" w:val="clear"/>
            <w:vAlign w:val="center"/>
          </w:tcPr>
          <w:p>
            <w:pPr>
              <w:pStyle w:val="TableContents"/>
              <w:bidi w:val="0"/>
              <w:spacing w:before="0" w:after="283"/>
              <w:jc w:val="left"/>
              <w:rPr/>
            </w:pPr>
            <w:r>
              <w:rPr/>
              <w:t>  </w:t>
            </w:r>
          </w:p>
        </w:tc>
        <w:tc>
          <w:tcPr>
            <w:tcW w:w="747" w:type="dxa"/>
            <w:tcBorders/>
            <w:shd w:fill="EDEDED" w:val="clear"/>
            <w:vAlign w:val="center"/>
          </w:tcPr>
          <w:p>
            <w:pPr>
              <w:pStyle w:val="TableContents"/>
              <w:bidi w:val="0"/>
              <w:jc w:val="center"/>
              <w:rPr/>
            </w:pPr>
            <w:r>
              <w:rPr/>
              <w:drawing>
                <wp:inline distT="0" distB="0" distL="0" distR="0">
                  <wp:extent cx="447675" cy="421640"/>
                  <wp:effectExtent l="0" t="0" r="0" b="0"/>
                  <wp:docPr id="150"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34" descr=""/>
                          <pic:cNvPicPr>
                            <a:picLocks noChangeAspect="1" noChangeArrowheads="1"/>
                          </pic:cNvPicPr>
                        </pic:nvPicPr>
                        <pic:blipFill>
                          <a:blip r:embed="rId141"/>
                          <a:stretch>
                            <a:fillRect/>
                          </a:stretch>
                        </pic:blipFill>
                        <pic:spPr bwMode="auto">
                          <a:xfrm>
                            <a:off x="0" y="0"/>
                            <a:ext cx="447675" cy="42164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4230" w:type="dxa"/>
            <w:tcBorders/>
            <w:shd w:fill="EDEDED" w:val="clear"/>
            <w:vAlign w:val="center"/>
          </w:tcPr>
          <w:p>
            <w:pPr>
              <w:pStyle w:val="TableContents"/>
              <w:bidi w:val="0"/>
              <w:spacing w:before="0" w:after="0"/>
              <w:jc w:val="left"/>
              <w:rPr>
                <w:rFonts w:ascii="arial" w:hAnsi="arial"/>
                <w:b/>
                <w:sz w:val="18"/>
              </w:rPr>
            </w:pPr>
            <w:r>
              <w:rPr>
                <w:rFonts w:ascii="arial" w:hAnsi="arial"/>
                <w:b/>
                <w:sz w:val="18"/>
              </w:rPr>
              <w:t>Training and Awareness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We train employees on industry-specific cybersecurity threats and tests to identify common attack vectors, including business email compromise, domain spoofing, social engineering, and other phishing techniques.</w:t>
            </w:r>
          </w:p>
          <w:p>
            <w:pPr>
              <w:pStyle w:val="TableContents"/>
              <w:bidi w:val="0"/>
              <w:spacing w:before="0" w:after="20"/>
              <w:jc w:val="left"/>
              <w:rPr/>
            </w:pPr>
            <w:r>
              <w:rPr/>
              <w:t> </w:t>
            </w:r>
          </w:p>
        </w:tc>
      </w:tr>
      <w:tr>
        <w:trPr/>
        <w:tc>
          <w:tcPr>
            <w:tcW w:w="951" w:type="dxa"/>
            <w:tcBorders/>
            <w:shd w:fill="EDEDED" w:val="clear"/>
            <w:vAlign w:val="center"/>
          </w:tcPr>
          <w:p>
            <w:pPr>
              <w:pStyle w:val="TableContents"/>
              <w:bidi w:val="0"/>
              <w:spacing w:before="0" w:after="0"/>
              <w:jc w:val="left"/>
              <w:rPr/>
            </w:pPr>
            <w:r>
              <w:rPr/>
              <w:t xml:space="preserve">   </w:t>
            </w:r>
            <w:r>
              <w:rPr/>
              <w:drawing>
                <wp:inline distT="0" distB="0" distL="0" distR="0">
                  <wp:extent cx="532765" cy="337185"/>
                  <wp:effectExtent l="0" t="0" r="0" b="0"/>
                  <wp:docPr id="151"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35" descr=""/>
                          <pic:cNvPicPr>
                            <a:picLocks noChangeAspect="1" noChangeArrowheads="1"/>
                          </pic:cNvPicPr>
                        </pic:nvPicPr>
                        <pic:blipFill>
                          <a:blip r:embed="rId142"/>
                          <a:stretch>
                            <a:fillRect/>
                          </a:stretch>
                        </pic:blipFill>
                        <pic:spPr bwMode="auto">
                          <a:xfrm>
                            <a:off x="0" y="0"/>
                            <a:ext cx="532765" cy="33718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3917" w:type="dxa"/>
            <w:tcBorders/>
            <w:shd w:fill="EDEDED" w:val="clear"/>
            <w:vAlign w:val="center"/>
          </w:tcPr>
          <w:p>
            <w:pPr>
              <w:pStyle w:val="TableContents"/>
              <w:bidi w:val="0"/>
              <w:spacing w:before="0" w:after="0"/>
              <w:jc w:val="left"/>
              <w:rPr>
                <w:rFonts w:ascii="arial" w:hAnsi="arial"/>
                <w:b/>
                <w:sz w:val="18"/>
              </w:rPr>
            </w:pPr>
            <w:r>
              <w:rPr>
                <w:rFonts w:ascii="arial" w:hAnsi="arial"/>
                <w:b/>
                <w:sz w:val="18"/>
              </w:rPr>
              <w:t>Cyber and AI Governance</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Kelly uses external frameworks, including the NIST AI Risk Management Framework, to assess the Company’s cybersecurity and AI maturity. We also developed internal governance structures to mitigate cybersecurity and AI risks.</w:t>
            </w:r>
          </w:p>
          <w:p>
            <w:pPr>
              <w:pStyle w:val="TableContents"/>
              <w:bidi w:val="0"/>
              <w:spacing w:before="0" w:after="2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747" w:type="dxa"/>
            <w:tcBorders/>
            <w:shd w:fill="EDEDED" w:val="clear"/>
            <w:vAlign w:val="center"/>
          </w:tcPr>
          <w:p>
            <w:pPr>
              <w:pStyle w:val="TableContents"/>
              <w:bidi w:val="0"/>
              <w:jc w:val="center"/>
              <w:rPr/>
            </w:pPr>
            <w:r>
              <w:rPr/>
              <w:drawing>
                <wp:inline distT="0" distB="0" distL="0" distR="0">
                  <wp:extent cx="469900" cy="266065"/>
                  <wp:effectExtent l="0" t="0" r="0" b="0"/>
                  <wp:docPr id="152"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6" descr=""/>
                          <pic:cNvPicPr>
                            <a:picLocks noChangeAspect="1" noChangeArrowheads="1"/>
                          </pic:cNvPicPr>
                        </pic:nvPicPr>
                        <pic:blipFill>
                          <a:blip r:embed="rId143"/>
                          <a:stretch>
                            <a:fillRect/>
                          </a:stretch>
                        </pic:blipFill>
                        <pic:spPr bwMode="auto">
                          <a:xfrm>
                            <a:off x="0" y="0"/>
                            <a:ext cx="469900" cy="26606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4230" w:type="dxa"/>
            <w:tcBorders/>
            <w:shd w:fill="EDEDED" w:val="clear"/>
            <w:vAlign w:val="center"/>
          </w:tcPr>
          <w:p>
            <w:pPr>
              <w:pStyle w:val="TableContents"/>
              <w:bidi w:val="0"/>
              <w:spacing w:before="0" w:after="0"/>
              <w:jc w:val="left"/>
              <w:rPr>
                <w:rFonts w:ascii="arial" w:hAnsi="arial"/>
                <w:b/>
                <w:sz w:val="18"/>
              </w:rPr>
            </w:pPr>
            <w:r>
              <w:rPr>
                <w:rFonts w:ascii="arial" w:hAnsi="arial"/>
                <w:b/>
                <w:sz w:val="18"/>
              </w:rPr>
              <w:t>External Assessments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Kelly adopted the National Institute of Standards and Technology Cybersecurity Framework (“NIST CSF”) and measures our cyber maturity through an annual assessment by a third-party aligned with NIST SP 800-53 Security and Privacy Controls for Information Systems and Organizations.</w:t>
            </w:r>
          </w:p>
          <w:p>
            <w:pPr>
              <w:pStyle w:val="TableContents"/>
              <w:bidi w:val="0"/>
              <w:spacing w:before="0" w:after="20"/>
              <w:jc w:val="left"/>
              <w:rPr/>
            </w:pPr>
            <w:r>
              <w:rPr/>
              <w:t> </w:t>
            </w:r>
          </w:p>
        </w:tc>
      </w:tr>
    </w:tbl>
    <w:p>
      <w:pPr>
        <w:pStyle w:val="TextBody"/>
        <w:bidi w:val="0"/>
        <w:spacing w:before="360" w:after="0"/>
        <w:jc w:val="left"/>
        <w:rPr>
          <w:rFonts w:ascii="arial" w:hAnsi="arial"/>
          <w:b/>
          <w:i/>
          <w:sz w:val="20"/>
        </w:rPr>
      </w:pPr>
      <w:r>
        <w:rPr>
          <w:rFonts w:ascii="arial" w:hAnsi="arial"/>
          <w:b/>
          <w:i/>
          <w:sz w:val="20"/>
        </w:rPr>
        <w:t xml:space="preserve">Risk Assessment of Employee Compensation Programs </w:t>
      </w:r>
    </w:p>
    <w:p>
      <w:pPr>
        <w:pStyle w:val="TextBody"/>
        <w:bidi w:val="0"/>
        <w:spacing w:before="80" w:after="0"/>
        <w:jc w:val="left"/>
        <w:rPr>
          <w:rFonts w:ascii="arial" w:hAnsi="arial"/>
          <w:sz w:val="18"/>
        </w:rPr>
      </w:pPr>
      <w:r>
        <w:rPr>
          <w:rFonts w:ascii="arial" w:hAnsi="arial"/>
          <w:sz w:val="18"/>
        </w:rPr>
        <w:t xml:space="preserve">Annually, at its February meeting, the Compensation and Talent Management Committee reviews management’s Compensation Program Risk Assessment Report, prepared by the Company’s compensation group and reviewed by the Company’s General Counsel. The review and update of the Executive Compensation Program Risk Assessment Framework occur, as needed, including review by the independent compensation consultant, to ensure a robust and comprehensive assessment process.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0"/>
        <w:gridCol w:w="10010"/>
      </w:tblGrid>
      <w:tr>
        <w:trPr/>
        <w:tc>
          <w:tcPr>
            <w:tcW w:w="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1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bottom w:w="60" w:type="dxa"/>
            </w:tcMar>
            <w:vAlign w:val="center"/>
          </w:tcPr>
          <w:p>
            <w:pPr>
              <w:pStyle w:val="TableContents"/>
              <w:bidi w:val="0"/>
              <w:spacing w:before="0" w:after="0"/>
              <w:jc w:val="left"/>
              <w:rPr>
                <w:rFonts w:ascii="arial" w:hAnsi="arial"/>
                <w:b/>
                <w:color w:val="00AE4F"/>
                <w:sz w:val="16"/>
              </w:rPr>
            </w:pPr>
            <w:r>
              <w:rPr>
                <w:rFonts w:ascii="arial" w:hAnsi="arial"/>
                <w:b/>
                <w:color w:val="00AE4F"/>
                <w:sz w:val="16"/>
              </w:rPr>
              <w:t>The Company’s Executive Compensation Program Risk Assessment Framework takes into consideration the following guiding factors: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13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Short-and long-term incentive performance measures and equity award types do not encourage excessive risk-taking</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13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A balanced compensation structure that includes an appropriate mix of fixed and variable cash and equity, with a balance of short-and long-term incentive opportunities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13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Performance criteria and corresponding objectives include a balance of performance and the quality of such performance; include the appropriate use of key metrics; and use annual and long-term measures that complement each other</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13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Well-designed plans that do not include steep payout curves, uncapped incentive payouts, or misaligned payout timing</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13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Incentive plans tested for multiple scenarios under realistic assumptions to ensure that potential payouts are reasonable relative to results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13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A thorough and qualitative assessment of the achievement, quality, and sustainability of results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13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Benchmarked incentive plan payouts relative to performance, to ensure competitive practices in comparison with a representative peer group and the general industry</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13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Implementation of risk-mitigating features such as a Clawback Policy and a policy that establishes expected share ownership for executives and directors of shares received from incentive award payouts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13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Incentive plan governance includes involvement at a variety of levels, from the Compensation and Talent Management Committee to various corporate functions, including Corporate Governance, Compensation, Finance, HR, Legal, and the Committee’s outside compensation consultant</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13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010" w:type="dxa"/>
            <w:tcBorders>
              <w:bottom w:val="single" w:sz="6" w:space="0" w:color="7F7F7F"/>
            </w:tcBorders>
            <w:tcMar>
              <w:bottom w:w="8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Potential risk discussed with the Compensation and Talent Management Committee, recorded in Committee minutes, and discussed in the Compensation Discussion and Analysis section of the Company’s Annual Proxy Statement</w:t>
            </w:r>
          </w:p>
        </w:tc>
      </w:tr>
    </w:tbl>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153"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7" descr=""/>
                          <pic:cNvPicPr>
                            <a:picLocks noChangeAspect="1" noChangeArrowheads="1"/>
                          </pic:cNvPicPr>
                        </pic:nvPicPr>
                        <pic:blipFill>
                          <a:blip r:embed="rId144"/>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To assess the risk of employee compensation programs below the executive level, the Company’s Compensation group implemented an internal Governance Committee to review and approve plan design and address any significant issues that arise. The Governance Committee utilizes its Global Incentive Plan Design and Risk Mitigation Framework to consider alignment with the Company’s strategy and risks associated with the following elements of the design and implementation of each incentive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linkage of incentive measures with business objectives, analysis of total compensation market data, determination of design elements/payout threshold levels, potential range of payouts, and timely and accurate tracking of performance data;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185"/>
        <w:gridCol w:w="60"/>
        <w:gridCol w:w="4865"/>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left"/>
              <w:rPr>
                <w:rFonts w:ascii="arial" w:hAnsi="arial"/>
                <w:sz w:val="18"/>
              </w:rPr>
            </w:pPr>
            <w:r>
              <w:rPr>
                <w:rFonts w:ascii="arial" w:hAnsi="arial"/>
                <w:sz w:val="18"/>
              </w:rPr>
              <w:t xml:space="preserve">modeling, approval, and communication of incentive plans; </w:t>
            </w:r>
          </w:p>
        </w:tc>
      </w:tr>
    </w:tbl>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185"/>
        <w:gridCol w:w="60"/>
        <w:gridCol w:w="6185"/>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0"/>
              <w:jc w:val="left"/>
              <w:rPr>
                <w:rFonts w:ascii="arial" w:hAnsi="arial"/>
                <w:sz w:val="18"/>
              </w:rPr>
            </w:pPr>
            <w:r>
              <w:rPr>
                <w:rFonts w:ascii="arial" w:hAnsi="arial"/>
                <w:sz w:val="18"/>
              </w:rPr>
              <w:t xml:space="preserve">calculation, audit, approval, and communication of incentive payments;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annual plan reviews to ensure planned design updates align with business goals and budgets, and do not present a material risk to the Company. </w:t>
            </w:r>
          </w:p>
        </w:tc>
      </w:tr>
    </w:tbl>
    <w:p>
      <w:pPr>
        <w:pStyle w:val="TextBody"/>
        <w:bidi w:val="0"/>
        <w:spacing w:before="80" w:after="0"/>
        <w:jc w:val="left"/>
        <w:rPr>
          <w:rFonts w:ascii="arial" w:hAnsi="arial"/>
          <w:sz w:val="18"/>
        </w:rPr>
      </w:pPr>
      <w:r>
        <w:rPr>
          <w:rFonts w:ascii="arial" w:hAnsi="arial"/>
          <w:sz w:val="18"/>
        </w:rPr>
        <w:t xml:space="preserve">After due consideration of management’s 2025 Compensation Program Risk Assessment Report, the Compensation and Talent Management Committee concluded that the Company’s compensation programs do not create a reasonable likelihood of a material adverse effect on the Company. </w:t>
      </w:r>
    </w:p>
    <w:p>
      <w:pPr>
        <w:pStyle w:val="TextBody"/>
        <w:bidi w:val="0"/>
        <w:spacing w:before="360" w:after="0"/>
        <w:jc w:val="left"/>
        <w:rPr>
          <w:rFonts w:ascii="arial" w:hAnsi="arial"/>
          <w:b/>
          <w:sz w:val="24"/>
        </w:rPr>
      </w:pPr>
      <w:bookmarkStart w:id="24" w:name="toc37355_22"/>
      <w:bookmarkEnd w:id="24"/>
      <w:r>
        <w:rPr>
          <w:rFonts w:ascii="arial" w:hAnsi="arial"/>
          <w:b/>
          <w:sz w:val="24"/>
        </w:rPr>
        <w:t xml:space="preserve">Sustainability and Corporate Responsibility </w:t>
      </w:r>
    </w:p>
    <w:p>
      <w:pPr>
        <w:pStyle w:val="TextBody"/>
        <w:bidi w:val="0"/>
        <w:spacing w:before="80" w:after="0"/>
        <w:jc w:val="left"/>
        <w:rPr>
          <w:rFonts w:ascii="arial" w:hAnsi="arial"/>
          <w:sz w:val="18"/>
        </w:rPr>
      </w:pPr>
      <w:r>
        <w:rPr>
          <w:rFonts w:ascii="arial" w:hAnsi="arial"/>
          <w:sz w:val="18"/>
        </w:rPr>
        <w:t xml:space="preserve">Kelly recognizes the critical importance of sustainability in addressing environmental and social challenges. Our approach is grounded in effective governance, enterprise risk management, and long-term value creation through an integrated Environmental, Social, and Governance (“ESG”) framework. Within this framework, Kelly’s sustainability strategy is organized around seven core pillars that guide priority-setting, execution, and accountability across the organization. </w:t>
      </w:r>
    </w:p>
    <w:p>
      <w:pPr>
        <w:pStyle w:val="TextBody"/>
        <w:bidi w:val="0"/>
        <w:spacing w:before="80" w:after="0"/>
        <w:jc w:val="left"/>
        <w:rPr>
          <w:rFonts w:ascii="arial" w:hAnsi="arial"/>
          <w:sz w:val="18"/>
        </w:rPr>
      </w:pPr>
      <w:r>
        <w:rPr>
          <w:rFonts w:ascii="arial" w:hAnsi="arial"/>
          <w:sz w:val="18"/>
        </w:rPr>
        <w:t xml:space="preserve">By embedding sustainability considerations into enterprise risk management and decision-making, Kelly actively mitigates operational, workforce, and client-facing risks, enhancing service continuity and employee well-being across our global operations. These considerations inform decision-making across workforce management, business continuity, operational resilience, and compliance with evolving regulatory and market expectations. </w:t>
      </w:r>
    </w:p>
    <w:p>
      <w:pPr>
        <w:pStyle w:val="TextBody"/>
        <w:bidi w:val="0"/>
        <w:spacing w:before="80" w:after="0"/>
        <w:jc w:val="left"/>
        <w:rPr>
          <w:rFonts w:ascii="arial" w:hAnsi="arial"/>
          <w:sz w:val="18"/>
        </w:rPr>
      </w:pPr>
      <w:r>
        <w:rPr>
          <w:rFonts w:ascii="arial" w:hAnsi="arial"/>
          <w:sz w:val="18"/>
        </w:rPr>
        <w:t xml:space="preserve">Kelly’s sustainability practices are designed to support effective risk management, operational resilience, and long-term shareholder value, with impact across our workforce, clients, and communities.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149600" cy="3148965"/>
            <wp:effectExtent l="0" t="0" r="0" b="0"/>
            <wp:docPr id="154"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8" descr=""/>
                    <pic:cNvPicPr>
                      <a:picLocks noChangeAspect="1" noChangeArrowheads="1"/>
                    </pic:cNvPicPr>
                  </pic:nvPicPr>
                  <pic:blipFill>
                    <a:blip r:embed="rId145"/>
                    <a:stretch>
                      <a:fillRect/>
                    </a:stretch>
                  </pic:blipFill>
                  <pic:spPr bwMode="auto">
                    <a:xfrm>
                      <a:off x="0" y="0"/>
                      <a:ext cx="3149600" cy="3148965"/>
                    </a:xfrm>
                    <a:prstGeom prst="rect">
                      <a:avLst/>
                    </a:prstGeom>
                  </pic:spPr>
                </pic:pic>
              </a:graphicData>
            </a:graphic>
          </wp:inline>
        </w:drawing>
      </w:r>
      <w:r>
        <w:rPr/>
        <w:t xml:space="preserve"> </w:t>
      </w:r>
    </w:p>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32 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155"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39" descr=""/>
                          <pic:cNvPicPr>
                            <a:picLocks noChangeAspect="1" noChangeArrowheads="1"/>
                          </pic:cNvPicPr>
                        </pic:nvPicPr>
                        <pic:blipFill>
                          <a:blip r:embed="rId146"/>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b/>
          <w:sz w:val="18"/>
        </w:rPr>
        <w:t>Sustainability Oversight and Governance</w:t>
      </w:r>
      <w:r>
        <w:rPr>
          <w:rFonts w:ascii="arial" w:hAnsi="arial"/>
          <w:sz w:val="18"/>
        </w:rPr>
        <w:t xml:space="preserve">: The Board of Directors oversees sustainability-related risks and opportunities as part of its broader enterprise risk oversight responsibilities. Oversight is exercised through the full Board and its committees, with management supporting execution through established governance, risk management, and reporting processes. </w:t>
      </w:r>
    </w:p>
    <w:p>
      <w:pPr>
        <w:pStyle w:val="TextBody"/>
        <w:bidi w:val="0"/>
        <w:spacing w:before="80" w:after="0"/>
        <w:jc w:val="left"/>
        <w:rPr>
          <w:rFonts w:ascii="arial" w:hAnsi="arial"/>
          <w:sz w:val="18"/>
        </w:rPr>
      </w:pPr>
      <w:r>
        <w:rPr>
          <w:rFonts w:ascii="arial" w:hAnsi="arial"/>
          <w:sz w:val="18"/>
        </w:rPr>
        <w:t xml:space="preserve">Senior management reports to the Board on key sustainability topics quarterly as part of the Company’s Enterprise Risk Management program. In addition, the General Counsel reports the results of the ESG Advisory Committee reviews to the Corporate Governance and Nominating Committee annually. These reporting processes ensure that sustainability considerations are integrated into enterprise risk management and board-level decision-making. </w:t>
      </w:r>
    </w:p>
    <w:p>
      <w:pPr>
        <w:pStyle w:val="TextBody"/>
        <w:bidi w:val="0"/>
        <w:spacing w:before="80" w:after="0"/>
        <w:jc w:val="left"/>
        <w:rPr>
          <w:rFonts w:ascii="arial" w:hAnsi="arial"/>
          <w:i/>
          <w:sz w:val="18"/>
        </w:rPr>
      </w:pPr>
      <w:r>
        <w:rPr>
          <w:rFonts w:ascii="arial" w:hAnsi="arial"/>
          <w:i/>
          <w:sz w:val="18"/>
        </w:rPr>
        <w:t xml:space="preserve">See the graphic below for the Company’s sustainability oversight structure and the flow of responsibilities between the Board, its committees, and management.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3067050"/>
            <wp:effectExtent l="0" t="0" r="0" b="0"/>
            <wp:docPr id="156"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40" descr=""/>
                    <pic:cNvPicPr>
                      <a:picLocks noChangeAspect="1" noChangeArrowheads="1"/>
                    </pic:cNvPicPr>
                  </pic:nvPicPr>
                  <pic:blipFill>
                    <a:blip r:embed="rId147"/>
                    <a:stretch>
                      <a:fillRect/>
                    </a:stretch>
                  </pic:blipFill>
                  <pic:spPr bwMode="auto">
                    <a:xfrm>
                      <a:off x="0" y="0"/>
                      <a:ext cx="5765800" cy="3067050"/>
                    </a:xfrm>
                    <a:prstGeom prst="rect">
                      <a:avLst/>
                    </a:prstGeom>
                  </pic:spPr>
                </pic:pic>
              </a:graphicData>
            </a:graphic>
          </wp:inline>
        </w:drawing>
      </w:r>
      <w:r>
        <w:rPr/>
        <w:t xml:space="preserve"> </w:t>
      </w:r>
    </w:p>
    <w:p>
      <w:pPr>
        <w:pStyle w:val="TextBody"/>
        <w:bidi w:val="0"/>
        <w:spacing w:before="360" w:after="0"/>
        <w:jc w:val="left"/>
        <w:rPr>
          <w:rFonts w:ascii="arial" w:hAnsi="arial"/>
          <w:b/>
          <w:color w:val="00AE4F"/>
          <w:sz w:val="24"/>
        </w:rPr>
      </w:pPr>
      <w:r>
        <w:rPr>
          <w:rFonts w:ascii="arial" w:hAnsi="arial"/>
          <w:b/>
          <w:color w:val="00AE4F"/>
          <w:sz w:val="24"/>
        </w:rPr>
        <w:t xml:space="preserve">Environmental Considerations and Climate-Related Risk </w:t>
      </w:r>
    </w:p>
    <w:p>
      <w:pPr>
        <w:pStyle w:val="TextBody"/>
        <w:bidi w:val="0"/>
        <w:spacing w:before="80" w:after="0"/>
        <w:jc w:val="left"/>
        <w:rPr>
          <w:rFonts w:ascii="arial" w:hAnsi="arial"/>
          <w:sz w:val="18"/>
        </w:rPr>
      </w:pPr>
      <w:r>
        <w:rPr>
          <w:rFonts w:ascii="arial" w:hAnsi="arial"/>
          <w:sz w:val="18"/>
        </w:rPr>
        <w:t xml:space="preserve">As a services-based organization, Kelly’s primary environmental considerations relate to business continuity, workforce safety, and operational resilience. Environmental and climate-related factors are evaluated within the Company’s enterprise risk management framework. This includes physical risks such as extreme weather events that could affect employees, talent, clients, or service delivery. It also encompasses transition risks associated with evolving regulatory requirements, client sustainability priorities, and market expectations. </w:t>
      </w:r>
    </w:p>
    <w:p>
      <w:pPr>
        <w:pStyle w:val="TextBody"/>
        <w:bidi w:val="0"/>
        <w:spacing w:before="80" w:after="0"/>
        <w:jc w:val="left"/>
        <w:rPr>
          <w:rFonts w:ascii="arial" w:hAnsi="arial"/>
          <w:sz w:val="18"/>
        </w:rPr>
      </w:pPr>
      <w:r>
        <w:rPr>
          <w:rFonts w:ascii="arial" w:hAnsi="arial"/>
          <w:sz w:val="18"/>
        </w:rPr>
        <w:t xml:space="preserve">In 2025, Kelly completed a climate-related financial risk assessment aligned with sustainability disclosure standards issued by the International Sustainability Standards Board (“ISSB”), with oversight integrated into existing governance and risk management processes. In addition, the Company submitted company-wide greenhouse gas emission reduction targets to the Science Based Targets initiative (“SBTi”), supporting a structured approach to measuring and managing environmental impacts over time. Additional information regarding environmental initiatives, metrics, and performance is available in the Company’s annual Corporate Sustainability Report. </w:t>
      </w:r>
    </w:p>
    <w:p>
      <w:pPr>
        <w:pStyle w:val="TextBody"/>
        <w:bidi w:val="0"/>
        <w:spacing w:before="360" w:after="0"/>
        <w:jc w:val="left"/>
        <w:rPr>
          <w:rFonts w:ascii="arial" w:hAnsi="arial"/>
          <w:b/>
          <w:color w:val="00AE4F"/>
          <w:sz w:val="24"/>
        </w:rPr>
      </w:pPr>
      <w:r>
        <w:rPr>
          <w:rFonts w:ascii="arial" w:hAnsi="arial"/>
          <w:b/>
          <w:color w:val="00AE4F"/>
          <w:sz w:val="24"/>
        </w:rPr>
        <w:t xml:space="preserve">Social </w:t>
      </w:r>
    </w:p>
    <w:p>
      <w:pPr>
        <w:pStyle w:val="TextBody"/>
        <w:bidi w:val="0"/>
        <w:spacing w:before="80" w:after="0"/>
        <w:jc w:val="left"/>
        <w:rPr>
          <w:rFonts w:ascii="arial" w:hAnsi="arial"/>
          <w:sz w:val="18"/>
        </w:rPr>
      </w:pPr>
      <w:r>
        <w:rPr>
          <w:rFonts w:ascii="arial" w:hAnsi="arial"/>
          <w:sz w:val="18"/>
        </w:rPr>
        <w:t xml:space="preserve">Kelly’s noble purpose is to connect people to work in ways that enrich their lives. We are committed to building a more inclusive and equitable workforce by improving access, promoting opportunity, ensuring fair treatment, and supporting advancement for all. Through these efforts, we empower individuals to make valuable contributions where they live and work. Guided by this purpose, our actions generate shared value for employees, clients, and communities alike. </w:t>
      </w:r>
    </w:p>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157"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41" descr=""/>
                          <pic:cNvPicPr>
                            <a:picLocks noChangeAspect="1" noChangeArrowheads="1"/>
                          </pic:cNvPicPr>
                        </pic:nvPicPr>
                        <pic:blipFill>
                          <a:blip r:embed="rId148"/>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sz w:val="18"/>
        </w:rPr>
      </w:pPr>
      <w:bookmarkStart w:id="25" w:name="toc37355_23"/>
      <w:bookmarkEnd w:id="25"/>
      <w:r>
        <w:rPr>
          <w:rFonts w:ascii="arial" w:hAnsi="arial"/>
          <w:b/>
          <w:sz w:val="18"/>
        </w:rPr>
        <w:t xml:space="preserve">Human Capital Management: </w:t>
      </w:r>
      <w:r>
        <w:rPr>
          <w:rFonts w:ascii="arial" w:hAnsi="arial"/>
          <w:sz w:val="18"/>
        </w:rPr>
        <w:t xml:space="preserve">Kelly is a talent solutions company dedicated to connecting people to work in ways that enrich their lives, and our employees are critical to achieving this noble purpose. To compete and succeed in a highly competitive and rapidly evolving market, it is crucial that the Company attract and retain experienced internal employees, as well as the talent we put to work for our customers. As part of these efforts, we strive to offer competitive total rewards programs, promote employee development, foster an inclusive and diverse environment, and give employees the opportunity to give back to their communities and make a social impact. </w:t>
      </w:r>
    </w:p>
    <w:p>
      <w:pPr>
        <w:pStyle w:val="TextBody"/>
        <w:bidi w:val="0"/>
        <w:spacing w:before="80" w:after="0"/>
        <w:jc w:val="left"/>
        <w:rPr>
          <w:rFonts w:ascii="arial" w:hAnsi="arial"/>
          <w:sz w:val="18"/>
        </w:rPr>
      </w:pPr>
      <w:r>
        <w:rPr>
          <w:rFonts w:ascii="arial" w:hAnsi="arial"/>
          <w:sz w:val="18"/>
        </w:rPr>
        <w:t xml:space="preserve">The Company is committed to the health, safety, and wellness of our employees and talent. The success of our business is fundamentally connected to the well-being of our people. Accordingly, we implement policies and practices that align with applicable laws and regulations and are in the best interest of our employees, talent, and the communities in which we operate.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3"/>
        <w:gridCol w:w="120"/>
        <w:gridCol w:w="23"/>
        <w:gridCol w:w="60"/>
        <w:gridCol w:w="7629"/>
      </w:tblGrid>
      <w:tr>
        <w:trPr/>
        <w:tc>
          <w:tcPr>
            <w:tcW w:w="23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29" w:type="dxa"/>
            <w:tcBorders/>
            <w:vAlign w:val="center"/>
          </w:tcPr>
          <w:p>
            <w:pPr>
              <w:pStyle w:val="TableContents"/>
              <w:bidi w:val="0"/>
              <w:spacing w:before="0" w:after="283"/>
              <w:jc w:val="left"/>
              <w:rPr>
                <w:sz w:val="4"/>
                <w:szCs w:val="4"/>
              </w:rPr>
            </w:pPr>
            <w:r>
              <w:rPr>
                <w:sz w:val="4"/>
                <w:szCs w:val="4"/>
              </w:rPr>
            </w:r>
          </w:p>
        </w:tc>
      </w:tr>
      <w:tr>
        <w:trPr/>
        <w:tc>
          <w:tcPr>
            <w:tcW w:w="2373" w:type="dxa"/>
            <w:tcBorders/>
            <w:vAlign w:val="center"/>
          </w:tcPr>
          <w:p>
            <w:pPr>
              <w:pStyle w:val="TableContents"/>
              <w:bidi w:val="0"/>
              <w:spacing w:before="0" w:after="0"/>
              <w:jc w:val="left"/>
              <w:rPr/>
            </w:pPr>
            <w:r>
              <w:rPr/>
              <w:drawing>
                <wp:inline distT="0" distB="0" distL="0" distR="0">
                  <wp:extent cx="1485900" cy="2240915"/>
                  <wp:effectExtent l="0" t="0" r="0" b="0"/>
                  <wp:docPr id="158"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42" descr=""/>
                          <pic:cNvPicPr>
                            <a:picLocks noChangeAspect="1" noChangeArrowheads="1"/>
                          </pic:cNvPicPr>
                        </pic:nvPicPr>
                        <pic:blipFill>
                          <a:blip r:embed="rId149"/>
                          <a:stretch>
                            <a:fillRect/>
                          </a:stretch>
                        </pic:blipFill>
                        <pic:spPr bwMode="auto">
                          <a:xfrm>
                            <a:off x="0" y="0"/>
                            <a:ext cx="1485900" cy="224091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29" w:type="dxa"/>
            <w:tcBorders/>
            <w:vAlign w:val="center"/>
          </w:tcPr>
          <w:p>
            <w:pPr>
              <w:pStyle w:val="TableContents"/>
              <w:bidi w:val="0"/>
              <w:spacing w:before="0" w:after="0"/>
              <w:jc w:val="left"/>
              <w:rPr>
                <w:rFonts w:ascii="arial" w:hAnsi="arial"/>
                <w:sz w:val="18"/>
              </w:rPr>
            </w:pPr>
            <w:r>
              <w:rPr>
                <w:rFonts w:ascii="arial" w:hAnsi="arial"/>
                <w:sz w:val="18"/>
              </w:rPr>
              <w:t>As of December 28, 2025, we employed approximately 3,600 full-time staff members in the United States and an additional 1,300 in our international locations. Kelly’s retention rates for high-performing and high-potential employees align with our comparable benchmark.</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1"/>
        <w:gridCol w:w="120"/>
        <w:gridCol w:w="23"/>
        <w:gridCol w:w="60"/>
        <w:gridCol w:w="7641"/>
      </w:tblGrid>
      <w:tr>
        <w:trPr/>
        <w:tc>
          <w:tcPr>
            <w:tcW w:w="23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41" w:type="dxa"/>
            <w:tcBorders/>
            <w:vAlign w:val="center"/>
          </w:tcPr>
          <w:p>
            <w:pPr>
              <w:pStyle w:val="TableContents"/>
              <w:bidi w:val="0"/>
              <w:spacing w:before="0" w:after="283"/>
              <w:jc w:val="left"/>
              <w:rPr>
                <w:sz w:val="4"/>
                <w:szCs w:val="4"/>
              </w:rPr>
            </w:pPr>
            <w:r>
              <w:rPr>
                <w:sz w:val="4"/>
                <w:szCs w:val="4"/>
              </w:rPr>
            </w:r>
          </w:p>
        </w:tc>
      </w:tr>
      <w:tr>
        <w:trPr/>
        <w:tc>
          <w:tcPr>
            <w:tcW w:w="2361" w:type="dxa"/>
            <w:tcBorders/>
            <w:vAlign w:val="center"/>
          </w:tcPr>
          <w:p>
            <w:pPr>
              <w:pStyle w:val="TableContents"/>
              <w:bidi w:val="0"/>
              <w:spacing w:before="0" w:after="283"/>
              <w:jc w:val="left"/>
              <w:rPr/>
            </w:pPr>
            <w:r>
              <w:rPr/>
              <w:drawing>
                <wp:inline distT="0" distB="0" distL="0" distR="0">
                  <wp:extent cx="1485900" cy="2240915"/>
                  <wp:effectExtent l="0" t="0" r="0" b="0"/>
                  <wp:docPr id="159"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43" descr=""/>
                          <pic:cNvPicPr>
                            <a:picLocks noChangeAspect="1" noChangeArrowheads="1"/>
                          </pic:cNvPicPr>
                        </pic:nvPicPr>
                        <pic:blipFill>
                          <a:blip r:embed="rId150"/>
                          <a:stretch>
                            <a:fillRect/>
                          </a:stretch>
                        </pic:blipFill>
                        <pic:spPr bwMode="auto">
                          <a:xfrm>
                            <a:off x="0" y="0"/>
                            <a:ext cx="1485900" cy="224091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41" w:type="dxa"/>
            <w:tcBorders/>
            <w:vAlign w:val="center"/>
          </w:tcPr>
          <w:p>
            <w:pPr>
              <w:pStyle w:val="TableContents"/>
              <w:bidi w:val="0"/>
              <w:spacing w:before="0" w:after="0"/>
              <w:jc w:val="left"/>
              <w:rPr>
                <w:rFonts w:ascii="arial" w:hAnsi="arial"/>
                <w:sz w:val="18"/>
              </w:rPr>
            </w:pPr>
            <w:r>
              <w:rPr>
                <w:rFonts w:ascii="arial" w:hAnsi="arial"/>
                <w:sz w:val="18"/>
              </w:rPr>
              <w:t>In addition to our internal employees, the company recruits talent on behalf of customers globally. In 2025, we placed approximately 375,000 individuals in positions with our customers. When Kelly remains the employer of record for our employees working at our customer locations, we retain responsibility for all assignments (including ensuring appropriate health and safety protocols in conjunction with our customers), wages, benefits, workers’ compensation insurance, and the employer’s share of applicable payroll taxes, as well as the administration of the employees’ share of these taxes. We also offer our Kelly talent access to competitive health and benefit programs while they are working with us.</w:t>
            </w:r>
          </w:p>
          <w:p>
            <w:pPr>
              <w:pStyle w:val="TableContents"/>
              <w:bidi w:val="0"/>
              <w:spacing w:before="0" w:after="20"/>
              <w:jc w:val="left"/>
              <w:rPr/>
            </w:pPr>
            <w:r>
              <w:rPr/>
              <w:t> </w:t>
            </w:r>
          </w:p>
        </w:tc>
      </w:tr>
    </w:tbl>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34 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160"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44" descr=""/>
                          <pic:cNvPicPr>
                            <a:picLocks noChangeAspect="1" noChangeArrowheads="1"/>
                          </pic:cNvPicPr>
                        </pic:nvPicPr>
                        <pic:blipFill>
                          <a:blip r:embed="rId151"/>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Corporate Governance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8"/>
        <w:gridCol w:w="120"/>
        <w:gridCol w:w="23"/>
        <w:gridCol w:w="60"/>
        <w:gridCol w:w="7644"/>
      </w:tblGrid>
      <w:tr>
        <w:trPr/>
        <w:tc>
          <w:tcPr>
            <w:tcW w:w="23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44" w:type="dxa"/>
            <w:tcBorders/>
            <w:vAlign w:val="center"/>
          </w:tcPr>
          <w:p>
            <w:pPr>
              <w:pStyle w:val="TableContents"/>
              <w:bidi w:val="0"/>
              <w:spacing w:before="0" w:after="283"/>
              <w:jc w:val="left"/>
              <w:rPr>
                <w:sz w:val="4"/>
                <w:szCs w:val="4"/>
              </w:rPr>
            </w:pPr>
            <w:r>
              <w:rPr>
                <w:sz w:val="4"/>
                <w:szCs w:val="4"/>
              </w:rPr>
            </w:r>
          </w:p>
        </w:tc>
      </w:tr>
      <w:tr>
        <w:trPr/>
        <w:tc>
          <w:tcPr>
            <w:tcW w:w="2358" w:type="dxa"/>
            <w:tcBorders/>
            <w:vAlign w:val="center"/>
          </w:tcPr>
          <w:p>
            <w:pPr>
              <w:pStyle w:val="TableContents"/>
              <w:bidi w:val="0"/>
              <w:spacing w:before="0" w:after="283"/>
              <w:jc w:val="left"/>
              <w:rPr/>
            </w:pPr>
            <w:r>
              <w:rPr/>
              <w:drawing>
                <wp:inline distT="0" distB="0" distL="0" distR="0">
                  <wp:extent cx="1485900" cy="2241550"/>
                  <wp:effectExtent l="0" t="0" r="0" b="0"/>
                  <wp:docPr id="161"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45" descr=""/>
                          <pic:cNvPicPr>
                            <a:picLocks noChangeAspect="1" noChangeArrowheads="1"/>
                          </pic:cNvPicPr>
                        </pic:nvPicPr>
                        <pic:blipFill>
                          <a:blip r:embed="rId152"/>
                          <a:stretch>
                            <a:fillRect/>
                          </a:stretch>
                        </pic:blipFill>
                        <pic:spPr bwMode="auto">
                          <a:xfrm>
                            <a:off x="0" y="0"/>
                            <a:ext cx="1485900" cy="22415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44" w:type="dxa"/>
            <w:tcBorders/>
            <w:vAlign w:val="center"/>
          </w:tcPr>
          <w:p>
            <w:pPr>
              <w:pStyle w:val="TableContents"/>
              <w:bidi w:val="0"/>
              <w:spacing w:before="0" w:after="0"/>
              <w:jc w:val="left"/>
              <w:rPr>
                <w:rFonts w:ascii="arial" w:hAnsi="arial"/>
                <w:sz w:val="18"/>
              </w:rPr>
            </w:pPr>
            <w:r>
              <w:rPr>
                <w:rFonts w:ascii="arial" w:hAnsi="arial"/>
                <w:sz w:val="18"/>
              </w:rPr>
              <w:t>Kelly is committed to providing competitive, fair and fiscally responsible total rewards programs to our employees. Our compensation programs are designed to attract, retain and reward talented individuals with the skills necessary to achieve our strategic goals and create long-term value for our shareholders. We provide employees with competitive compensation opportunities, with strong pay-for-performance linkages that include a mix of base salary, short-term incentives and, in the case of our more senior employees, long-term equity awards. Our programs provide fair and competitive opportunities that align employee and stockholder interests. In addition to cash and equity compensation, we offer employees competitive benefits such as life and health (medical, dental and vision) insurance, paid time off, wellness benefits and defined contribution retirement plans. We review our compensation and benefits programs annually and respond to changes in market practice. For example, recent enhancements to our U.S. benefits program include the addition of a virtual physical therapy program to our medical plans and automatic contribution-escalation in one of our 401(k) Plans. In addition, pay and benefits programs for our international employees align with competitive local practices.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0"/>
        <w:gridCol w:w="120"/>
        <w:gridCol w:w="23"/>
        <w:gridCol w:w="60"/>
        <w:gridCol w:w="7642"/>
      </w:tblGrid>
      <w:tr>
        <w:trPr/>
        <w:tc>
          <w:tcPr>
            <w:tcW w:w="23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42"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pPr>
            <w:r>
              <w:rPr/>
              <w:drawing>
                <wp:inline distT="0" distB="0" distL="0" distR="0">
                  <wp:extent cx="1485900" cy="2241550"/>
                  <wp:effectExtent l="0" t="0" r="0" b="0"/>
                  <wp:docPr id="162"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6" descr=""/>
                          <pic:cNvPicPr>
                            <a:picLocks noChangeAspect="1" noChangeArrowheads="1"/>
                          </pic:cNvPicPr>
                        </pic:nvPicPr>
                        <pic:blipFill>
                          <a:blip r:embed="rId153"/>
                          <a:stretch>
                            <a:fillRect/>
                          </a:stretch>
                        </pic:blipFill>
                        <pic:spPr bwMode="auto">
                          <a:xfrm>
                            <a:off x="0" y="0"/>
                            <a:ext cx="1485900" cy="22415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42" w:type="dxa"/>
            <w:tcBorders/>
            <w:vAlign w:val="center"/>
          </w:tcPr>
          <w:p>
            <w:pPr>
              <w:pStyle w:val="TableContents"/>
              <w:bidi w:val="0"/>
              <w:spacing w:before="0" w:after="0"/>
              <w:jc w:val="left"/>
              <w:rPr>
                <w:rFonts w:ascii="arial" w:hAnsi="arial"/>
                <w:sz w:val="18"/>
              </w:rPr>
            </w:pPr>
            <w:r>
              <w:rPr>
                <w:rFonts w:ascii="arial" w:hAnsi="arial"/>
                <w:sz w:val="18"/>
              </w:rPr>
              <w:t>Since 1946, our founder fought to increase women’s access to work, and we’ve continued to be an outspoken advocate for the value temporary and independent workers bring to the workplace. We are committed to promoting exceptional talent from all walks of life. We believe that our talent pool creates a workplace that is conducive to producing more creative solutions, results in better, more innovative products and services, and presents Kelly as a workplace leader, aiding our ability to attract and retain high-performing talent. We focus on fostering a culture of belonging, where everyone feels welcomed and respected and can thrive as we work together. Kelly promotes employee development and internal career mobility to enable our team to achieve their full potential and to ensure we have the evolving workforce capabilities that the future demands.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9"/>
        <w:gridCol w:w="120"/>
        <w:gridCol w:w="23"/>
        <w:gridCol w:w="60"/>
        <w:gridCol w:w="7643"/>
      </w:tblGrid>
      <w:tr>
        <w:trPr/>
        <w:tc>
          <w:tcPr>
            <w:tcW w:w="2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43" w:type="dxa"/>
            <w:tcBorders/>
            <w:vAlign w:val="center"/>
          </w:tcPr>
          <w:p>
            <w:pPr>
              <w:pStyle w:val="TableContents"/>
              <w:bidi w:val="0"/>
              <w:spacing w:before="0" w:after="283"/>
              <w:jc w:val="left"/>
              <w:rPr>
                <w:sz w:val="4"/>
                <w:szCs w:val="4"/>
              </w:rPr>
            </w:pPr>
            <w:r>
              <w:rPr>
                <w:sz w:val="4"/>
                <w:szCs w:val="4"/>
              </w:rPr>
            </w:r>
          </w:p>
        </w:tc>
      </w:tr>
      <w:tr>
        <w:trPr/>
        <w:tc>
          <w:tcPr>
            <w:tcW w:w="2359" w:type="dxa"/>
            <w:tcBorders/>
            <w:vAlign w:val="center"/>
          </w:tcPr>
          <w:p>
            <w:pPr>
              <w:pStyle w:val="TableContents"/>
              <w:bidi w:val="0"/>
              <w:spacing w:before="0" w:after="283"/>
              <w:jc w:val="left"/>
              <w:rPr/>
            </w:pPr>
            <w:r>
              <w:rPr/>
              <w:drawing>
                <wp:inline distT="0" distB="0" distL="0" distR="0">
                  <wp:extent cx="1485900" cy="2241550"/>
                  <wp:effectExtent l="0" t="0" r="0" b="0"/>
                  <wp:docPr id="163"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7" descr=""/>
                          <pic:cNvPicPr>
                            <a:picLocks noChangeAspect="1" noChangeArrowheads="1"/>
                          </pic:cNvPicPr>
                        </pic:nvPicPr>
                        <pic:blipFill>
                          <a:blip r:embed="rId154"/>
                          <a:stretch>
                            <a:fillRect/>
                          </a:stretch>
                        </pic:blipFill>
                        <pic:spPr bwMode="auto">
                          <a:xfrm>
                            <a:off x="0" y="0"/>
                            <a:ext cx="1485900" cy="22415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43" w:type="dxa"/>
            <w:tcBorders/>
            <w:vAlign w:val="center"/>
          </w:tcPr>
          <w:p>
            <w:pPr>
              <w:pStyle w:val="TableContents"/>
              <w:bidi w:val="0"/>
              <w:spacing w:before="0" w:after="0"/>
              <w:jc w:val="left"/>
              <w:rPr>
                <w:rFonts w:ascii="arial" w:hAnsi="arial"/>
                <w:sz w:val="18"/>
              </w:rPr>
            </w:pPr>
            <w:r>
              <w:rPr>
                <w:rFonts w:ascii="arial" w:hAnsi="arial"/>
                <w:sz w:val="18"/>
              </w:rPr>
              <w:t>Sustainability is at the heart of our relationships with our global workforce, suppliers, customers, and other stakeholders. Our programs and initiatives are dedicated to enhancing the well-being of our employees, their families, and the communities they call home. Through strategic investments and a focus on shared values, we strive to drive lasting positive change while fostering sustainable development. We capture and track volunteering efforts through various platforms, empowering employees to engage in social impact initiatives and collaborate with colleagues. Our Kelly Hands &amp; Hearts corporate volunteering program, along with a dedicated paid Volunteer Day, provides additional opportunities for employees to support causes that matter most to them. In 2025, we launched our Global Month of Service, encouraging all employees worldwide to participate in meaningful volunteerism and acts of service. Now a cornerstone of our community engagement, this annual event underscores our dedication to collective impact.</w:t>
            </w:r>
          </w:p>
          <w:p>
            <w:pPr>
              <w:pStyle w:val="TableContents"/>
              <w:bidi w:val="0"/>
              <w:spacing w:before="0" w:after="20"/>
              <w:jc w:val="left"/>
              <w:rPr/>
            </w:pPr>
            <w:r>
              <w:rPr/>
              <w:t> </w:t>
            </w:r>
          </w:p>
        </w:tc>
      </w:tr>
    </w:tbl>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164"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48" descr=""/>
                          <pic:cNvPicPr>
                            <a:picLocks noChangeAspect="1" noChangeArrowheads="1"/>
                          </pic:cNvPicPr>
                        </pic:nvPicPr>
                        <pic:blipFill>
                          <a:blip r:embed="rId155"/>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b/>
          <w:sz w:val="18"/>
        </w:rPr>
        <w:t>Supply Chain and Operational Resilience:</w:t>
      </w:r>
      <w:r>
        <w:rPr>
          <w:rFonts w:ascii="arial" w:hAnsi="arial"/>
          <w:sz w:val="18"/>
        </w:rPr>
        <w:t xml:space="preserve"> Third-party and supply chain risks are identified, assessed, and monitored within the enterprise risk management framework, with findings reported to the Audit Committee as part of the ERM team’s quarterly reporting cycle. To support continuity of services, responsible business practices, and operational resilience, the Company proactively monitors critical risks related to its reliance on third parties, including concentration risk, vendor incident notification requirements and response protocols, and audit rights. Kelly also maintains a Supplier Code of Conduct that outlines expectations related to ethics, human rights, child labor, forced and compulsory labor, human trafficking, and compliance with applicable laws. The Company monitors and evaluates supplier adherence to these standards as part of its ongoing third-party risk management process. </w:t>
      </w:r>
    </w:p>
    <w:p>
      <w:pPr>
        <w:pStyle w:val="TextBody"/>
        <w:bidi w:val="0"/>
        <w:spacing w:before="360" w:after="0"/>
        <w:jc w:val="left"/>
        <w:rPr>
          <w:rFonts w:ascii="arial" w:hAnsi="arial"/>
          <w:b/>
          <w:color w:val="00AE4F"/>
          <w:sz w:val="24"/>
        </w:rPr>
      </w:pPr>
      <w:r>
        <w:rPr>
          <w:rFonts w:ascii="arial" w:hAnsi="arial"/>
          <w:b/>
          <w:color w:val="00AE4F"/>
          <w:sz w:val="24"/>
        </w:rPr>
        <w:t xml:space="preserve">Governance </w:t>
      </w:r>
    </w:p>
    <w:p>
      <w:pPr>
        <w:pStyle w:val="TextBody"/>
        <w:bidi w:val="0"/>
        <w:spacing w:before="80" w:after="0"/>
        <w:jc w:val="left"/>
        <w:rPr>
          <w:rFonts w:ascii="arial" w:hAnsi="arial"/>
          <w:sz w:val="18"/>
        </w:rPr>
      </w:pPr>
      <w:r>
        <w:rPr>
          <w:rFonts w:ascii="arial" w:hAnsi="arial"/>
          <w:sz w:val="18"/>
        </w:rPr>
        <w:t xml:space="preserve">Business conduct and ethics are foundational to Kelly’s sustainability and governance framework. The Company maintains governance practices designed to support ethical conduct, effective risk oversight, regulatory compliance, and long-term value creation. </w:t>
      </w:r>
    </w:p>
    <w:p>
      <w:pPr>
        <w:pStyle w:val="TextBody"/>
        <w:bidi w:val="0"/>
        <w:spacing w:before="80" w:after="0"/>
        <w:jc w:val="left"/>
        <w:rPr>
          <w:rFonts w:ascii="arial" w:hAnsi="arial"/>
          <w:sz w:val="18"/>
        </w:rPr>
      </w:pPr>
      <w:r>
        <w:rPr>
          <w:rFonts w:ascii="arial" w:hAnsi="arial"/>
          <w:i/>
          <w:sz w:val="18"/>
        </w:rPr>
        <w:t>Code of Business Conduct and Ethics</w:t>
      </w:r>
      <w:r>
        <w:rPr>
          <w:rFonts w:ascii="arial" w:hAnsi="arial"/>
          <w:sz w:val="18"/>
        </w:rPr>
        <w:t xml:space="preserve">: Kelly maintains a Code of Business Conduct and Ethics that applies to all directors, officers, and employees. The Code establishes expectations for ethical conduct, legal and regulatory compliance, integrity in business practices, and responsible decision-making. Employees are required to complete annual acknowledgments and related compliance training, and the Company maintains mechanisms for reporting concerns consistent with applicable laws and regulations, including an anonymous reporting hotline. </w:t>
      </w:r>
    </w:p>
    <w:p>
      <w:pPr>
        <w:pStyle w:val="TextBody"/>
        <w:bidi w:val="0"/>
        <w:spacing w:before="80" w:after="0"/>
        <w:jc w:val="left"/>
        <w:rPr>
          <w:rFonts w:ascii="arial" w:hAnsi="arial"/>
          <w:sz w:val="18"/>
        </w:rPr>
      </w:pPr>
      <w:r>
        <w:rPr>
          <w:rFonts w:ascii="arial" w:hAnsi="arial"/>
          <w:b/>
          <w:i/>
          <w:sz w:val="18"/>
        </w:rPr>
        <w:t xml:space="preserve">Cybersecurity and Data Privacy Oversight: </w:t>
      </w:r>
      <w:r>
        <w:rPr>
          <w:rFonts w:ascii="arial" w:hAnsi="arial"/>
          <w:sz w:val="18"/>
        </w:rPr>
        <w:t xml:space="preserve">Cybersecurity and data privacy are key components of Kelly’s enterprise risk management framework. The Board of Directors, primarily through the Audit Committee, oversees cybersecurity and information security risks, including those that could affect operations, client trust, regulatory compliance, or financial condition. </w:t>
      </w:r>
    </w:p>
    <w:p>
      <w:pPr>
        <w:pStyle w:val="TextBody"/>
        <w:bidi w:val="0"/>
        <w:spacing w:before="80" w:after="0"/>
        <w:jc w:val="left"/>
        <w:rPr>
          <w:rFonts w:ascii="arial" w:hAnsi="arial"/>
          <w:sz w:val="18"/>
        </w:rPr>
      </w:pPr>
      <w:r>
        <w:rPr>
          <w:rFonts w:ascii="arial" w:hAnsi="arial"/>
          <w:sz w:val="18"/>
        </w:rPr>
        <w:t xml:space="preserve">Management is responsible for implementing cybersecurity policies, controls, and response protocols. The Company’s Chief Information Security Officer leads the Company’s cybersecurity risk management program, guided by the NIST Cybersecurity Framework and informed by regular risk assessments and annual third-party evaluations. </w:t>
      </w:r>
    </w:p>
    <w:p>
      <w:pPr>
        <w:pStyle w:val="TextBody"/>
        <w:bidi w:val="0"/>
        <w:spacing w:before="80" w:after="0"/>
        <w:jc w:val="left"/>
        <w:rPr>
          <w:rFonts w:ascii="arial" w:hAnsi="arial"/>
          <w:sz w:val="18"/>
        </w:rPr>
      </w:pPr>
      <w:r>
        <w:rPr>
          <w:rFonts w:ascii="arial" w:hAnsi="arial"/>
          <w:sz w:val="18"/>
        </w:rPr>
        <w:t xml:space="preserve">Kelly maintains programs designed to comply with applicable data protection and privacy laws, including the General Data Protection Regulation (“GDPR”) and the California Consumer Privacy Act (“CCPA”). Employees and relevant vendors complete annual cybersecurity and data privacy training. The Company governs the deployment of artificial intelligence and emerging technologies through a framework that addresses data privacy, security, fairness, and compliance with evolving regulatory requirements. </w:t>
      </w:r>
    </w:p>
    <w:p>
      <w:pPr>
        <w:pStyle w:val="TextBody"/>
        <w:bidi w:val="0"/>
        <w:spacing w:before="80" w:after="0"/>
        <w:jc w:val="left"/>
        <w:rPr>
          <w:rFonts w:ascii="arial" w:hAnsi="arial"/>
          <w:sz w:val="18"/>
        </w:rPr>
      </w:pPr>
      <w:r>
        <w:rPr>
          <w:rFonts w:ascii="arial" w:hAnsi="arial"/>
          <w:b/>
          <w:i/>
          <w:sz w:val="18"/>
        </w:rPr>
        <w:t xml:space="preserve">Governance Practices and Transparency: </w:t>
      </w:r>
      <w:r>
        <w:rPr>
          <w:rFonts w:ascii="arial" w:hAnsi="arial"/>
          <w:sz w:val="18"/>
        </w:rPr>
        <w:t xml:space="preserve">Kelly’s governance practices promote transparency and accountability in sustainability reporting. The Company measures and discloses its performance in alignment with established frameworks, including the Global Reporting Initiative (“GRI”) and sustainability disclosure standards developed by the International Sustainability Standards Board (“ISSB”), which incorporate the Sustainability Accounting Standards Board (“SASB”) standards and the Task Force on Climate-related Financial Disclosures (“TCFD”) recommendations. Kelly also participates in third-party assessments, such as CDP (formerly the Carbon Disclosure Project) and EcoVadis, to provide external perspectives on sustainability practices and performance. </w:t>
      </w:r>
    </w:p>
    <w:p>
      <w:pPr>
        <w:pStyle w:val="TextBody"/>
        <w:bidi w:val="0"/>
        <w:spacing w:before="80" w:after="0"/>
        <w:jc w:val="left"/>
        <w:rPr>
          <w:rFonts w:ascii="arial" w:hAnsi="arial"/>
          <w:sz w:val="18"/>
        </w:rPr>
      </w:pPr>
      <w:r>
        <w:rPr>
          <w:rFonts w:ascii="arial" w:hAnsi="arial"/>
          <w:sz w:val="18"/>
        </w:rPr>
        <w:t xml:space="preserve">Through these governance practices, Kelly actively manages operational, social, and environmental risks while fostering accountability, integrity, and transparency across the organization. Detailed information regarding programs, metrics, and performance is available in the Company’s Corporate Sustainability Report, which is available on the Company’s website at </w:t>
      </w:r>
      <w:r>
        <w:rPr>
          <w:rFonts w:ascii="arial" w:hAnsi="arial"/>
          <w:sz w:val="18"/>
          <w:u w:val="single"/>
        </w:rPr>
        <w:t>www.kellyservices.com.</w:t>
      </w:r>
      <w:r>
        <w:rPr>
          <w:rFonts w:ascii="arial" w:hAnsi="arial"/>
          <w:sz w:val="18"/>
        </w:rPr>
        <w:t xml:space="preserve"> </w:t>
      </w:r>
    </w:p>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36 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165"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49" descr=""/>
                          <pic:cNvPicPr>
                            <a:picLocks noChangeAspect="1" noChangeArrowheads="1"/>
                          </pic:cNvPicPr>
                        </pic:nvPicPr>
                        <pic:blipFill>
                          <a:blip r:embed="rId156"/>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b/>
          <w:sz w:val="24"/>
        </w:rPr>
      </w:pPr>
      <w:bookmarkStart w:id="26" w:name="toc37355_24"/>
      <w:bookmarkEnd w:id="26"/>
      <w:r>
        <w:rPr>
          <w:rFonts w:ascii="arial" w:hAnsi="arial"/>
          <w:b/>
          <w:sz w:val="24"/>
        </w:rPr>
        <w:t xml:space="preserve">Director Selection Process </w:t>
      </w:r>
    </w:p>
    <w:p>
      <w:pPr>
        <w:pStyle w:val="TextBody"/>
        <w:bidi w:val="0"/>
        <w:spacing w:before="80" w:after="0"/>
        <w:jc w:val="left"/>
        <w:rPr>
          <w:rFonts w:ascii="arial" w:hAnsi="arial"/>
          <w:sz w:val="18"/>
        </w:rPr>
      </w:pPr>
      <w:r>
        <w:rPr>
          <w:rFonts w:ascii="arial" w:hAnsi="arial"/>
          <w:sz w:val="18"/>
        </w:rPr>
        <w:t xml:space="preserve">The Corporate Governance and Nominating Committee is responsible for the identification, screening, and recommendation of qualified candidates for nomination by the full Board. The Board of Directors, together with the Corporate Governance and Nominating Committee ensure that: (1) the Board as a whole is composed of the right combination of knowledge, experience, continuity, reputation, and a broad range of perspectives that are pertinent to the Company’s operating environment and strategic direction; (2) the Board maintains the independence and competence to provide the governance and oversight that the Company’s shareholders expect; and (3) there is a seamless transition when a director retires or steps down from the Board. The Board of Directors identifies the collective mix of desired skills, experience, knowledge, and independence for the Board of Directors as a whole and identifies potential opportunities for enhancement in one or more of those areas. The Board considers each current director’s experience, skills, principal occupation, reputation, independence, age, tenure, committee membership, and background, as well as the results of the Board and committee self-evaluations, and feedback. An overview of the Board’s director selection process is provided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60"/>
        <w:gridCol w:w="120"/>
        <w:gridCol w:w="8325"/>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25" w:type="dxa"/>
            <w:tcBorders/>
            <w:vAlign w:val="center"/>
          </w:tcPr>
          <w:p>
            <w:pPr>
              <w:pStyle w:val="TableContents"/>
              <w:bidi w:val="0"/>
              <w:spacing w:before="0" w:after="283"/>
              <w:jc w:val="left"/>
              <w:rPr>
                <w:sz w:val="4"/>
                <w:szCs w:val="4"/>
              </w:rPr>
            </w:pPr>
            <w:r>
              <w:rPr>
                <w:sz w:val="4"/>
                <w:szCs w:val="4"/>
              </w:rPr>
            </w:r>
          </w:p>
        </w:tc>
      </w:tr>
      <w:tr>
        <w:trPr/>
        <w:tc>
          <w:tcPr>
            <w:tcW w:w="1760" w:type="dxa"/>
            <w:tcBorders>
              <w:top w:val="single" w:sz="6" w:space="0" w:color="7F7F7F"/>
            </w:tcBorders>
            <w:tcMar>
              <w:top w:w="28" w:type="dxa"/>
            </w:tcMar>
            <w:vAlign w:val="center"/>
          </w:tcPr>
          <w:p>
            <w:pPr>
              <w:pStyle w:val="TableContents"/>
              <w:bidi w:val="0"/>
              <w:spacing w:before="0" w:after="283"/>
              <w:jc w:val="left"/>
              <w:rPr/>
            </w:pPr>
            <w:r>
              <w:rPr/>
              <w:t> </w:t>
            </w:r>
          </w:p>
        </w:tc>
        <w:tc>
          <w:tcPr>
            <w:tcW w:w="8445" w:type="dxa"/>
            <w:gridSpan w:val="2"/>
            <w:tcBorders>
              <w:top w:val="single" w:sz="6" w:space="0" w:color="7F7F7F"/>
            </w:tcBorders>
            <w:tcMar>
              <w:top w:w="28" w:type="dxa"/>
            </w:tcMar>
            <w:vAlign w:val="center"/>
          </w:tcPr>
          <w:p>
            <w:pPr>
              <w:pStyle w:val="TableContents"/>
              <w:bidi w:val="0"/>
              <w:spacing w:before="0" w:after="283"/>
              <w:jc w:val="left"/>
              <w:rPr/>
            </w:pPr>
            <w:r>
              <w:rPr/>
              <w:t> </w:t>
            </w:r>
          </w:p>
        </w:tc>
      </w:tr>
      <w:tr>
        <w:trPr/>
        <w:tc>
          <w:tcPr>
            <w:tcW w:w="1760" w:type="dxa"/>
            <w:tcBorders>
              <w:bottom w:val="single" w:sz="6" w:space="0" w:color="7F7F7F"/>
            </w:tcBorders>
            <w:tcMar>
              <w:bottom w:w="40" w:type="dxa"/>
            </w:tcMar>
            <w:vAlign w:val="center"/>
          </w:tcPr>
          <w:p>
            <w:pPr>
              <w:pStyle w:val="TableContents"/>
              <w:bidi w:val="0"/>
              <w:spacing w:before="0" w:after="0"/>
              <w:jc w:val="left"/>
              <w:rPr>
                <w:rFonts w:ascii="arial" w:hAnsi="arial"/>
                <w:color w:val="00AE4F"/>
                <w:sz w:val="18"/>
              </w:rPr>
            </w:pPr>
            <w:r>
              <w:rPr>
                <w:rFonts w:ascii="arial" w:hAnsi="arial"/>
                <w:color w:val="00AE4F"/>
                <w:sz w:val="18"/>
              </w:rPr>
              <w:t>Evaluate Board Composition</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8325"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Using the Company’s Corporate Governance Principles, Board Composition Matrix, and Board self-evaluation process, the Committee (or subcommittee) evaluates the size, composition, priorities, and needs of the Board with respect to its desired experience, skills, and the broad range of perspectives in consideration of the Company’s current and anticipated business needs and strategies.</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8445" w:type="dxa"/>
            <w:gridSpan w:val="2"/>
            <w:tcBorders/>
            <w:vAlign w:val="center"/>
          </w:tcPr>
          <w:p>
            <w:pPr>
              <w:pStyle w:val="TableContents"/>
              <w:bidi w:val="0"/>
              <w:spacing w:before="0" w:after="283"/>
              <w:jc w:val="left"/>
              <w:rPr>
                <w:sz w:val="4"/>
                <w:szCs w:val="4"/>
              </w:rPr>
            </w:pPr>
            <w:r>
              <w:rPr>
                <w:sz w:val="4"/>
                <w:szCs w:val="4"/>
              </w:rPr>
            </w:r>
          </w:p>
        </w:tc>
      </w:tr>
      <w:tr>
        <w:trPr/>
        <w:tc>
          <w:tcPr>
            <w:tcW w:w="1760" w:type="dxa"/>
            <w:tcBorders>
              <w:bottom w:val="single" w:sz="6" w:space="0" w:color="7F7F7F"/>
            </w:tcBorders>
            <w:tcMar>
              <w:bottom w:w="40" w:type="dxa"/>
            </w:tcMar>
            <w:vAlign w:val="center"/>
          </w:tcPr>
          <w:p>
            <w:pPr>
              <w:pStyle w:val="TableContents"/>
              <w:bidi w:val="0"/>
              <w:spacing w:before="0" w:after="0"/>
              <w:jc w:val="left"/>
              <w:rPr>
                <w:rFonts w:ascii="arial" w:hAnsi="arial"/>
                <w:color w:val="00AE4F"/>
                <w:sz w:val="18"/>
              </w:rPr>
            </w:pPr>
            <w:r>
              <w:rPr>
                <w:rFonts w:ascii="arial" w:hAnsi="arial"/>
                <w:color w:val="00AE4F"/>
                <w:sz w:val="18"/>
              </w:rPr>
              <w:t>Identification of Potential Candidates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8325"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The Committee identifies director candidates through multiple sources, including recommendations from a third-party search firm, suggestions from other directors, and submissions from members of management. When engaging a search firm, the Committee instructs the search firm to provide an initial pool of candidates that reflect a broad range of gender, race, ethnic, and cultural backgrounds, which possess the core qualifications required, and include the specific experience and skills as identified during the evaluation of current board composition.</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8445" w:type="dxa"/>
            <w:gridSpan w:val="2"/>
            <w:tcBorders/>
            <w:vAlign w:val="center"/>
          </w:tcPr>
          <w:p>
            <w:pPr>
              <w:pStyle w:val="TableContents"/>
              <w:bidi w:val="0"/>
              <w:spacing w:before="0" w:after="283"/>
              <w:jc w:val="left"/>
              <w:rPr>
                <w:sz w:val="4"/>
                <w:szCs w:val="4"/>
              </w:rPr>
            </w:pPr>
            <w:r>
              <w:rPr>
                <w:sz w:val="4"/>
                <w:szCs w:val="4"/>
              </w:rPr>
            </w:r>
          </w:p>
        </w:tc>
      </w:tr>
      <w:tr>
        <w:trPr/>
        <w:tc>
          <w:tcPr>
            <w:tcW w:w="1760" w:type="dxa"/>
            <w:tcBorders>
              <w:bottom w:val="single" w:sz="6" w:space="0" w:color="7F7F7F"/>
            </w:tcBorders>
            <w:tcMar>
              <w:bottom w:w="40" w:type="dxa"/>
            </w:tcMar>
            <w:vAlign w:val="center"/>
          </w:tcPr>
          <w:p>
            <w:pPr>
              <w:pStyle w:val="TableContents"/>
              <w:bidi w:val="0"/>
              <w:spacing w:before="0" w:after="0"/>
              <w:jc w:val="left"/>
              <w:rPr>
                <w:rFonts w:ascii="arial" w:hAnsi="arial"/>
                <w:color w:val="00AE4F"/>
                <w:sz w:val="18"/>
              </w:rPr>
            </w:pPr>
            <w:r>
              <w:rPr>
                <w:rFonts w:ascii="arial" w:hAnsi="arial"/>
                <w:color w:val="00AE4F"/>
                <w:sz w:val="18"/>
              </w:rPr>
              <w:t>Evaluation of Candidates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8325"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Potential candidates undergo a thorough screening process that includes a review of their qualifications, conflicts of interest, independence, backgrounds, and experience. The candidate pool is then narrowed for individual interviews, followed by a comprehensive review of all interviewed candidates prior to a final nomination decision.</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8445" w:type="dxa"/>
            <w:gridSpan w:val="2"/>
            <w:tcBorders/>
            <w:vAlign w:val="center"/>
          </w:tcPr>
          <w:p>
            <w:pPr>
              <w:pStyle w:val="TableContents"/>
              <w:bidi w:val="0"/>
              <w:spacing w:before="0" w:after="283"/>
              <w:jc w:val="left"/>
              <w:rPr>
                <w:sz w:val="4"/>
                <w:szCs w:val="4"/>
              </w:rPr>
            </w:pPr>
            <w:r>
              <w:rPr>
                <w:sz w:val="4"/>
                <w:szCs w:val="4"/>
              </w:rPr>
            </w:r>
          </w:p>
        </w:tc>
      </w:tr>
      <w:tr>
        <w:trPr/>
        <w:tc>
          <w:tcPr>
            <w:tcW w:w="1760" w:type="dxa"/>
            <w:tcBorders>
              <w:bottom w:val="single" w:sz="6" w:space="0" w:color="7F7F7F"/>
            </w:tcBorders>
            <w:tcMar>
              <w:bottom w:w="40" w:type="dxa"/>
            </w:tcMar>
            <w:vAlign w:val="center"/>
          </w:tcPr>
          <w:p>
            <w:pPr>
              <w:pStyle w:val="TableContents"/>
              <w:bidi w:val="0"/>
              <w:spacing w:before="0" w:after="0"/>
              <w:jc w:val="left"/>
              <w:rPr>
                <w:rFonts w:ascii="arial" w:hAnsi="arial"/>
                <w:color w:val="00AE4F"/>
                <w:sz w:val="18"/>
              </w:rPr>
            </w:pPr>
            <w:r>
              <w:rPr>
                <w:rFonts w:ascii="arial" w:hAnsi="arial"/>
                <w:color w:val="00AE4F"/>
                <w:sz w:val="18"/>
              </w:rPr>
              <w:t>Recommendation</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8325"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The Committee recommends final candidate(s) to the full Board for appointment.</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8445" w:type="dxa"/>
            <w:gridSpan w:val="2"/>
            <w:tcBorders/>
            <w:vAlign w:val="center"/>
          </w:tcPr>
          <w:p>
            <w:pPr>
              <w:pStyle w:val="TableContents"/>
              <w:bidi w:val="0"/>
              <w:spacing w:before="0" w:after="283"/>
              <w:jc w:val="left"/>
              <w:rPr>
                <w:sz w:val="4"/>
                <w:szCs w:val="4"/>
              </w:rPr>
            </w:pPr>
            <w:r>
              <w:rPr>
                <w:sz w:val="4"/>
                <w:szCs w:val="4"/>
              </w:rPr>
            </w:r>
          </w:p>
        </w:tc>
      </w:tr>
      <w:tr>
        <w:trPr/>
        <w:tc>
          <w:tcPr>
            <w:tcW w:w="1760" w:type="dxa"/>
            <w:tcBorders>
              <w:bottom w:val="single" w:sz="6" w:space="0" w:color="7F7F7F"/>
            </w:tcBorders>
            <w:tcMar>
              <w:bottom w:w="40" w:type="dxa"/>
            </w:tcMar>
            <w:vAlign w:val="center"/>
          </w:tcPr>
          <w:p>
            <w:pPr>
              <w:pStyle w:val="TableContents"/>
              <w:bidi w:val="0"/>
              <w:spacing w:before="0" w:after="0"/>
              <w:jc w:val="left"/>
              <w:rPr>
                <w:rFonts w:ascii="arial" w:hAnsi="arial"/>
                <w:color w:val="00AE4F"/>
                <w:sz w:val="18"/>
              </w:rPr>
            </w:pPr>
            <w:r>
              <w:rPr>
                <w:rFonts w:ascii="arial" w:hAnsi="arial"/>
                <w:color w:val="00AE4F"/>
                <w:sz w:val="18"/>
              </w:rPr>
              <w:t>Review and Appointment by Full Board</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8325"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The full Board appoints new director(s), who then stand for election by shareholders at the next Annual Meeting.</w:t>
            </w:r>
          </w:p>
        </w:tc>
      </w:tr>
    </w:tbl>
    <w:p>
      <w:pPr>
        <w:pStyle w:val="TextBody"/>
        <w:bidi w:val="0"/>
        <w:spacing w:before="360" w:after="0"/>
        <w:jc w:val="left"/>
        <w:rPr>
          <w:rFonts w:ascii="arial" w:hAnsi="arial"/>
          <w:b/>
          <w:sz w:val="24"/>
        </w:rPr>
      </w:pPr>
      <w:bookmarkStart w:id="27" w:name="toc37355_25"/>
      <w:bookmarkEnd w:id="27"/>
      <w:r>
        <w:rPr>
          <w:rFonts w:ascii="arial" w:hAnsi="arial"/>
          <w:b/>
          <w:sz w:val="24"/>
        </w:rPr>
        <w:t xml:space="preserve">Director Attendance </w:t>
      </w:r>
    </w:p>
    <w:p>
      <w:pPr>
        <w:pStyle w:val="TextBody"/>
        <w:bidi w:val="0"/>
        <w:spacing w:before="80" w:after="0"/>
        <w:jc w:val="left"/>
        <w:rPr>
          <w:rFonts w:ascii="arial" w:hAnsi="arial"/>
          <w:sz w:val="18"/>
        </w:rPr>
      </w:pPr>
      <w:r>
        <w:rPr>
          <w:rFonts w:ascii="arial" w:hAnsi="arial"/>
          <w:sz w:val="18"/>
        </w:rPr>
        <w:t xml:space="preserve">We expect directors to attend the Annual Meeting of the Shareholders, all Board meetings, and all meetings of the committees on which they individually serve. All directors attended the 2025 Annual Meeting of Shareholders. The Board held sixteen meetings during 2025. Director attendance averaged 98.4% of the aggregate number of meetings of the Board and the committees on which they served during 2025. The majority of directors attended 100% of all Board and committee meetings on which they individually served in 2025. The independent directors met in executive sessions at which only they were present at least eleven times during 2025. </w:t>
      </w:r>
    </w:p>
    <w:p>
      <w:pPr>
        <w:pStyle w:val="TextBody"/>
        <w:bidi w:val="0"/>
        <w:spacing w:before="360" w:after="0"/>
        <w:jc w:val="left"/>
        <w:rPr>
          <w:rFonts w:ascii="arial" w:hAnsi="arial"/>
          <w:b/>
          <w:sz w:val="24"/>
        </w:rPr>
      </w:pPr>
      <w:bookmarkStart w:id="28" w:name="toc37355_26"/>
      <w:bookmarkEnd w:id="28"/>
      <w:r>
        <w:rPr>
          <w:rFonts w:ascii="arial" w:hAnsi="arial"/>
          <w:b/>
          <w:sz w:val="24"/>
        </w:rPr>
        <w:t xml:space="preserve">Size of the Board </w:t>
      </w:r>
    </w:p>
    <w:p>
      <w:pPr>
        <w:pStyle w:val="TextBody"/>
        <w:bidi w:val="0"/>
        <w:spacing w:before="80" w:after="0"/>
        <w:jc w:val="left"/>
        <w:rPr>
          <w:rFonts w:ascii="arial" w:hAnsi="arial"/>
          <w:sz w:val="18"/>
        </w:rPr>
      </w:pPr>
      <w:r>
        <w:rPr>
          <w:rFonts w:ascii="arial" w:hAnsi="arial"/>
          <w:sz w:val="18"/>
        </w:rPr>
        <w:t xml:space="preserve">Under the Company’s Amended and Restated Bylaws, the number of directors constituting the Board may be fixed by the Board within the range of five to eleven directors. The size of the Board should not exceed the number that, as determined by the Board, will permit it to function efficiently in discharging its duties. There are currently eight members of the Board. Election of all director nominees will result in an eleven-member Board immediately following the Annual Meeting. </w:t>
      </w:r>
    </w:p>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166"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50" descr=""/>
                          <pic:cNvPicPr>
                            <a:picLocks noChangeAspect="1" noChangeArrowheads="1"/>
                          </pic:cNvPicPr>
                        </pic:nvPicPr>
                        <pic:blipFill>
                          <a:blip r:embed="rId157"/>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b/>
          <w:sz w:val="24"/>
        </w:rPr>
      </w:pPr>
      <w:bookmarkStart w:id="29" w:name="toc37355_27"/>
      <w:bookmarkEnd w:id="29"/>
      <w:r>
        <w:rPr>
          <w:rFonts w:ascii="arial" w:hAnsi="arial"/>
          <w:b/>
          <w:sz w:val="24"/>
        </w:rPr>
        <w:t xml:space="preserve">Director Tenure </w:t>
      </w:r>
    </w:p>
    <w:p>
      <w:pPr>
        <w:pStyle w:val="TextBody"/>
        <w:bidi w:val="0"/>
        <w:spacing w:before="80" w:after="0"/>
        <w:jc w:val="left"/>
        <w:rPr>
          <w:rFonts w:ascii="arial" w:hAnsi="arial"/>
          <w:sz w:val="18"/>
        </w:rPr>
      </w:pPr>
      <w:r>
        <w:rPr>
          <w:rFonts w:ascii="arial" w:hAnsi="arial"/>
          <w:sz w:val="18"/>
        </w:rPr>
        <w:t xml:space="preserve">The Board does not have term or age limits. The Board believes that the contributions and insight of tenured directors into the Company’s operations and strategy outweigh the perceived value of such limits and facilitate Board effectiveness. </w:t>
      </w:r>
    </w:p>
    <w:p>
      <w:pPr>
        <w:pStyle w:val="TextBody"/>
        <w:bidi w:val="0"/>
        <w:spacing w:before="360" w:after="0"/>
        <w:jc w:val="left"/>
        <w:rPr>
          <w:rFonts w:ascii="arial" w:hAnsi="arial"/>
          <w:b/>
          <w:sz w:val="24"/>
        </w:rPr>
      </w:pPr>
      <w:bookmarkStart w:id="30" w:name="toc37355_28"/>
      <w:bookmarkEnd w:id="30"/>
      <w:r>
        <w:rPr>
          <w:rFonts w:ascii="arial" w:hAnsi="arial"/>
          <w:b/>
          <w:sz w:val="24"/>
        </w:rPr>
        <w:t xml:space="preserve">Director Service on Outside Public Company Boards </w:t>
      </w:r>
    </w:p>
    <w:p>
      <w:pPr>
        <w:pStyle w:val="TextBody"/>
        <w:bidi w:val="0"/>
        <w:spacing w:before="80" w:after="0"/>
        <w:jc w:val="left"/>
        <w:rPr>
          <w:rFonts w:ascii="arial" w:hAnsi="arial"/>
          <w:sz w:val="18"/>
        </w:rPr>
      </w:pPr>
      <w:r>
        <w:rPr>
          <w:rFonts w:ascii="arial" w:hAnsi="arial"/>
          <w:sz w:val="18"/>
        </w:rPr>
        <w:t xml:space="preserve">While there is no specified limit on the number of other public company boards on which a director may serve, the number of board memberships is a consideration, along with any other time commitments a director or nominee may have, in determining his or her ability to serve effectively. Directors must be willing and able to devote sufficient time to carrying out their duties and responsibilities effectively and have the intention to serve an appropriate length of time to make a meaningful contribution to the Board and the Company. A director is expected to engage in discussion with the Chair of the Corporate Governance and Nominating Committee before accepting an invitation to serve on an additional public company board or accepting an invitation to chair a committee of a public company board on which he or she currently serves. </w:t>
      </w:r>
    </w:p>
    <w:p>
      <w:pPr>
        <w:pStyle w:val="TextBody"/>
        <w:bidi w:val="0"/>
        <w:spacing w:before="360" w:after="0"/>
        <w:jc w:val="left"/>
        <w:rPr>
          <w:rFonts w:ascii="arial" w:hAnsi="arial"/>
          <w:b/>
          <w:sz w:val="24"/>
        </w:rPr>
      </w:pPr>
      <w:bookmarkStart w:id="31" w:name="toc37355_29"/>
      <w:bookmarkEnd w:id="31"/>
      <w:r>
        <w:rPr>
          <w:rFonts w:ascii="arial" w:hAnsi="arial"/>
          <w:b/>
          <w:sz w:val="24"/>
        </w:rPr>
        <w:t xml:space="preserve">Director Orientation and Continuing Education </w:t>
      </w:r>
    </w:p>
    <w:p>
      <w:pPr>
        <w:pStyle w:val="TextBody"/>
        <w:bidi w:val="0"/>
        <w:spacing w:before="80" w:after="0"/>
        <w:jc w:val="left"/>
        <w:rPr>
          <w:rFonts w:ascii="arial" w:hAnsi="arial"/>
          <w:sz w:val="18"/>
        </w:rPr>
      </w:pPr>
      <w:r>
        <w:rPr>
          <w:rFonts w:ascii="arial" w:hAnsi="arial"/>
          <w:sz w:val="18"/>
        </w:rPr>
        <w:t xml:space="preserve">Management, working with the Corporate Governance and Nominating Committee, provides an orientation program for new directors to facilitate integration into their roles. The program acquaints new directors with the Company’s business, history, vision, noble purpose, strategic direction and plans, competitive landscape, core values, Code of Business Conduct and Ethics, Insider Trading Policy, other corporate governance practices, financial, accounting, and risk management matters, key policies, sustainability strategy, senior leadership, and internal and independent auditors. The program consists of, as appropriate, a comprehensive review of background materials, briefings by senior management, and visits to Company facilities. The Board also developed a mentoring program to provide additional support and resources to new directors. Based on the feedback from our directors, we believe this onboarding approach provides new directors with a strong foundation for understanding our businesses, connects directors with members of management with whom they will interact, and accelerates their effectiveness to engage fully in Board deliberations. </w:t>
      </w:r>
    </w:p>
    <w:p>
      <w:pPr>
        <w:pStyle w:val="TextBody"/>
        <w:bidi w:val="0"/>
        <w:spacing w:before="80" w:after="0"/>
        <w:jc w:val="left"/>
        <w:rPr>
          <w:rFonts w:ascii="arial" w:hAnsi="arial"/>
          <w:sz w:val="18"/>
        </w:rPr>
      </w:pPr>
      <w:r>
        <w:rPr>
          <w:rFonts w:ascii="arial" w:hAnsi="arial"/>
          <w:sz w:val="18"/>
        </w:rPr>
        <w:t xml:space="preserve">Directors are also encouraged to participate in continuing director education programs to help them stay current on emerging practices and issues and in carrying out their responsibilities. These programs include formal education sessions with management or third-party subject matter experts that may occur as part of regular Board or committee meetings, and participation in industry forums on business, financial, accounting, legal, and other subjects relevant to the Company’s business. The Company reimburses reasonable costs and expenses incurred by directors for continuing education that provides updates on issues and programs relevant to public companies and their directors. </w:t>
      </w:r>
    </w:p>
    <w:p>
      <w:pPr>
        <w:pStyle w:val="TextBody"/>
        <w:bidi w:val="0"/>
        <w:spacing w:before="360" w:after="0"/>
        <w:jc w:val="left"/>
        <w:rPr>
          <w:rFonts w:ascii="arial" w:hAnsi="arial"/>
          <w:b/>
          <w:sz w:val="24"/>
        </w:rPr>
      </w:pPr>
      <w:bookmarkStart w:id="32" w:name="toc37355_30"/>
      <w:bookmarkEnd w:id="32"/>
      <w:r>
        <w:rPr>
          <w:rFonts w:ascii="arial" w:hAnsi="arial"/>
          <w:b/>
          <w:sz w:val="24"/>
        </w:rPr>
        <w:t xml:space="preserve">Board, Committee, and Peer Evaluation </w:t>
      </w:r>
    </w:p>
    <w:p>
      <w:pPr>
        <w:pStyle w:val="TextBody"/>
        <w:bidi w:val="0"/>
        <w:spacing w:before="80" w:after="0"/>
        <w:jc w:val="left"/>
        <w:rPr>
          <w:rFonts w:ascii="arial" w:hAnsi="arial"/>
          <w:sz w:val="18"/>
        </w:rPr>
      </w:pPr>
      <w:r>
        <w:rPr>
          <w:rFonts w:ascii="arial" w:hAnsi="arial"/>
          <w:sz w:val="18"/>
        </w:rPr>
        <w:t xml:space="preserve">The Board recognizes that a robust and constructive evaluation process is essential to good governance and enhanced effectiveness. The Corporate Governance and Nominating Committee organizes and oversees an annual evaluation by the Board and its committees of their performance. The evaluation facilitates an examination and discussion by the entire Board and each committee of its effectiveness in fulfilling its charter requirements and other responsibilities, its performance as measured against the Company’s Corporate Governance Principles, and areas for improvement. The evaluation also includes individual director assessments, typically in alternating years. </w:t>
      </w:r>
    </w:p>
    <w:p>
      <w:pPr>
        <w:pStyle w:val="TextBody"/>
        <w:bidi w:val="0"/>
        <w:spacing w:before="80" w:after="0"/>
        <w:jc w:val="left"/>
        <w:rPr>
          <w:rFonts w:ascii="arial" w:hAnsi="arial"/>
          <w:sz w:val="18"/>
        </w:rPr>
      </w:pPr>
      <w:r>
        <w:rPr>
          <w:rFonts w:ascii="arial" w:hAnsi="arial"/>
          <w:sz w:val="18"/>
        </w:rPr>
        <w:t xml:space="preserve">In 2025, the Corporate Governance and Nominating Committee engaged an independent external advisor to conduct Board and committee evaluations. The process included the completion of an online self-evaluation with rated and open-ended questions, with follow-up discussions by the advisor on certain individual responses, as needed. Each of the Board’s eight directors participated in the process. At that time, Messrs. Layden, C. Hunt, J.K. Hunt, Escudero, and Ms. Brock-Kyle had not been named to the Board. </w:t>
      </w:r>
    </w:p>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38 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167"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51" descr=""/>
                          <pic:cNvPicPr>
                            <a:picLocks noChangeAspect="1" noChangeArrowheads="1"/>
                          </pic:cNvPicPr>
                        </pic:nvPicPr>
                        <pic:blipFill>
                          <a:blip r:embed="rId158"/>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typical process includes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0"/>
        <w:gridCol w:w="60"/>
        <w:gridCol w:w="7615"/>
      </w:tblGrid>
      <w:tr>
        <w:trPr/>
        <w:tc>
          <w:tcPr>
            <w:tcW w:w="2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15" w:type="dxa"/>
            <w:tcBorders/>
            <w:vAlign w:val="center"/>
          </w:tcPr>
          <w:p>
            <w:pPr>
              <w:pStyle w:val="TableContents"/>
              <w:bidi w:val="0"/>
              <w:spacing w:before="0" w:after="283"/>
              <w:jc w:val="left"/>
              <w:rPr>
                <w:sz w:val="4"/>
                <w:szCs w:val="4"/>
              </w:rPr>
            </w:pPr>
            <w:r>
              <w:rPr>
                <w:sz w:val="4"/>
                <w:szCs w:val="4"/>
              </w:rPr>
            </w:r>
          </w:p>
        </w:tc>
      </w:tr>
      <w:tr>
        <w:trPr/>
        <w:tc>
          <w:tcPr>
            <w:tcW w:w="2530" w:type="dxa"/>
            <w:tcBorders>
              <w:right w:val="single" w:sz="72" w:space="0" w:color="FFFFFF"/>
            </w:tcBorders>
            <w:shd w:fill="EAEAE9" w:val="clear"/>
            <w:tcMar>
              <w:right w:w="28" w:type="dxa"/>
            </w:tcMar>
            <w:vAlign w:val="center"/>
          </w:tcPr>
          <w:p>
            <w:pPr>
              <w:pStyle w:val="TableContents"/>
              <w:bidi w:val="0"/>
              <w:spacing w:before="0" w:after="0"/>
              <w:jc w:val="left"/>
              <w:rPr>
                <w:rFonts w:ascii="arial" w:hAnsi="arial"/>
                <w:b/>
                <w:color w:val="00AE4F"/>
                <w:sz w:val="72"/>
              </w:rPr>
            </w:pPr>
            <w:r>
              <w:rPr>
                <w:rFonts w:ascii="arial" w:hAnsi="arial"/>
                <w:b/>
                <w:color w:val="00AE4F"/>
                <w:sz w:val="72"/>
              </w:rPr>
              <w:t>1</w:t>
            </w:r>
          </w:p>
        </w:tc>
        <w:tc>
          <w:tcPr>
            <w:tcW w:w="60" w:type="dxa"/>
            <w:tcBorders/>
            <w:shd w:fill="EAEAE9" w:val="clear"/>
            <w:vAlign w:val="center"/>
          </w:tcPr>
          <w:p>
            <w:pPr>
              <w:pStyle w:val="TableContents"/>
              <w:bidi w:val="0"/>
              <w:spacing w:before="0" w:after="283"/>
              <w:jc w:val="left"/>
              <w:rPr/>
            </w:pPr>
            <w:r>
              <w:rPr/>
              <w:t> </w:t>
            </w:r>
          </w:p>
        </w:tc>
        <w:tc>
          <w:tcPr>
            <w:tcW w:w="7615" w:type="dxa"/>
            <w:tcBorders/>
            <w:shd w:fill="EAEAE9" w:val="clear"/>
            <w:vAlign w:val="center"/>
          </w:tcPr>
          <w:p>
            <w:pPr>
              <w:pStyle w:val="TableContents"/>
              <w:bidi w:val="0"/>
              <w:spacing w:before="0" w:after="0"/>
              <w:jc w:val="left"/>
              <w:rPr>
                <w:rFonts w:ascii="arial" w:hAnsi="arial"/>
                <w:b/>
                <w:color w:val="00AE4F"/>
                <w:sz w:val="72"/>
              </w:rPr>
            </w:pPr>
            <w:r>
              <w:rPr>
                <w:rFonts w:ascii="arial" w:hAnsi="arial"/>
                <w:b/>
                <w:color w:val="00AE4F"/>
                <w:sz w:val="72"/>
              </w:rPr>
              <w:t>2</w:t>
            </w:r>
          </w:p>
        </w:tc>
      </w:tr>
      <w:tr>
        <w:trPr/>
        <w:tc>
          <w:tcPr>
            <w:tcW w:w="2530" w:type="dxa"/>
            <w:tcBorders>
              <w:right w:val="single" w:sz="72" w:space="0" w:color="FFFFFF"/>
            </w:tcBorders>
            <w:shd w:fill="EAEAE9" w:val="clear"/>
            <w:tcMar>
              <w:right w:w="28" w:type="dxa"/>
            </w:tcMar>
            <w:vAlign w:val="center"/>
          </w:tcPr>
          <w:p>
            <w:pPr>
              <w:pStyle w:val="TableContents"/>
              <w:bidi w:val="0"/>
              <w:spacing w:before="0" w:after="0"/>
              <w:jc w:val="left"/>
              <w:rPr>
                <w:rFonts w:ascii="arial" w:hAnsi="arial"/>
                <w:b/>
                <w:sz w:val="24"/>
              </w:rPr>
            </w:pPr>
            <w:r>
              <w:rPr>
                <w:rFonts w:ascii="arial" w:hAnsi="arial"/>
                <w:b/>
                <w:sz w:val="24"/>
              </w:rPr>
              <w:t>Process is Initiated</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Committee Chair initiates annual evaluation process with the help of independent external advisor and the Corporate Secretary.</w:t>
            </w:r>
          </w:p>
        </w:tc>
        <w:tc>
          <w:tcPr>
            <w:tcW w:w="60" w:type="dxa"/>
            <w:tcBorders/>
            <w:shd w:fill="EAEAE9" w:val="clear"/>
            <w:vAlign w:val="center"/>
          </w:tcPr>
          <w:p>
            <w:pPr>
              <w:pStyle w:val="TableContents"/>
              <w:bidi w:val="0"/>
              <w:spacing w:before="0" w:after="283"/>
              <w:jc w:val="left"/>
              <w:rPr/>
            </w:pPr>
            <w:r>
              <w:rPr/>
              <w:t> </w:t>
            </w:r>
          </w:p>
        </w:tc>
        <w:tc>
          <w:tcPr>
            <w:tcW w:w="7615" w:type="dxa"/>
            <w:tcBorders/>
            <w:shd w:fill="EAEAE9" w:val="clear"/>
            <w:vAlign w:val="center"/>
          </w:tcPr>
          <w:p>
            <w:pPr>
              <w:pStyle w:val="TableContents"/>
              <w:bidi w:val="0"/>
              <w:spacing w:before="0" w:after="0"/>
              <w:jc w:val="left"/>
              <w:rPr>
                <w:rFonts w:ascii="arial" w:hAnsi="arial"/>
                <w:b/>
                <w:sz w:val="24"/>
              </w:rPr>
            </w:pPr>
            <w:r>
              <w:rPr>
                <w:rFonts w:ascii="arial" w:hAnsi="arial"/>
                <w:b/>
                <w:sz w:val="24"/>
              </w:rPr>
              <w:t>Evaluation</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Each director completes an online questionnaire, as distributed by the external advisor, that solicits their opinions regarding the effectiveness of the Board and each committee on which they serve. The external advisor may have follow-up questions for a director, depending upon the responses provided in the questionnaire. The process for obtaining feedback on individual director performance occurs during candid one-on-one interviews between each director and the external advisor, typically in alternating years.</w:t>
            </w:r>
          </w:p>
        </w:tc>
      </w:tr>
      <w:tr>
        <w:trPr/>
        <w:tc>
          <w:tcPr>
            <w:tcW w:w="2530" w:type="dxa"/>
            <w:tcBorders>
              <w:right w:val="single" w:sz="72" w:space="0" w:color="FFFFFF"/>
            </w:tcBorders>
            <w:shd w:fill="EAEAE9" w:val="clear"/>
            <w:tcMar>
              <w:right w:w="28" w:type="dxa"/>
            </w:tcMar>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pPr>
            <w:r>
              <w:rPr/>
              <w:t> </w:t>
            </w:r>
          </w:p>
        </w:tc>
        <w:tc>
          <w:tcPr>
            <w:tcW w:w="7615" w:type="dxa"/>
            <w:tcBorders/>
            <w:shd w:fill="EAEAE9"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93"/>
        <w:gridCol w:w="60"/>
        <w:gridCol w:w="3523"/>
        <w:gridCol w:w="60"/>
        <w:gridCol w:w="3069"/>
      </w:tblGrid>
      <w:tr>
        <w:trPr/>
        <w:tc>
          <w:tcPr>
            <w:tcW w:w="34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9" w:type="dxa"/>
            <w:tcBorders/>
            <w:vAlign w:val="center"/>
          </w:tcPr>
          <w:p>
            <w:pPr>
              <w:pStyle w:val="TableContents"/>
              <w:bidi w:val="0"/>
              <w:spacing w:before="0" w:after="283"/>
              <w:jc w:val="left"/>
              <w:rPr>
                <w:sz w:val="4"/>
                <w:szCs w:val="4"/>
              </w:rPr>
            </w:pPr>
            <w:r>
              <w:rPr>
                <w:sz w:val="4"/>
                <w:szCs w:val="4"/>
              </w:rPr>
            </w:r>
          </w:p>
        </w:tc>
      </w:tr>
      <w:tr>
        <w:trPr/>
        <w:tc>
          <w:tcPr>
            <w:tcW w:w="3493" w:type="dxa"/>
            <w:tcBorders>
              <w:right w:val="single" w:sz="72" w:space="0" w:color="FFFFFF"/>
            </w:tcBorders>
            <w:shd w:fill="EAEAE9" w:val="clear"/>
            <w:tcMar>
              <w:right w:w="28" w:type="dxa"/>
            </w:tcMar>
            <w:vAlign w:val="center"/>
          </w:tcPr>
          <w:p>
            <w:pPr>
              <w:pStyle w:val="TableContents"/>
              <w:bidi w:val="0"/>
              <w:spacing w:before="0" w:after="0"/>
              <w:jc w:val="left"/>
              <w:rPr>
                <w:rFonts w:ascii="arial" w:hAnsi="arial"/>
                <w:b/>
                <w:color w:val="00AE4F"/>
                <w:sz w:val="72"/>
              </w:rPr>
            </w:pPr>
            <w:r>
              <w:rPr>
                <w:rFonts w:ascii="arial" w:hAnsi="arial"/>
                <w:b/>
                <w:color w:val="00AE4F"/>
                <w:sz w:val="72"/>
              </w:rPr>
              <w:t>3</w:t>
            </w:r>
          </w:p>
        </w:tc>
        <w:tc>
          <w:tcPr>
            <w:tcW w:w="60" w:type="dxa"/>
            <w:tcBorders/>
            <w:shd w:fill="EAEAE9" w:val="clear"/>
            <w:vAlign w:val="center"/>
          </w:tcPr>
          <w:p>
            <w:pPr>
              <w:pStyle w:val="TableContents"/>
              <w:bidi w:val="0"/>
              <w:spacing w:before="0" w:after="283"/>
              <w:jc w:val="left"/>
              <w:rPr/>
            </w:pPr>
            <w:r>
              <w:rPr/>
              <w:t> </w:t>
            </w:r>
          </w:p>
        </w:tc>
        <w:tc>
          <w:tcPr>
            <w:tcW w:w="3523" w:type="dxa"/>
            <w:tcBorders/>
            <w:shd w:fill="EAEAE9" w:val="clear"/>
            <w:vAlign w:val="center"/>
          </w:tcPr>
          <w:p>
            <w:pPr>
              <w:pStyle w:val="TableContents"/>
              <w:bidi w:val="0"/>
              <w:spacing w:before="0" w:after="0"/>
              <w:jc w:val="left"/>
              <w:rPr>
                <w:rFonts w:ascii="arial" w:hAnsi="arial"/>
                <w:b/>
                <w:color w:val="00AE4F"/>
                <w:sz w:val="72"/>
              </w:rPr>
            </w:pPr>
            <w:r>
              <w:rPr>
                <w:rFonts w:ascii="arial" w:hAnsi="arial"/>
                <w:b/>
                <w:color w:val="00AE4F"/>
                <w:sz w:val="72"/>
              </w:rPr>
              <w:t>4</w:t>
            </w:r>
          </w:p>
        </w:tc>
        <w:tc>
          <w:tcPr>
            <w:tcW w:w="60" w:type="dxa"/>
            <w:tcBorders>
              <w:left w:val="single" w:sz="72" w:space="0" w:color="FFFFFF"/>
            </w:tcBorders>
            <w:shd w:fill="EAEAE9" w:val="clear"/>
            <w:tcMar>
              <w:left w:w="28" w:type="dxa"/>
            </w:tcMar>
            <w:vAlign w:val="center"/>
          </w:tcPr>
          <w:p>
            <w:pPr>
              <w:pStyle w:val="TableContents"/>
              <w:bidi w:val="0"/>
              <w:spacing w:before="0" w:after="283"/>
              <w:jc w:val="left"/>
              <w:rPr/>
            </w:pPr>
            <w:r>
              <w:rPr/>
              <w:t> </w:t>
            </w:r>
          </w:p>
        </w:tc>
        <w:tc>
          <w:tcPr>
            <w:tcW w:w="3069" w:type="dxa"/>
            <w:tcBorders/>
            <w:shd w:fill="EAEAE9" w:val="clear"/>
            <w:vAlign w:val="center"/>
          </w:tcPr>
          <w:p>
            <w:pPr>
              <w:pStyle w:val="TableContents"/>
              <w:bidi w:val="0"/>
              <w:spacing w:before="0" w:after="0"/>
              <w:jc w:val="left"/>
              <w:rPr>
                <w:rFonts w:ascii="arial" w:hAnsi="arial"/>
                <w:b/>
                <w:color w:val="00AE4F"/>
                <w:sz w:val="72"/>
              </w:rPr>
            </w:pPr>
            <w:r>
              <w:rPr>
                <w:rFonts w:ascii="arial" w:hAnsi="arial"/>
                <w:b/>
                <w:color w:val="00AE4F"/>
                <w:sz w:val="72"/>
              </w:rPr>
              <w:t>5</w:t>
            </w:r>
          </w:p>
        </w:tc>
      </w:tr>
      <w:tr>
        <w:trPr/>
        <w:tc>
          <w:tcPr>
            <w:tcW w:w="3493" w:type="dxa"/>
            <w:tcBorders>
              <w:right w:val="single" w:sz="72" w:space="0" w:color="FFFFFF"/>
            </w:tcBorders>
            <w:shd w:fill="EAEAE9" w:val="clear"/>
            <w:tcMar>
              <w:right w:w="28" w:type="dxa"/>
            </w:tcMar>
            <w:vAlign w:val="center"/>
          </w:tcPr>
          <w:p>
            <w:pPr>
              <w:pStyle w:val="TableContents"/>
              <w:bidi w:val="0"/>
              <w:spacing w:before="0" w:after="0"/>
              <w:jc w:val="left"/>
              <w:rPr>
                <w:rFonts w:ascii="arial" w:hAnsi="arial"/>
                <w:b/>
                <w:sz w:val="24"/>
              </w:rPr>
            </w:pPr>
            <w:r>
              <w:rPr>
                <w:rFonts w:ascii="arial" w:hAnsi="arial"/>
                <w:b/>
                <w:sz w:val="24"/>
              </w:rPr>
              <w:t>Feedback Analysis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external advisor aggregates online evaluation results and comments from any oral interviews with directors regarding the full Board, any committee on which the director serves, and peer feedback. Results are compiled on an unattributed basis and analyzed for any trends, including areas of strength or those that need improvement. The external advisor shares results with the Corporate Governance and Nominating Committee Chair.</w:t>
            </w:r>
          </w:p>
        </w:tc>
        <w:tc>
          <w:tcPr>
            <w:tcW w:w="60" w:type="dxa"/>
            <w:tcBorders/>
            <w:shd w:fill="EAEAE9" w:val="clear"/>
            <w:vAlign w:val="center"/>
          </w:tcPr>
          <w:p>
            <w:pPr>
              <w:pStyle w:val="TableContents"/>
              <w:bidi w:val="0"/>
              <w:spacing w:before="0" w:after="283"/>
              <w:jc w:val="left"/>
              <w:rPr/>
            </w:pPr>
            <w:r>
              <w:rPr/>
              <w:t> </w:t>
            </w:r>
          </w:p>
        </w:tc>
        <w:tc>
          <w:tcPr>
            <w:tcW w:w="3523" w:type="dxa"/>
            <w:tcBorders/>
            <w:shd w:fill="EAEAE9" w:val="clear"/>
            <w:vAlign w:val="center"/>
          </w:tcPr>
          <w:p>
            <w:pPr>
              <w:pStyle w:val="TableContents"/>
              <w:bidi w:val="0"/>
              <w:spacing w:before="0" w:after="0"/>
              <w:jc w:val="left"/>
              <w:rPr>
                <w:rFonts w:ascii="arial" w:hAnsi="arial"/>
                <w:b/>
                <w:sz w:val="24"/>
              </w:rPr>
            </w:pPr>
            <w:r>
              <w:rPr>
                <w:rFonts w:ascii="arial" w:hAnsi="arial"/>
                <w:b/>
                <w:sz w:val="24"/>
              </w:rPr>
              <w:t>Review and</w:t>
              <w:br/>
              <w:t>Present Findings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Corporate Governance and Nominating Committee Chair presents the findings to the full Board and each specific committee. Separately, each committee chair leads a discussion with their respective committees on the applicable committee evaluation results and reports on their discussion to the Board.</w:t>
            </w:r>
          </w:p>
        </w:tc>
        <w:tc>
          <w:tcPr>
            <w:tcW w:w="60" w:type="dxa"/>
            <w:tcBorders>
              <w:left w:val="single" w:sz="72" w:space="0" w:color="FFFFFF"/>
            </w:tcBorders>
            <w:shd w:fill="EAEAE9" w:val="clear"/>
            <w:tcMar>
              <w:left w:w="28" w:type="dxa"/>
            </w:tcMar>
            <w:vAlign w:val="center"/>
          </w:tcPr>
          <w:p>
            <w:pPr>
              <w:pStyle w:val="TableContents"/>
              <w:bidi w:val="0"/>
              <w:spacing w:before="0" w:after="283"/>
              <w:jc w:val="left"/>
              <w:rPr/>
            </w:pPr>
            <w:r>
              <w:rPr/>
              <w:t> </w:t>
            </w:r>
          </w:p>
        </w:tc>
        <w:tc>
          <w:tcPr>
            <w:tcW w:w="3069" w:type="dxa"/>
            <w:tcBorders/>
            <w:shd w:fill="EAEAE9" w:val="clear"/>
            <w:vAlign w:val="center"/>
          </w:tcPr>
          <w:p>
            <w:pPr>
              <w:pStyle w:val="TableContents"/>
              <w:bidi w:val="0"/>
              <w:spacing w:before="0" w:after="0"/>
              <w:jc w:val="left"/>
              <w:rPr>
                <w:rFonts w:ascii="arial" w:hAnsi="arial"/>
                <w:b/>
                <w:sz w:val="24"/>
              </w:rPr>
            </w:pPr>
            <w:r>
              <w:rPr>
                <w:rFonts w:ascii="arial" w:hAnsi="arial"/>
                <w:b/>
                <w:sz w:val="24"/>
              </w:rPr>
              <w:t>Follow Up</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Based on evaluation findings, the Board and each committee prepare action plans that prioritize areas that require additional consideration. These areas are addressed at subsequent Board and committee meetings and reported back to the full Board where appropriate. The Board and committees regularly monitor the progress of any agreed-upon actions.</w:t>
            </w:r>
          </w:p>
        </w:tc>
      </w:tr>
      <w:tr>
        <w:trPr/>
        <w:tc>
          <w:tcPr>
            <w:tcW w:w="3493" w:type="dxa"/>
            <w:tcBorders>
              <w:right w:val="single" w:sz="72" w:space="0" w:color="FFFFFF"/>
            </w:tcBorders>
            <w:shd w:fill="EAEAE9" w:val="clear"/>
            <w:tcMar>
              <w:right w:w="28" w:type="dxa"/>
            </w:tcMar>
            <w:vAlign w:val="center"/>
          </w:tcPr>
          <w:p>
            <w:pPr>
              <w:pStyle w:val="TableContents"/>
              <w:bidi w:val="0"/>
              <w:spacing w:before="0" w:after="283"/>
              <w:jc w:val="left"/>
              <w:rPr/>
            </w:pPr>
            <w:r>
              <w:rPr/>
              <w:t> </w:t>
            </w:r>
          </w:p>
        </w:tc>
        <w:tc>
          <w:tcPr>
            <w:tcW w:w="60" w:type="dxa"/>
            <w:tcBorders/>
            <w:shd w:fill="EAEAE9" w:val="clear"/>
            <w:vAlign w:val="center"/>
          </w:tcPr>
          <w:p>
            <w:pPr>
              <w:pStyle w:val="TableContents"/>
              <w:bidi w:val="0"/>
              <w:spacing w:before="0" w:after="283"/>
              <w:jc w:val="left"/>
              <w:rPr/>
            </w:pPr>
            <w:r>
              <w:rPr/>
              <w:t> </w:t>
            </w:r>
          </w:p>
        </w:tc>
        <w:tc>
          <w:tcPr>
            <w:tcW w:w="3523" w:type="dxa"/>
            <w:tcBorders/>
            <w:shd w:fill="EAEAE9" w:val="clear"/>
            <w:vAlign w:val="center"/>
          </w:tcPr>
          <w:p>
            <w:pPr>
              <w:pStyle w:val="TableContents"/>
              <w:bidi w:val="0"/>
              <w:spacing w:before="0" w:after="283"/>
              <w:jc w:val="left"/>
              <w:rPr>
                <w:sz w:val="4"/>
                <w:szCs w:val="4"/>
              </w:rPr>
            </w:pPr>
            <w:r>
              <w:rPr>
                <w:sz w:val="4"/>
                <w:szCs w:val="4"/>
              </w:rPr>
            </w:r>
          </w:p>
        </w:tc>
        <w:tc>
          <w:tcPr>
            <w:tcW w:w="60" w:type="dxa"/>
            <w:tcBorders>
              <w:left w:val="single" w:sz="72" w:space="0" w:color="FFFFFF"/>
            </w:tcBorders>
            <w:shd w:fill="EAEAE9" w:val="clear"/>
            <w:tcMar>
              <w:left w:w="28" w:type="dxa"/>
            </w:tcMar>
            <w:vAlign w:val="center"/>
          </w:tcPr>
          <w:p>
            <w:pPr>
              <w:pStyle w:val="TableContents"/>
              <w:bidi w:val="0"/>
              <w:spacing w:before="0" w:after="283"/>
              <w:jc w:val="left"/>
              <w:rPr/>
            </w:pPr>
            <w:r>
              <w:rPr/>
              <w:t> </w:t>
            </w:r>
          </w:p>
        </w:tc>
        <w:tc>
          <w:tcPr>
            <w:tcW w:w="3069" w:type="dxa"/>
            <w:tcBorders/>
            <w:shd w:fill="EAEAE9" w:val="cle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sz w:val="18"/>
        </w:rPr>
      </w:pPr>
      <w:r>
        <w:rPr>
          <w:rFonts w:ascii="arial" w:hAnsi="arial"/>
          <w:sz w:val="18"/>
        </w:rPr>
        <w:t xml:space="preserve">In addition to the annual formal evaluation, our Chairman, CEO, Corporate Secretary, and Committee Chairs routinely communicate with directors to obtain real-time feedback. The Board believes that this continuous feedback, along with the formal evaluation process, contributes to its overall strength and ongoing effectiveness. </w:t>
      </w:r>
    </w:p>
    <w:p>
      <w:pPr>
        <w:pStyle w:val="TextBody"/>
        <w:bidi w:val="0"/>
        <w:spacing w:before="240" w:after="0"/>
        <w:jc w:val="left"/>
        <w:rPr>
          <w:rFonts w:ascii="arial" w:hAnsi="arial"/>
          <w:sz w:val="18"/>
        </w:rPr>
      </w:pPr>
      <w:r>
        <w:rPr>
          <w:rFonts w:ascii="arial" w:hAnsi="arial"/>
          <w:sz w:val="18"/>
        </w:rPr>
        <w:t xml:space="preserve">The following actions have been taken by Kelly’s Board and its committees in response to the evaluation process over the years: </w:t>
      </w:r>
    </w:p>
    <w:p>
      <w:pPr>
        <w:pStyle w:val="TextBody"/>
        <w:bidi w:val="0"/>
        <w:spacing w:before="0" w:after="0"/>
        <w:jc w:val="left"/>
        <w:rPr/>
      </w:pPr>
      <w:r>
        <w:rPr/>
        <w:t> </w:t>
      </w:r>
    </w:p>
    <w:tbl>
      <w:tblPr>
        <w:tblW w:w="7375" w:type="dxa"/>
        <w:jc w:val="left"/>
        <w:tblInd w:w="0" w:type="dxa"/>
        <w:tblLayout w:type="fixed"/>
        <w:tblCellMar>
          <w:top w:w="0" w:type="dxa"/>
          <w:left w:w="0" w:type="dxa"/>
          <w:bottom w:w="0" w:type="dxa"/>
          <w:right w:w="0" w:type="dxa"/>
        </w:tblCellMar>
      </w:tblPr>
      <w:tblGrid>
        <w:gridCol w:w="185"/>
        <w:gridCol w:w="60"/>
        <w:gridCol w:w="713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0"/>
              <w:jc w:val="left"/>
              <w:rPr>
                <w:rFonts w:ascii="arial" w:hAnsi="arial"/>
                <w:sz w:val="18"/>
              </w:rPr>
            </w:pPr>
            <w:r>
              <w:rPr>
                <w:rFonts w:ascii="arial" w:hAnsi="arial"/>
                <w:sz w:val="18"/>
              </w:rPr>
              <w:t xml:space="preserve">management with varying degrees of seniority present to the Board and its committees;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director education and presentations on emerging risk areas including artificial intelligence, corporate governance, industry disruptors, and competitors;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format of Board meetings was enhanced to allow more time for formal and informal discussions among independent directors; </w:t>
            </w:r>
          </w:p>
        </w:tc>
      </w:tr>
    </w:tbl>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185"/>
        <w:gridCol w:w="60"/>
        <w:gridCol w:w="6905"/>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left"/>
              <w:rPr>
                <w:rFonts w:ascii="arial" w:hAnsi="arial"/>
                <w:sz w:val="18"/>
              </w:rPr>
            </w:pPr>
            <w:r>
              <w:rPr>
                <w:rFonts w:ascii="arial" w:hAnsi="arial"/>
                <w:sz w:val="18"/>
              </w:rPr>
              <w:t xml:space="preserve">increased opportunities for informal meetings between directors and key executives; </w:t>
            </w:r>
          </w:p>
        </w:tc>
      </w:tr>
    </w:tbl>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185"/>
        <w:gridCol w:w="60"/>
        <w:gridCol w:w="4625"/>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0"/>
              <w:jc w:val="left"/>
              <w:rPr>
                <w:rFonts w:ascii="arial" w:hAnsi="arial"/>
                <w:sz w:val="18"/>
              </w:rPr>
            </w:pPr>
            <w:r>
              <w:rPr>
                <w:rFonts w:ascii="arial" w:hAnsi="arial"/>
                <w:sz w:val="18"/>
              </w:rPr>
              <w:t xml:space="preserve">increased time for informal director-only gatherings; and </w:t>
            </w:r>
          </w:p>
        </w:tc>
      </w:tr>
    </w:tbl>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185"/>
        <w:gridCol w:w="60"/>
        <w:gridCol w:w="8285"/>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8285" w:type="dxa"/>
            <w:tcBorders/>
            <w:vAlign w:val="center"/>
          </w:tcPr>
          <w:p>
            <w:pPr>
              <w:pStyle w:val="TableContents"/>
              <w:bidi w:val="0"/>
              <w:spacing w:before="0" w:after="0"/>
              <w:jc w:val="left"/>
              <w:rPr>
                <w:rFonts w:ascii="arial" w:hAnsi="arial"/>
                <w:sz w:val="18"/>
              </w:rPr>
            </w:pPr>
            <w:r>
              <w:rPr>
                <w:rFonts w:ascii="arial" w:hAnsi="arial"/>
                <w:sz w:val="18"/>
              </w:rPr>
              <w:t xml:space="preserve">Board members added expertise in areas critical to the Company’s business strategy and operations. </w:t>
            </w:r>
          </w:p>
        </w:tc>
      </w:tr>
    </w:tbl>
    <w:p>
      <w:pPr>
        <w:pStyle w:val="TextBody"/>
        <w:bidi w:val="0"/>
        <w:spacing w:before="0" w:after="0"/>
        <w:jc w:val="left"/>
        <w:rPr/>
      </w:pPr>
      <w:r>
        <w:rPr/>
        <w:t> </w:t>
      </w:r>
    </w:p>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168"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52" descr=""/>
                          <pic:cNvPicPr>
                            <a:picLocks noChangeAspect="1" noChangeArrowheads="1"/>
                          </pic:cNvPicPr>
                        </pic:nvPicPr>
                        <pic:blipFill>
                          <a:blip r:embed="rId159"/>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Corporate Governance </w:t>
      </w:r>
    </w:p>
    <w:p>
      <w:pPr>
        <w:pStyle w:val="TextBody"/>
        <w:bidi w:val="0"/>
        <w:spacing w:before="0" w:after="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24"/>
        </w:rPr>
      </w:pPr>
      <w:r>
        <w:rPr>
          <w:rFonts w:ascii="arial" w:hAnsi="arial"/>
          <w:b/>
          <w:sz w:val="24"/>
        </w:rPr>
        <w:t xml:space="preserve">Insider Trading Policy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0" w:after="0"/>
        <w:jc w:val="left"/>
        <w:rPr>
          <w:rFonts w:ascii="arial" w:hAnsi="arial"/>
          <w:sz w:val="18"/>
        </w:rPr>
      </w:pPr>
      <w:r>
        <w:rPr>
          <w:rFonts w:ascii="arial" w:hAnsi="arial"/>
          <w:sz w:val="18"/>
        </w:rPr>
        <w:t xml:space="preserve">The Company has an insider trading policy governing the purchase, sale and other dispositions of the Company’s securities that applies to all Company personnel, including directors, officers, employees, and other covered persons. The Company also follows procedures for the repurchase of its securities. The Company believes that its insider trading policy and repurchase procedures are reasonably designed to promote compliance with insider trading laws, rules and regulations, and listing standards applicable to the Company. A copy of the Company’s insider trading policy is filed as Exhibit 19 to the Company’s Annual Report on Form </w:t>
      </w:r>
    </w:p>
    <w:p>
      <w:pPr>
        <w:pStyle w:val="TextBody"/>
        <w:bidi w:val="0"/>
        <w:spacing w:before="80" w:after="0"/>
        <w:jc w:val="left"/>
        <w:rPr>
          <w:rFonts w:ascii="arial" w:hAnsi="arial"/>
          <w:spacing w:val="0"/>
          <w:sz w:val="18"/>
        </w:rPr>
      </w:pPr>
      <w:r>
        <w:rPr>
          <w:rFonts w:ascii="arial" w:hAnsi="arial"/>
          <w:spacing w:val="0"/>
          <w:sz w:val="18"/>
        </w:rPr>
        <w:t>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arial" w:hAnsi="arial"/>
          <w:b/>
          <w:sz w:val="24"/>
        </w:rPr>
      </w:pPr>
      <w:r>
        <w:rPr>
          <w:rFonts w:ascii="arial" w:hAnsi="arial"/>
          <w:b/>
          <w:sz w:val="24"/>
        </w:rPr>
        <w:t xml:space="preserve">Code of Business Conduct and Ethics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0" w:after="0"/>
        <w:jc w:val="left"/>
        <w:rPr>
          <w:rFonts w:ascii="arial" w:hAnsi="arial"/>
          <w:sz w:val="18"/>
        </w:rPr>
      </w:pPr>
      <w:r>
        <w:rPr>
          <w:rFonts w:ascii="arial" w:hAnsi="arial"/>
          <w:sz w:val="18"/>
        </w:rPr>
        <w:t xml:space="preserve">The Board is committed to the highest legal and ethical standards and adopted a Code of Business Conduct and Ethics (the “Code of Conduct”) that applies to all directors, officers, and employees. Each year the Company performs a thorough assessment and benchmarking of the Code of Conduct to ensure regulatory compliance and cultural alignment. The Code of Conduct forms the foundation for compliance with corporate policies and procedures and helps individuals recognize and deal with ethical issues, deter wrongdoing, provide mechanisms to report any concerns, promote honest and ethical conduct, provide full, fair, and timely disclosure, comply with applicable law and regulations, and help foster a culture of honesty and accountability. The Code of Conduct addresses conflicts of interest; anti-bribery/anti-corruption; trade compliance; insider trading; corporate opportunities; confidentiality and privacy; external communications; financial reporting and record-keeping; protection and proper use of assets; fair dealing; contract management; acceptable behavior in the workplace; global culture of belonging; corporate sustainability; compliance with laws, rules and regulations; risk tolerance; anti-human trafficking and slavery; health &amp; safety and workplace violence; seeking advice and reporting concerns; outside activities; political contributions; public company reporting requirements; and other policies. The Code of Conduct includes an enforcement mechanism. Each of the Company’s Board members, officers, and employees is required to acknowledge their acceptance of the Code of Conduct. </w:t>
      </w:r>
    </w:p>
    <w:p>
      <w:pPr>
        <w:pStyle w:val="TextBody"/>
        <w:bidi w:val="0"/>
        <w:spacing w:before="80" w:after="0"/>
        <w:jc w:val="left"/>
        <w:rPr>
          <w:rFonts w:ascii="arial" w:hAnsi="arial"/>
          <w:sz w:val="18"/>
        </w:rPr>
      </w:pPr>
      <w:r>
        <w:rPr>
          <w:rFonts w:ascii="arial" w:hAnsi="arial"/>
          <w:sz w:val="18"/>
        </w:rPr>
        <w:t xml:space="preserve">The full text of the Code of Conduct is on the Company’s website at </w:t>
      </w:r>
    </w:p>
    <w:p>
      <w:pPr>
        <w:pStyle w:val="TextBody"/>
        <w:bidi w:val="0"/>
        <w:spacing w:before="80" w:after="0"/>
        <w:jc w:val="left"/>
        <w:rPr>
          <w:rFonts w:ascii="arial" w:hAnsi="arial"/>
          <w:i/>
          <w:caps w:val="false"/>
          <w:smallCaps w:val="false"/>
          <w:spacing w:val="0"/>
          <w:sz w:val="18"/>
        </w:rPr>
      </w:pPr>
      <w:r>
        <w:rPr>
          <w:rFonts w:ascii="arial" w:hAnsi="arial"/>
          <w:i/>
          <w:caps w:val="false"/>
          <w:smallCaps w:val="false"/>
          <w:spacing w:val="0"/>
          <w:sz w:val="18"/>
        </w:rPr>
        <w:t>kellyservices.com</w:t>
      </w:r>
    </w:p>
    <w:p>
      <w:pPr>
        <w:pStyle w:val="TextBody"/>
        <w:bidi w:val="0"/>
        <w:spacing w:before="80" w:after="0"/>
        <w:jc w:val="left"/>
        <w:rPr>
          <w:rFonts w:ascii="arial" w:hAnsi="arial"/>
          <w:sz w:val="18"/>
        </w:rPr>
      </w:pPr>
      <w:r>
        <w:rPr>
          <w:rFonts w:ascii="arial" w:hAnsi="arial"/>
          <w:sz w:val="18"/>
        </w:rPr>
        <w:t xml:space="preserve">. This information is also available to any shareholder who requests it from the Company’s Investor Relations department. The Company will disclose future amendments to the Code of Conduct and material waivers of its provisions for its directors and executive officers on its website and/or by filing a current report on Form </w:t>
      </w:r>
    </w:p>
    <w:p>
      <w:pPr>
        <w:pStyle w:val="TextBody"/>
        <w:bidi w:val="0"/>
        <w:spacing w:before="80" w:after="0"/>
        <w:jc w:val="left"/>
        <w:rPr>
          <w:rFonts w:ascii="arial" w:hAnsi="arial"/>
          <w:spacing w:val="0"/>
          <w:sz w:val="18"/>
        </w:rPr>
      </w:pPr>
      <w:r>
        <w:rPr>
          <w:rFonts w:ascii="arial" w:hAnsi="arial"/>
          <w:spacing w:val="0"/>
          <w:sz w:val="18"/>
        </w:rPr>
        <w:t>8-K</w:t>
      </w:r>
    </w:p>
    <w:p>
      <w:pPr>
        <w:pStyle w:val="TextBody"/>
        <w:bidi w:val="0"/>
        <w:spacing w:before="80" w:after="0"/>
        <w:jc w:val="left"/>
        <w:rPr>
          <w:rFonts w:ascii="arial" w:hAnsi="arial"/>
          <w:sz w:val="18"/>
        </w:rPr>
      </w:pPr>
      <w:r>
        <w:rPr>
          <w:rFonts w:ascii="arial" w:hAnsi="arial"/>
          <w:sz w:val="18"/>
        </w:rPr>
        <w:t xml:space="preserve">within four business days following the date of amendment or waiver, or such earlier period as may be prescribed by Nasdaq or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arial" w:hAnsi="arial"/>
          <w:b/>
          <w:sz w:val="24"/>
        </w:rPr>
      </w:pPr>
      <w:r>
        <w:rPr>
          <w:rFonts w:ascii="arial" w:hAnsi="arial"/>
          <w:b/>
          <w:sz w:val="24"/>
        </w:rPr>
        <w:t xml:space="preserve">Related Person Transactions and Certain Relationships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0" w:after="0"/>
        <w:jc w:val="left"/>
        <w:rPr>
          <w:rFonts w:ascii="arial" w:hAnsi="arial"/>
          <w:sz w:val="18"/>
        </w:rPr>
      </w:pPr>
      <w:r>
        <w:rPr>
          <w:rFonts w:ascii="arial" w:hAnsi="arial"/>
          <w:sz w:val="18"/>
        </w:rPr>
        <w:t xml:space="preserve">Pursuant to the Company’s Code of Conduct, any situation that involves, or may reasonably be expected to involve, a conflict of interest with the Company must be disclosed immediately to the Vice President of Internal Audit or the General Counsel. In addition, directors, executives, and other senior officers must complete a quarterly questionnaire that solicits information regarding any transactions or relationships between themselves, or their immediate family members, and the Company of the types described in Item 404(a) of SEC Regulation </w:t>
      </w:r>
    </w:p>
    <w:p>
      <w:pPr>
        <w:pStyle w:val="TextBody"/>
        <w:bidi w:val="0"/>
        <w:spacing w:before="80" w:after="0"/>
        <w:jc w:val="left"/>
        <w:rPr>
          <w:rFonts w:ascii="arial" w:hAnsi="arial"/>
          <w:spacing w:val="0"/>
          <w:sz w:val="18"/>
        </w:rPr>
      </w:pPr>
      <w:r>
        <w:rPr>
          <w:rFonts w:ascii="arial" w:hAnsi="arial"/>
          <w:spacing w:val="0"/>
          <w:sz w:val="18"/>
        </w:rPr>
        <w:t>S-K</w:t>
      </w:r>
    </w:p>
    <w:p>
      <w:pPr>
        <w:pStyle w:val="TextBody"/>
        <w:bidi w:val="0"/>
        <w:spacing w:before="80" w:after="0"/>
        <w:jc w:val="left"/>
        <w:rPr>
          <w:rFonts w:ascii="arial" w:hAnsi="arial"/>
          <w:sz w:val="18"/>
        </w:rPr>
      </w:pPr>
      <w:r>
        <w:rPr>
          <w:rFonts w:ascii="arial" w:hAnsi="arial"/>
          <w:sz w:val="18"/>
        </w:rPr>
        <w:t xml:space="preserve">(“Related Party Transactions”). Directors, executives, and senior officers must seek a determination and obtain prior authorization or approval of any potential conflict of interest (including any Related Party Transaction) from the independent Audit Committee. The Audit Committee, according to its charter, is tasked, among other things, with the responsibility to review Related Party Transactions and other potential conflicts of interest involving directors and executive and senior officers. The Company maintains a formal written policy addressing the reporting, review, and approval or ratification of transactions with related persons. </w:t>
      </w:r>
    </w:p>
    <w:p>
      <w:pPr>
        <w:pStyle w:val="TextBody"/>
        <w:bidi w:val="0"/>
        <w:spacing w:before="120" w:after="0"/>
        <w:jc w:val="left"/>
        <w:rPr>
          <w:rFonts w:ascii="arial" w:hAnsi="arial"/>
          <w:i/>
          <w:caps w:val="false"/>
          <w:smallCaps w:val="false"/>
          <w:spacing w:val="0"/>
          <w:sz w:val="18"/>
        </w:rPr>
      </w:pPr>
      <w:r>
        <w:rPr>
          <w:rFonts w:ascii="arial" w:hAnsi="arial"/>
          <w:i/>
          <w:caps w:val="false"/>
          <w:smallCaps w:val="false"/>
          <w:spacing w:val="0"/>
          <w:sz w:val="18"/>
        </w:rPr>
        <w:t>Arrangements with Controlling Stockholder.</w:t>
      </w:r>
    </w:p>
    <w:p>
      <w:pPr>
        <w:pStyle w:val="TextBody"/>
        <w:bidi w:val="0"/>
        <w:spacing w:before="120" w:after="0"/>
        <w:jc w:val="left"/>
        <w:rPr>
          <w:rFonts w:ascii="arial" w:hAnsi="arial"/>
          <w:sz w:val="18"/>
        </w:rPr>
      </w:pPr>
      <w:r>
        <w:rPr>
          <w:rFonts w:ascii="arial" w:hAnsi="arial"/>
          <w:sz w:val="18"/>
        </w:rPr>
        <w:t xml:space="preserve">On January 30, 2026, in connection with Hunt becoming the Company’s controlling stockholder, the Company entered into a letter agreement with Hunt providing for certain governance-related arrangements (including the right to designate four (4) members of the Board of Directors, James Christopher Hunt as Chairman of the Board, Angela Brock-Kyle, Edward Escudero, and James K. Hunt, Lead Director, and the inclusion in this Proxy Statement of Proposal 3, among other things. A copy of the letter agreement is filed as an exhibit to the Company’s Current Report on Form </w:t>
      </w:r>
    </w:p>
    <w:p>
      <w:pPr>
        <w:pStyle w:val="TextBody"/>
        <w:bidi w:val="0"/>
        <w:spacing w:before="120" w:after="0"/>
        <w:jc w:val="left"/>
        <w:rPr>
          <w:rFonts w:ascii="arial" w:hAnsi="arial"/>
          <w:spacing w:val="0"/>
          <w:sz w:val="18"/>
        </w:rPr>
      </w:pPr>
      <w:r>
        <w:rPr>
          <w:rFonts w:ascii="arial" w:hAnsi="arial"/>
          <w:spacing w:val="0"/>
          <w:sz w:val="18"/>
        </w:rPr>
        <w:t>8-K</w:t>
      </w:r>
    </w:p>
    <w:p>
      <w:pPr>
        <w:pStyle w:val="TextBody"/>
        <w:bidi w:val="0"/>
        <w:spacing w:before="120" w:after="0"/>
        <w:jc w:val="left"/>
        <w:rPr>
          <w:rFonts w:ascii="arial" w:hAnsi="arial"/>
          <w:sz w:val="18"/>
        </w:rPr>
      </w:pPr>
      <w:r>
        <w:rPr>
          <w:rFonts w:ascii="arial" w:hAnsi="arial"/>
          <w:sz w:val="18"/>
        </w:rPr>
        <w:t xml:space="preserve">filed on January 30, 2026. In connection with the same transaction, the Company entered into a registration rights agreement with Hunt, providing Hunt with customary demand and piggyback registration rights with respect to shares of the Company’s common stock held by Hunt. </w:t>
      </w:r>
    </w:p>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75"/>
        <w:gridCol w:w="500"/>
        <w:gridCol w:w="60"/>
        <w:gridCol w:w="60"/>
        <w:gridCol w:w="1355"/>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40 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xml:space="preserve">  </w:t>
            </w:r>
            <w:r>
              <w:rPr/>
              <w:drawing>
                <wp:inline distT="0" distB="0" distL="0" distR="0">
                  <wp:extent cx="457200" cy="219075"/>
                  <wp:effectExtent l="0" t="0" r="0" b="0"/>
                  <wp:docPr id="169"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53" descr=""/>
                          <pic:cNvPicPr>
                            <a:picLocks noChangeAspect="1" noChangeArrowheads="1"/>
                          </pic:cNvPicPr>
                        </pic:nvPicPr>
                        <pic:blipFill>
                          <a:blip r:embed="rId160"/>
                          <a:stretch>
                            <a:fillRect/>
                          </a:stretch>
                        </pic:blipFill>
                        <pic:spPr bwMode="auto">
                          <a:xfrm>
                            <a:off x="0" y="0"/>
                            <a:ext cx="457200" cy="219075"/>
                          </a:xfrm>
                          <a:prstGeom prst="rect">
                            <a:avLst/>
                          </a:prstGeom>
                        </pic:spPr>
                      </pic:pic>
                    </a:graphicData>
                  </a:graphic>
                </wp:inline>
              </w:drawing>
            </w:r>
            <w:r>
              <w:rPr/>
              <w:t>  </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sz w:val="36"/>
        </w:rPr>
      </w:pPr>
      <w:bookmarkStart w:id="33" w:name="toc37355_34"/>
      <w:bookmarkEnd w:id="33"/>
      <w:r>
        <w:rPr>
          <w:rFonts w:ascii="arial" w:hAnsi="arial"/>
          <w:b/>
          <w:sz w:val="36"/>
        </w:rPr>
        <w:t xml:space="preserve">Director Compensation </w:t>
      </w:r>
    </w:p>
    <w:p>
      <w:pPr>
        <w:pStyle w:val="TextBody"/>
        <w:bidi w:val="0"/>
        <w:spacing w:before="360" w:after="0"/>
        <w:jc w:val="left"/>
        <w:rPr>
          <w:rFonts w:ascii="arial" w:hAnsi="arial"/>
          <w:sz w:val="18"/>
        </w:rPr>
      </w:pPr>
      <w:r>
        <w:rPr>
          <w:rFonts w:ascii="arial" w:hAnsi="arial"/>
          <w:sz w:val="18"/>
        </w:rPr>
        <w:t xml:space="preserve">Our approach to director compensation is to appropriately compensate our non-employee directors for the time, expertise, and effort required to serve as a director of a large, complex company and to align the interests of directors with those of shareholders. Compensation levels for our non-employee directors are periodically reviewed for market competitiveness. Non-employee directors receive compensation payments after election by shareholders at the Annual Meeting. Non-employee directors who begin their Board or committee chair service other than at the Annual Meeting receive a prorated amount of annual compensation based on timing of appointment. </w:t>
      </w:r>
    </w:p>
    <w:p>
      <w:pPr>
        <w:pStyle w:val="TextBody"/>
        <w:bidi w:val="0"/>
        <w:spacing w:before="360" w:after="0"/>
        <w:jc w:val="left"/>
        <w:rPr>
          <w:rFonts w:ascii="arial" w:hAnsi="arial"/>
          <w:b/>
          <w:sz w:val="24"/>
        </w:rPr>
      </w:pPr>
      <w:bookmarkStart w:id="34" w:name="toc37355_35"/>
      <w:bookmarkEnd w:id="34"/>
      <w:r>
        <w:rPr>
          <w:rFonts w:ascii="arial" w:hAnsi="arial"/>
          <w:b/>
          <w:sz w:val="24"/>
        </w:rPr>
        <w:t xml:space="preserve">Director Compensation Design </w:t>
      </w:r>
    </w:p>
    <w:p>
      <w:pPr>
        <w:pStyle w:val="TextBody"/>
        <w:bidi w:val="0"/>
        <w:spacing w:before="80" w:after="0"/>
        <w:jc w:val="left"/>
        <w:rPr>
          <w:rFonts w:ascii="arial" w:hAnsi="arial"/>
          <w:sz w:val="18"/>
        </w:rPr>
      </w:pPr>
      <w:r>
        <w:rPr>
          <w:rFonts w:ascii="arial" w:hAnsi="arial"/>
          <w:sz w:val="18"/>
        </w:rPr>
        <w:t xml:space="preserve">The Compensation and Talent Management Committee reviews market benchmarking of non-employee director compensation annually. In 2025, the Compensation Committee engaged its independent compensation consultant to evaluate its non-employee Director compensation, which was last increased in 2024. The consultant conducted a comprehensive review of the most recent proxy filings of the Company’s peer group and general industry data of comparably sized companies to assess the market competitiveness of the Company’s non-employee directors’ compensation. At its meeting following the 2025 Annual Meeting of Shareholders, the Compensation and Talent Management Committee recommended to the Board of Directors that the cash and equity portion of retainers paid to the non-employee Directors, effective beginning May 8, 2025, remain unchanged. The additional retainers associated with the Board leadership positions of Chair of the Audit Committee, Chair of the Compensation and Talent Management Committee, and Chair of the Corporate Governance &amp; Nominating Committee were also maintained. The compensation of our non-employee directors will next be reviewed in 2026, with the assistance of our compensation consultant. The following table illustrates our 2025 non-employee director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66"/>
        <w:gridCol w:w="120"/>
        <w:gridCol w:w="228"/>
        <w:gridCol w:w="1307"/>
        <w:gridCol w:w="62"/>
        <w:gridCol w:w="124"/>
        <w:gridCol w:w="197"/>
        <w:gridCol w:w="1128"/>
        <w:gridCol w:w="60"/>
        <w:gridCol w:w="120"/>
        <w:gridCol w:w="221"/>
        <w:gridCol w:w="1077"/>
        <w:gridCol w:w="71"/>
        <w:gridCol w:w="142"/>
        <w:gridCol w:w="297"/>
        <w:gridCol w:w="1448"/>
        <w:gridCol w:w="71"/>
        <w:gridCol w:w="142"/>
        <w:gridCol w:w="297"/>
        <w:gridCol w:w="1448"/>
        <w:gridCol w:w="79"/>
      </w:tblGrid>
      <w:tr>
        <w:trPr/>
        <w:tc>
          <w:tcPr>
            <w:tcW w:w="15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1566" w:type="dxa"/>
            <w:tcBorders/>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046" w:type="dxa"/>
            <w:gridSpan w:val="6"/>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Annual Base Retainer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5214" w:type="dxa"/>
            <w:gridSpan w:val="10"/>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Board Leadership Positions -</w:t>
              <w:br/>
              <w:t>Additional Retainer (Committee Chairs)</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566"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35" w:type="dxa"/>
            <w:gridSpan w:val="2"/>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Non-Employee</w:t>
              <w:br/>
              <w:t>Directors</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124" w:type="dxa"/>
            <w:tcBorders>
              <w:bottom w:val="single" w:sz="8" w:space="0" w:color="000000"/>
            </w:tcBorders>
            <w:tcMar>
              <w:bottom w:w="28" w:type="dxa"/>
            </w:tcMar>
            <w:vAlign w:val="center"/>
          </w:tcPr>
          <w:p>
            <w:pPr>
              <w:pStyle w:val="TableContents"/>
              <w:bidi w:val="0"/>
              <w:spacing w:before="0" w:after="283"/>
              <w:jc w:val="left"/>
              <w:rPr/>
            </w:pPr>
            <w:r>
              <w:rPr/>
              <w:t>  </w:t>
            </w:r>
          </w:p>
        </w:tc>
        <w:tc>
          <w:tcPr>
            <w:tcW w:w="1325" w:type="dxa"/>
            <w:gridSpan w:val="2"/>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Chairman of</w:t>
              <w:br/>
              <w:t>the Board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98" w:type="dxa"/>
            <w:gridSpan w:val="2"/>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Audit</w:t>
              <w:br/>
              <w:t> Committee </w:t>
            </w:r>
          </w:p>
        </w:tc>
        <w:tc>
          <w:tcPr>
            <w:tcW w:w="71" w:type="dxa"/>
            <w:tcBorders>
              <w:bottom w:val="single" w:sz="8" w:space="0" w:color="000000"/>
            </w:tcBorders>
            <w:tcMar>
              <w:bottom w:w="28" w:type="dxa"/>
            </w:tcMar>
            <w:vAlign w:val="center"/>
          </w:tcPr>
          <w:p>
            <w:pPr>
              <w:pStyle w:val="TableContents"/>
              <w:bidi w:val="0"/>
              <w:spacing w:before="0" w:after="283"/>
              <w:jc w:val="left"/>
              <w:rPr/>
            </w:pPr>
            <w:r>
              <w:rPr/>
              <w:t> </w:t>
            </w:r>
          </w:p>
        </w:tc>
        <w:tc>
          <w:tcPr>
            <w:tcW w:w="142" w:type="dxa"/>
            <w:tcBorders>
              <w:bottom w:val="single" w:sz="8" w:space="0" w:color="000000"/>
            </w:tcBorders>
            <w:tcMar>
              <w:bottom w:w="28" w:type="dxa"/>
            </w:tcMar>
            <w:vAlign w:val="center"/>
          </w:tcPr>
          <w:p>
            <w:pPr>
              <w:pStyle w:val="TableContents"/>
              <w:bidi w:val="0"/>
              <w:spacing w:before="0" w:after="283"/>
              <w:jc w:val="left"/>
              <w:rPr/>
            </w:pPr>
            <w:r>
              <w:rPr/>
              <w:t>  </w:t>
            </w:r>
          </w:p>
        </w:tc>
        <w:tc>
          <w:tcPr>
            <w:tcW w:w="1745" w:type="dxa"/>
            <w:gridSpan w:val="2"/>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Compensation &amp;</w:t>
              <w:br/>
              <w:t>Talent</w:t>
              <w:br/>
              <w:t>Management</w:t>
              <w:br/>
              <w:t>Committee</w:t>
            </w:r>
          </w:p>
        </w:tc>
        <w:tc>
          <w:tcPr>
            <w:tcW w:w="71" w:type="dxa"/>
            <w:tcBorders>
              <w:bottom w:val="single" w:sz="8" w:space="0" w:color="000000"/>
            </w:tcBorders>
            <w:tcMar>
              <w:bottom w:w="28" w:type="dxa"/>
            </w:tcMar>
            <w:vAlign w:val="center"/>
          </w:tcPr>
          <w:p>
            <w:pPr>
              <w:pStyle w:val="TableContents"/>
              <w:bidi w:val="0"/>
              <w:spacing w:before="0" w:after="283"/>
              <w:jc w:val="left"/>
              <w:rPr/>
            </w:pPr>
            <w:r>
              <w:rPr/>
              <w:t> </w:t>
            </w:r>
          </w:p>
        </w:tc>
        <w:tc>
          <w:tcPr>
            <w:tcW w:w="142" w:type="dxa"/>
            <w:tcBorders>
              <w:bottom w:val="single" w:sz="8" w:space="0" w:color="000000"/>
            </w:tcBorders>
            <w:tcMar>
              <w:bottom w:w="28" w:type="dxa"/>
            </w:tcMar>
            <w:vAlign w:val="center"/>
          </w:tcPr>
          <w:p>
            <w:pPr>
              <w:pStyle w:val="TableContents"/>
              <w:bidi w:val="0"/>
              <w:spacing w:before="0" w:after="283"/>
              <w:jc w:val="left"/>
              <w:rPr/>
            </w:pPr>
            <w:r>
              <w:rPr/>
              <w:t>  </w:t>
            </w:r>
          </w:p>
        </w:tc>
        <w:tc>
          <w:tcPr>
            <w:tcW w:w="1745" w:type="dxa"/>
            <w:gridSpan w:val="2"/>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Corporate</w:t>
              <w:br/>
              <w:t> Governance &amp; </w:t>
              <w:br/>
              <w:t>Nominating</w:t>
              <w:br/>
              <w:t>Committee</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566" w:type="dxa"/>
            <w:tcBorders/>
            <w:vAlign w:val="center"/>
          </w:tcPr>
          <w:p>
            <w:pPr>
              <w:pStyle w:val="TableContents"/>
              <w:bidi w:val="0"/>
              <w:spacing w:before="0" w:after="283"/>
              <w:jc w:val="left"/>
              <w:rPr>
                <w:sz w:val="4"/>
                <w:szCs w:val="4"/>
              </w:rPr>
            </w:pPr>
            <w:r>
              <w:rPr>
                <w:sz w:val="4"/>
                <w:szCs w:val="4"/>
              </w:rPr>
            </w:r>
          </w:p>
        </w:tc>
        <w:tc>
          <w:tcPr>
            <w:tcW w:w="1717" w:type="dxa"/>
            <w:gridSpan w:val="4"/>
            <w:tcBorders/>
            <w:vAlign w:val="center"/>
          </w:tcPr>
          <w:p>
            <w:pPr>
              <w:pStyle w:val="TableContents"/>
              <w:bidi w:val="0"/>
              <w:spacing w:before="0" w:after="283"/>
              <w:jc w:val="left"/>
              <w:rPr>
                <w:sz w:val="4"/>
                <w:szCs w:val="4"/>
              </w:rPr>
            </w:pPr>
            <w:r>
              <w:rPr>
                <w:sz w:val="4"/>
                <w:szCs w:val="4"/>
              </w:rPr>
            </w:r>
          </w:p>
        </w:tc>
        <w:tc>
          <w:tcPr>
            <w:tcW w:w="1509" w:type="dxa"/>
            <w:gridSpan w:val="4"/>
            <w:tcBorders/>
            <w:vAlign w:val="center"/>
          </w:tcPr>
          <w:p>
            <w:pPr>
              <w:pStyle w:val="TableContents"/>
              <w:bidi w:val="0"/>
              <w:spacing w:before="0" w:after="283"/>
              <w:jc w:val="left"/>
              <w:rPr>
                <w:sz w:val="4"/>
                <w:szCs w:val="4"/>
              </w:rPr>
            </w:pPr>
            <w:r>
              <w:rPr>
                <w:sz w:val="4"/>
                <w:szCs w:val="4"/>
              </w:rPr>
            </w:r>
          </w:p>
        </w:tc>
        <w:tc>
          <w:tcPr>
            <w:tcW w:w="1489" w:type="dxa"/>
            <w:gridSpan w:val="4"/>
            <w:tcBorders/>
            <w:vAlign w:val="center"/>
          </w:tcPr>
          <w:p>
            <w:pPr>
              <w:pStyle w:val="TableContents"/>
              <w:bidi w:val="0"/>
              <w:spacing w:before="0" w:after="283"/>
              <w:jc w:val="left"/>
              <w:rPr>
                <w:sz w:val="4"/>
                <w:szCs w:val="4"/>
              </w:rPr>
            </w:pPr>
            <w:r>
              <w:rPr>
                <w:sz w:val="4"/>
                <w:szCs w:val="4"/>
              </w:rPr>
            </w:r>
          </w:p>
        </w:tc>
        <w:tc>
          <w:tcPr>
            <w:tcW w:w="1958" w:type="dxa"/>
            <w:gridSpan w:val="4"/>
            <w:tcBorders/>
            <w:vAlign w:val="center"/>
          </w:tcPr>
          <w:p>
            <w:pPr>
              <w:pStyle w:val="TableContents"/>
              <w:bidi w:val="0"/>
              <w:spacing w:before="0" w:after="283"/>
              <w:jc w:val="left"/>
              <w:rPr>
                <w:sz w:val="4"/>
                <w:szCs w:val="4"/>
              </w:rPr>
            </w:pPr>
            <w:r>
              <w:rPr>
                <w:sz w:val="4"/>
                <w:szCs w:val="4"/>
              </w:rPr>
            </w:r>
          </w:p>
        </w:tc>
        <w:tc>
          <w:tcPr>
            <w:tcW w:w="1966" w:type="dxa"/>
            <w:gridSpan w:val="4"/>
            <w:tcBorders/>
            <w:vAlign w:val="center"/>
          </w:tcPr>
          <w:p>
            <w:pPr>
              <w:pStyle w:val="TableContents"/>
              <w:bidi w:val="0"/>
              <w:spacing w:before="0" w:after="283"/>
              <w:jc w:val="left"/>
              <w:rPr>
                <w:sz w:val="4"/>
                <w:szCs w:val="4"/>
              </w:rPr>
            </w:pPr>
            <w:r>
              <w:rPr>
                <w:sz w:val="4"/>
                <w:szCs w:val="4"/>
              </w:rPr>
            </w:r>
          </w:p>
        </w:tc>
      </w:tr>
      <w:tr>
        <w:trPr/>
        <w:tc>
          <w:tcPr>
            <w:tcW w:w="1566"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Cash</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28" w:type="dxa"/>
            <w:tcBorders>
              <w:bottom w:val="single" w:sz="6" w:space="0" w:color="7F7F7F"/>
            </w:tcBorders>
            <w:tcMar>
              <w:bottom w:w="80" w:type="dxa"/>
            </w:tcMar>
            <w:vAlign w:val="center"/>
          </w:tcPr>
          <w:p>
            <w:pPr>
              <w:pStyle w:val="TableContents"/>
              <w:bidi w:val="0"/>
              <w:spacing w:before="0" w:after="283"/>
              <w:jc w:val="left"/>
              <w:rPr/>
            </w:pPr>
            <w:r>
              <w:rPr/>
              <w:t>$</w:t>
            </w:r>
          </w:p>
        </w:tc>
        <w:tc>
          <w:tcPr>
            <w:tcW w:w="1307" w:type="dxa"/>
            <w:tcBorders>
              <w:bottom w:val="single" w:sz="6" w:space="0" w:color="7F7F7F"/>
            </w:tcBorders>
            <w:tcMar>
              <w:bottom w:w="80" w:type="dxa"/>
            </w:tcMar>
            <w:vAlign w:val="center"/>
          </w:tcPr>
          <w:p>
            <w:pPr>
              <w:pStyle w:val="TableContents"/>
              <w:bidi w:val="0"/>
              <w:spacing w:before="0" w:after="283"/>
              <w:jc w:val="right"/>
              <w:rPr/>
            </w:pPr>
            <w:r>
              <w:rPr/>
              <w:t>100,000</w:t>
            </w:r>
          </w:p>
        </w:tc>
        <w:tc>
          <w:tcPr>
            <w:tcW w:w="62" w:type="dxa"/>
            <w:tcBorders>
              <w:bottom w:val="single" w:sz="6" w:space="0" w:color="7F7F7F"/>
            </w:tcBorders>
            <w:tcMar>
              <w:bottom w:w="80" w:type="dxa"/>
            </w:tcMar>
            <w:vAlign w:val="center"/>
          </w:tcPr>
          <w:p>
            <w:pPr>
              <w:pStyle w:val="TableContents"/>
              <w:bidi w:val="0"/>
              <w:spacing w:before="0" w:after="283"/>
              <w:jc w:val="left"/>
              <w:rPr/>
            </w:pPr>
            <w:r>
              <w:rPr/>
              <w:t> </w:t>
            </w:r>
          </w:p>
        </w:tc>
        <w:tc>
          <w:tcPr>
            <w:tcW w:w="124" w:type="dxa"/>
            <w:tcBorders>
              <w:bottom w:val="single" w:sz="6" w:space="0" w:color="7F7F7F"/>
            </w:tcBorders>
            <w:tcMar>
              <w:bottom w:w="28" w:type="dxa"/>
            </w:tcMar>
            <w:vAlign w:val="center"/>
          </w:tcPr>
          <w:p>
            <w:pPr>
              <w:pStyle w:val="TableContents"/>
              <w:bidi w:val="0"/>
              <w:spacing w:before="0" w:after="283"/>
              <w:jc w:val="left"/>
              <w:rPr/>
            </w:pPr>
            <w:r>
              <w:rPr/>
              <w:t>  </w:t>
            </w:r>
          </w:p>
        </w:tc>
        <w:tc>
          <w:tcPr>
            <w:tcW w:w="197" w:type="dxa"/>
            <w:tcBorders>
              <w:bottom w:val="single" w:sz="6" w:space="0" w:color="7F7F7F"/>
            </w:tcBorders>
            <w:tcMar>
              <w:bottom w:w="80" w:type="dxa"/>
            </w:tcMar>
            <w:vAlign w:val="center"/>
          </w:tcPr>
          <w:p>
            <w:pPr>
              <w:pStyle w:val="TableContents"/>
              <w:bidi w:val="0"/>
              <w:spacing w:before="0" w:after="283"/>
              <w:jc w:val="left"/>
              <w:rPr/>
            </w:pPr>
            <w:r>
              <w:rPr/>
              <w:t>$</w:t>
            </w:r>
          </w:p>
        </w:tc>
        <w:tc>
          <w:tcPr>
            <w:tcW w:w="1128" w:type="dxa"/>
            <w:tcBorders>
              <w:bottom w:val="single" w:sz="6" w:space="0" w:color="7F7F7F"/>
            </w:tcBorders>
            <w:tcMar>
              <w:bottom w:w="80" w:type="dxa"/>
            </w:tcMar>
            <w:vAlign w:val="center"/>
          </w:tcPr>
          <w:p>
            <w:pPr>
              <w:pStyle w:val="TableContents"/>
              <w:bidi w:val="0"/>
              <w:spacing w:before="0" w:after="283"/>
              <w:jc w:val="right"/>
              <w:rPr/>
            </w:pPr>
            <w:r>
              <w:rPr/>
              <w:t>150,000</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80" w:type="dxa"/>
            </w:tcMar>
            <w:vAlign w:val="center"/>
          </w:tcPr>
          <w:p>
            <w:pPr>
              <w:pStyle w:val="TableContents"/>
              <w:bidi w:val="0"/>
              <w:spacing w:before="0" w:after="283"/>
              <w:jc w:val="left"/>
              <w:rPr/>
            </w:pPr>
            <w:r>
              <w:rPr/>
              <w:t>$</w:t>
            </w:r>
          </w:p>
        </w:tc>
        <w:tc>
          <w:tcPr>
            <w:tcW w:w="1077" w:type="dxa"/>
            <w:tcBorders>
              <w:bottom w:val="single" w:sz="6" w:space="0" w:color="7F7F7F"/>
            </w:tcBorders>
            <w:tcMar>
              <w:bottom w:w="80" w:type="dxa"/>
            </w:tcMar>
            <w:vAlign w:val="center"/>
          </w:tcPr>
          <w:p>
            <w:pPr>
              <w:pStyle w:val="TableContents"/>
              <w:bidi w:val="0"/>
              <w:spacing w:before="0" w:after="283"/>
              <w:jc w:val="right"/>
              <w:rPr/>
            </w:pPr>
            <w:r>
              <w:rPr/>
              <w:t>20,000</w:t>
            </w:r>
          </w:p>
        </w:tc>
        <w:tc>
          <w:tcPr>
            <w:tcW w:w="71" w:type="dxa"/>
            <w:tcBorders>
              <w:bottom w:val="single" w:sz="6" w:space="0" w:color="7F7F7F"/>
            </w:tcBorders>
            <w:tcMar>
              <w:bottom w:w="80" w:type="dxa"/>
            </w:tcMar>
            <w:vAlign w:val="center"/>
          </w:tcPr>
          <w:p>
            <w:pPr>
              <w:pStyle w:val="TableContents"/>
              <w:bidi w:val="0"/>
              <w:spacing w:before="0" w:after="283"/>
              <w:jc w:val="left"/>
              <w:rPr/>
            </w:pPr>
            <w:r>
              <w:rPr/>
              <w:t> </w:t>
            </w:r>
          </w:p>
        </w:tc>
        <w:tc>
          <w:tcPr>
            <w:tcW w:w="142" w:type="dxa"/>
            <w:tcBorders>
              <w:bottom w:val="single" w:sz="6" w:space="0" w:color="7F7F7F"/>
            </w:tcBorders>
            <w:tcMar>
              <w:bottom w:w="28" w:type="dxa"/>
            </w:tcMar>
            <w:vAlign w:val="center"/>
          </w:tcPr>
          <w:p>
            <w:pPr>
              <w:pStyle w:val="TableContents"/>
              <w:bidi w:val="0"/>
              <w:spacing w:before="0" w:after="283"/>
              <w:jc w:val="left"/>
              <w:rPr/>
            </w:pPr>
            <w:r>
              <w:rPr/>
              <w:t>  </w:t>
            </w:r>
          </w:p>
        </w:tc>
        <w:tc>
          <w:tcPr>
            <w:tcW w:w="297" w:type="dxa"/>
            <w:tcBorders>
              <w:bottom w:val="single" w:sz="6" w:space="0" w:color="7F7F7F"/>
            </w:tcBorders>
            <w:tcMar>
              <w:bottom w:w="80" w:type="dxa"/>
            </w:tcMar>
            <w:vAlign w:val="center"/>
          </w:tcPr>
          <w:p>
            <w:pPr>
              <w:pStyle w:val="TableContents"/>
              <w:bidi w:val="0"/>
              <w:spacing w:before="0" w:after="283"/>
              <w:jc w:val="left"/>
              <w:rPr/>
            </w:pPr>
            <w:r>
              <w:rPr/>
              <w:t>$</w:t>
            </w:r>
          </w:p>
        </w:tc>
        <w:tc>
          <w:tcPr>
            <w:tcW w:w="1448" w:type="dxa"/>
            <w:tcBorders>
              <w:bottom w:val="single" w:sz="6" w:space="0" w:color="7F7F7F"/>
            </w:tcBorders>
            <w:tcMar>
              <w:bottom w:w="80" w:type="dxa"/>
            </w:tcMar>
            <w:vAlign w:val="center"/>
          </w:tcPr>
          <w:p>
            <w:pPr>
              <w:pStyle w:val="TableContents"/>
              <w:bidi w:val="0"/>
              <w:spacing w:before="0" w:after="283"/>
              <w:jc w:val="right"/>
              <w:rPr/>
            </w:pPr>
            <w:r>
              <w:rPr/>
              <w:t>15,000</w:t>
            </w:r>
          </w:p>
        </w:tc>
        <w:tc>
          <w:tcPr>
            <w:tcW w:w="71" w:type="dxa"/>
            <w:tcBorders>
              <w:bottom w:val="single" w:sz="6" w:space="0" w:color="7F7F7F"/>
            </w:tcBorders>
            <w:tcMar>
              <w:bottom w:w="80" w:type="dxa"/>
            </w:tcMar>
            <w:vAlign w:val="center"/>
          </w:tcPr>
          <w:p>
            <w:pPr>
              <w:pStyle w:val="TableContents"/>
              <w:bidi w:val="0"/>
              <w:spacing w:before="0" w:after="283"/>
              <w:jc w:val="left"/>
              <w:rPr/>
            </w:pPr>
            <w:r>
              <w:rPr/>
              <w:t> </w:t>
            </w:r>
          </w:p>
        </w:tc>
        <w:tc>
          <w:tcPr>
            <w:tcW w:w="142" w:type="dxa"/>
            <w:tcBorders>
              <w:bottom w:val="single" w:sz="6" w:space="0" w:color="7F7F7F"/>
            </w:tcBorders>
            <w:tcMar>
              <w:bottom w:w="28" w:type="dxa"/>
            </w:tcMar>
            <w:vAlign w:val="center"/>
          </w:tcPr>
          <w:p>
            <w:pPr>
              <w:pStyle w:val="TableContents"/>
              <w:bidi w:val="0"/>
              <w:spacing w:before="0" w:after="283"/>
              <w:jc w:val="left"/>
              <w:rPr/>
            </w:pPr>
            <w:r>
              <w:rPr/>
              <w:t>  </w:t>
            </w:r>
          </w:p>
        </w:tc>
        <w:tc>
          <w:tcPr>
            <w:tcW w:w="297" w:type="dxa"/>
            <w:tcBorders>
              <w:bottom w:val="single" w:sz="6" w:space="0" w:color="7F7F7F"/>
            </w:tcBorders>
            <w:tcMar>
              <w:bottom w:w="80" w:type="dxa"/>
            </w:tcMar>
            <w:vAlign w:val="center"/>
          </w:tcPr>
          <w:p>
            <w:pPr>
              <w:pStyle w:val="TableContents"/>
              <w:bidi w:val="0"/>
              <w:spacing w:before="0" w:after="283"/>
              <w:jc w:val="left"/>
              <w:rPr/>
            </w:pPr>
            <w:r>
              <w:rPr/>
              <w:t>$</w:t>
            </w:r>
          </w:p>
        </w:tc>
        <w:tc>
          <w:tcPr>
            <w:tcW w:w="1448" w:type="dxa"/>
            <w:tcBorders>
              <w:bottom w:val="single" w:sz="6" w:space="0" w:color="7F7F7F"/>
            </w:tcBorders>
            <w:tcMar>
              <w:bottom w:w="80" w:type="dxa"/>
            </w:tcMar>
            <w:vAlign w:val="center"/>
          </w:tcPr>
          <w:p>
            <w:pPr>
              <w:pStyle w:val="TableContents"/>
              <w:bidi w:val="0"/>
              <w:spacing w:before="0" w:after="283"/>
              <w:jc w:val="right"/>
              <w:rPr/>
            </w:pPr>
            <w:r>
              <w:rPr/>
              <w:t>15,000</w:t>
            </w:r>
          </w:p>
        </w:tc>
        <w:tc>
          <w:tcPr>
            <w:tcW w:w="79" w:type="dxa"/>
            <w:tcBorders>
              <w:bottom w:val="single" w:sz="6" w:space="0" w:color="7F7F7F"/>
            </w:tcBorders>
            <w:tcMar>
              <w:bottom w:w="80" w:type="dxa"/>
            </w:tcMar>
            <w:vAlign w:val="center"/>
          </w:tcPr>
          <w:p>
            <w:pPr>
              <w:pStyle w:val="TableContents"/>
              <w:bidi w:val="0"/>
              <w:spacing w:before="0" w:after="283"/>
              <w:jc w:val="left"/>
              <w:rPr/>
            </w:pPr>
            <w:r>
              <w:rPr/>
              <w:t> </w:t>
            </w:r>
          </w:p>
        </w:tc>
      </w:tr>
      <w:tr>
        <w:trPr/>
        <w:tc>
          <w:tcPr>
            <w:tcW w:w="1566" w:type="dxa"/>
            <w:tcBorders/>
            <w:vAlign w:val="center"/>
          </w:tcPr>
          <w:p>
            <w:pPr>
              <w:pStyle w:val="TableContents"/>
              <w:bidi w:val="0"/>
              <w:spacing w:before="0" w:after="283"/>
              <w:jc w:val="left"/>
              <w:rPr>
                <w:sz w:val="4"/>
                <w:szCs w:val="4"/>
              </w:rPr>
            </w:pPr>
            <w:r>
              <w:rPr>
                <w:sz w:val="4"/>
                <w:szCs w:val="4"/>
              </w:rPr>
            </w:r>
          </w:p>
        </w:tc>
        <w:tc>
          <w:tcPr>
            <w:tcW w:w="1717" w:type="dxa"/>
            <w:gridSpan w:val="4"/>
            <w:tcBorders/>
            <w:vAlign w:val="center"/>
          </w:tcPr>
          <w:p>
            <w:pPr>
              <w:pStyle w:val="TableContents"/>
              <w:bidi w:val="0"/>
              <w:spacing w:before="0" w:after="283"/>
              <w:jc w:val="left"/>
              <w:rPr>
                <w:sz w:val="4"/>
                <w:szCs w:val="4"/>
              </w:rPr>
            </w:pPr>
            <w:r>
              <w:rPr>
                <w:sz w:val="4"/>
                <w:szCs w:val="4"/>
              </w:rPr>
            </w:r>
          </w:p>
        </w:tc>
        <w:tc>
          <w:tcPr>
            <w:tcW w:w="1509" w:type="dxa"/>
            <w:gridSpan w:val="4"/>
            <w:tcBorders/>
            <w:vAlign w:val="center"/>
          </w:tcPr>
          <w:p>
            <w:pPr>
              <w:pStyle w:val="TableContents"/>
              <w:bidi w:val="0"/>
              <w:spacing w:before="0" w:after="283"/>
              <w:jc w:val="left"/>
              <w:rPr>
                <w:sz w:val="4"/>
                <w:szCs w:val="4"/>
              </w:rPr>
            </w:pPr>
            <w:r>
              <w:rPr>
                <w:sz w:val="4"/>
                <w:szCs w:val="4"/>
              </w:rPr>
            </w:r>
          </w:p>
        </w:tc>
        <w:tc>
          <w:tcPr>
            <w:tcW w:w="1489" w:type="dxa"/>
            <w:gridSpan w:val="4"/>
            <w:tcBorders/>
            <w:vAlign w:val="center"/>
          </w:tcPr>
          <w:p>
            <w:pPr>
              <w:pStyle w:val="TableContents"/>
              <w:bidi w:val="0"/>
              <w:spacing w:before="0" w:after="283"/>
              <w:jc w:val="left"/>
              <w:rPr>
                <w:sz w:val="4"/>
                <w:szCs w:val="4"/>
              </w:rPr>
            </w:pPr>
            <w:r>
              <w:rPr>
                <w:sz w:val="4"/>
                <w:szCs w:val="4"/>
              </w:rPr>
            </w:r>
          </w:p>
        </w:tc>
        <w:tc>
          <w:tcPr>
            <w:tcW w:w="1958" w:type="dxa"/>
            <w:gridSpan w:val="4"/>
            <w:tcBorders/>
            <w:vAlign w:val="center"/>
          </w:tcPr>
          <w:p>
            <w:pPr>
              <w:pStyle w:val="TableContents"/>
              <w:bidi w:val="0"/>
              <w:spacing w:before="0" w:after="283"/>
              <w:jc w:val="left"/>
              <w:rPr>
                <w:sz w:val="4"/>
                <w:szCs w:val="4"/>
              </w:rPr>
            </w:pPr>
            <w:r>
              <w:rPr>
                <w:sz w:val="4"/>
                <w:szCs w:val="4"/>
              </w:rPr>
            </w:r>
          </w:p>
        </w:tc>
        <w:tc>
          <w:tcPr>
            <w:tcW w:w="1966" w:type="dxa"/>
            <w:gridSpan w:val="4"/>
            <w:tcBorders/>
            <w:vAlign w:val="center"/>
          </w:tcPr>
          <w:p>
            <w:pPr>
              <w:pStyle w:val="TableContents"/>
              <w:bidi w:val="0"/>
              <w:spacing w:before="0" w:after="283"/>
              <w:jc w:val="left"/>
              <w:rPr>
                <w:sz w:val="4"/>
                <w:szCs w:val="4"/>
              </w:rPr>
            </w:pPr>
            <w:r>
              <w:rPr>
                <w:sz w:val="4"/>
                <w:szCs w:val="4"/>
              </w:rPr>
            </w:r>
          </w:p>
        </w:tc>
      </w:tr>
      <w:tr>
        <w:trPr/>
        <w:tc>
          <w:tcPr>
            <w:tcW w:w="1566"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Equity (Kelly Class A Stock – $ Value)</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28" w:type="dxa"/>
            <w:tcBorders>
              <w:bottom w:val="single" w:sz="6" w:space="0" w:color="7F7F7F"/>
            </w:tcBorders>
            <w:tcMar>
              <w:bottom w:w="80" w:type="dxa"/>
            </w:tcMar>
            <w:vAlign w:val="center"/>
          </w:tcPr>
          <w:p>
            <w:pPr>
              <w:pStyle w:val="TableContents"/>
              <w:bidi w:val="0"/>
              <w:spacing w:before="0" w:after="283"/>
              <w:jc w:val="left"/>
              <w:rPr/>
            </w:pPr>
            <w:r>
              <w:rPr/>
              <w:t>$</w:t>
            </w:r>
          </w:p>
        </w:tc>
        <w:tc>
          <w:tcPr>
            <w:tcW w:w="1307" w:type="dxa"/>
            <w:tcBorders>
              <w:bottom w:val="single" w:sz="6" w:space="0" w:color="7F7F7F"/>
            </w:tcBorders>
            <w:tcMar>
              <w:bottom w:w="80" w:type="dxa"/>
            </w:tcMar>
            <w:vAlign w:val="center"/>
          </w:tcPr>
          <w:p>
            <w:pPr>
              <w:pStyle w:val="TableContents"/>
              <w:bidi w:val="0"/>
              <w:spacing w:before="0" w:after="283"/>
              <w:jc w:val="right"/>
              <w:rPr/>
            </w:pPr>
            <w:r>
              <w:rPr/>
              <w:t>150,000</w:t>
            </w:r>
          </w:p>
        </w:tc>
        <w:tc>
          <w:tcPr>
            <w:tcW w:w="62" w:type="dxa"/>
            <w:tcBorders>
              <w:bottom w:val="single" w:sz="6" w:space="0" w:color="7F7F7F"/>
            </w:tcBorders>
            <w:tcMar>
              <w:bottom w:w="80" w:type="dxa"/>
            </w:tcMar>
            <w:vAlign w:val="center"/>
          </w:tcPr>
          <w:p>
            <w:pPr>
              <w:pStyle w:val="TableContents"/>
              <w:bidi w:val="0"/>
              <w:spacing w:before="0" w:after="283"/>
              <w:jc w:val="left"/>
              <w:rPr/>
            </w:pPr>
            <w:r>
              <w:rPr/>
              <w:t> </w:t>
            </w:r>
          </w:p>
        </w:tc>
        <w:tc>
          <w:tcPr>
            <w:tcW w:w="124" w:type="dxa"/>
            <w:tcBorders>
              <w:bottom w:val="single" w:sz="6" w:space="0" w:color="7F7F7F"/>
            </w:tcBorders>
            <w:tcMar>
              <w:bottom w:w="28" w:type="dxa"/>
            </w:tcMar>
            <w:vAlign w:val="center"/>
          </w:tcPr>
          <w:p>
            <w:pPr>
              <w:pStyle w:val="TableContents"/>
              <w:bidi w:val="0"/>
              <w:spacing w:before="0" w:after="283"/>
              <w:jc w:val="left"/>
              <w:rPr/>
            </w:pPr>
            <w:r>
              <w:rPr/>
              <w:t>  </w:t>
            </w:r>
          </w:p>
        </w:tc>
        <w:tc>
          <w:tcPr>
            <w:tcW w:w="197" w:type="dxa"/>
            <w:tcBorders>
              <w:bottom w:val="single" w:sz="6" w:space="0" w:color="7F7F7F"/>
            </w:tcBorders>
            <w:tcMar>
              <w:bottom w:w="80" w:type="dxa"/>
            </w:tcMar>
            <w:vAlign w:val="center"/>
          </w:tcPr>
          <w:p>
            <w:pPr>
              <w:pStyle w:val="TableContents"/>
              <w:bidi w:val="0"/>
              <w:spacing w:before="0" w:after="283"/>
              <w:jc w:val="left"/>
              <w:rPr/>
            </w:pPr>
            <w:r>
              <w:rPr/>
              <w:t>$</w:t>
            </w:r>
          </w:p>
        </w:tc>
        <w:tc>
          <w:tcPr>
            <w:tcW w:w="1128" w:type="dxa"/>
            <w:tcBorders>
              <w:bottom w:val="single" w:sz="6" w:space="0" w:color="7F7F7F"/>
            </w:tcBorders>
            <w:tcMar>
              <w:bottom w:w="80" w:type="dxa"/>
            </w:tcMar>
            <w:vAlign w:val="center"/>
          </w:tcPr>
          <w:p>
            <w:pPr>
              <w:pStyle w:val="TableContents"/>
              <w:bidi w:val="0"/>
              <w:spacing w:before="0" w:after="283"/>
              <w:jc w:val="right"/>
              <w:rPr/>
            </w:pPr>
            <w:r>
              <w:rPr/>
              <w:t>200,000</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80" w:type="dxa"/>
            </w:tcMar>
            <w:vAlign w:val="center"/>
          </w:tcPr>
          <w:p>
            <w:pPr>
              <w:pStyle w:val="TableContents"/>
              <w:bidi w:val="0"/>
              <w:spacing w:before="0" w:after="283"/>
              <w:jc w:val="left"/>
              <w:rPr/>
            </w:pPr>
            <w:r>
              <w:rPr/>
              <w:t> </w:t>
            </w:r>
          </w:p>
        </w:tc>
        <w:tc>
          <w:tcPr>
            <w:tcW w:w="1077" w:type="dxa"/>
            <w:tcBorders>
              <w:bottom w:val="single" w:sz="6" w:space="0" w:color="7F7F7F"/>
            </w:tcBorders>
            <w:tcMar>
              <w:bottom w:w="80" w:type="dxa"/>
            </w:tcMar>
            <w:vAlign w:val="center"/>
          </w:tcPr>
          <w:p>
            <w:pPr>
              <w:pStyle w:val="TableContents"/>
              <w:bidi w:val="0"/>
              <w:spacing w:before="0" w:after="283"/>
              <w:jc w:val="right"/>
              <w:rPr/>
            </w:pPr>
            <w:r>
              <w:rPr/>
              <w:t>—</w:t>
            </w:r>
          </w:p>
        </w:tc>
        <w:tc>
          <w:tcPr>
            <w:tcW w:w="71" w:type="dxa"/>
            <w:tcBorders>
              <w:bottom w:val="single" w:sz="6" w:space="0" w:color="7F7F7F"/>
            </w:tcBorders>
            <w:tcMar>
              <w:bottom w:w="80" w:type="dxa"/>
            </w:tcMar>
            <w:vAlign w:val="center"/>
          </w:tcPr>
          <w:p>
            <w:pPr>
              <w:pStyle w:val="TableContents"/>
              <w:bidi w:val="0"/>
              <w:spacing w:before="0" w:after="283"/>
              <w:jc w:val="left"/>
              <w:rPr/>
            </w:pPr>
            <w:r>
              <w:rPr/>
              <w:t> </w:t>
            </w:r>
          </w:p>
        </w:tc>
        <w:tc>
          <w:tcPr>
            <w:tcW w:w="142" w:type="dxa"/>
            <w:tcBorders>
              <w:bottom w:val="single" w:sz="6" w:space="0" w:color="7F7F7F"/>
            </w:tcBorders>
            <w:tcMar>
              <w:bottom w:w="28" w:type="dxa"/>
            </w:tcMar>
            <w:vAlign w:val="center"/>
          </w:tcPr>
          <w:p>
            <w:pPr>
              <w:pStyle w:val="TableContents"/>
              <w:bidi w:val="0"/>
              <w:spacing w:before="0" w:after="283"/>
              <w:jc w:val="left"/>
              <w:rPr/>
            </w:pPr>
            <w:r>
              <w:rPr/>
              <w:t>  </w:t>
            </w:r>
          </w:p>
        </w:tc>
        <w:tc>
          <w:tcPr>
            <w:tcW w:w="297" w:type="dxa"/>
            <w:tcBorders>
              <w:bottom w:val="single" w:sz="6" w:space="0" w:color="7F7F7F"/>
            </w:tcBorders>
            <w:tcMar>
              <w:bottom w:w="80" w:type="dxa"/>
            </w:tcMar>
            <w:vAlign w:val="center"/>
          </w:tcPr>
          <w:p>
            <w:pPr>
              <w:pStyle w:val="TableContents"/>
              <w:bidi w:val="0"/>
              <w:spacing w:before="0" w:after="283"/>
              <w:jc w:val="left"/>
              <w:rPr/>
            </w:pPr>
            <w:r>
              <w:rPr/>
              <w:t> </w:t>
            </w:r>
          </w:p>
        </w:tc>
        <w:tc>
          <w:tcPr>
            <w:tcW w:w="1448" w:type="dxa"/>
            <w:tcBorders>
              <w:bottom w:val="single" w:sz="6" w:space="0" w:color="7F7F7F"/>
            </w:tcBorders>
            <w:tcMar>
              <w:bottom w:w="80" w:type="dxa"/>
            </w:tcMar>
            <w:vAlign w:val="center"/>
          </w:tcPr>
          <w:p>
            <w:pPr>
              <w:pStyle w:val="TableContents"/>
              <w:bidi w:val="0"/>
              <w:spacing w:before="0" w:after="283"/>
              <w:jc w:val="right"/>
              <w:rPr/>
            </w:pPr>
            <w:r>
              <w:rPr/>
              <w:t>—</w:t>
            </w:r>
          </w:p>
        </w:tc>
        <w:tc>
          <w:tcPr>
            <w:tcW w:w="71" w:type="dxa"/>
            <w:tcBorders>
              <w:bottom w:val="single" w:sz="6" w:space="0" w:color="7F7F7F"/>
            </w:tcBorders>
            <w:tcMar>
              <w:bottom w:w="80" w:type="dxa"/>
            </w:tcMar>
            <w:vAlign w:val="center"/>
          </w:tcPr>
          <w:p>
            <w:pPr>
              <w:pStyle w:val="TableContents"/>
              <w:bidi w:val="0"/>
              <w:spacing w:before="0" w:after="283"/>
              <w:jc w:val="left"/>
              <w:rPr/>
            </w:pPr>
            <w:r>
              <w:rPr/>
              <w:t> </w:t>
            </w:r>
          </w:p>
        </w:tc>
        <w:tc>
          <w:tcPr>
            <w:tcW w:w="142" w:type="dxa"/>
            <w:tcBorders>
              <w:bottom w:val="single" w:sz="6" w:space="0" w:color="7F7F7F"/>
            </w:tcBorders>
            <w:tcMar>
              <w:bottom w:w="28" w:type="dxa"/>
            </w:tcMar>
            <w:vAlign w:val="center"/>
          </w:tcPr>
          <w:p>
            <w:pPr>
              <w:pStyle w:val="TableContents"/>
              <w:bidi w:val="0"/>
              <w:spacing w:before="0" w:after="283"/>
              <w:jc w:val="left"/>
              <w:rPr/>
            </w:pPr>
            <w:r>
              <w:rPr/>
              <w:t>  </w:t>
            </w:r>
          </w:p>
        </w:tc>
        <w:tc>
          <w:tcPr>
            <w:tcW w:w="297" w:type="dxa"/>
            <w:tcBorders>
              <w:bottom w:val="single" w:sz="6" w:space="0" w:color="7F7F7F"/>
            </w:tcBorders>
            <w:tcMar>
              <w:bottom w:w="80" w:type="dxa"/>
            </w:tcMar>
            <w:vAlign w:val="center"/>
          </w:tcPr>
          <w:p>
            <w:pPr>
              <w:pStyle w:val="TableContents"/>
              <w:bidi w:val="0"/>
              <w:spacing w:before="0" w:after="283"/>
              <w:jc w:val="left"/>
              <w:rPr/>
            </w:pPr>
            <w:r>
              <w:rPr/>
              <w:t> </w:t>
            </w:r>
          </w:p>
        </w:tc>
        <w:tc>
          <w:tcPr>
            <w:tcW w:w="1448" w:type="dxa"/>
            <w:tcBorders>
              <w:bottom w:val="single" w:sz="6" w:space="0" w:color="7F7F7F"/>
            </w:tcBorders>
            <w:tcMar>
              <w:bottom w:w="80" w:type="dxa"/>
            </w:tcMar>
            <w:vAlign w:val="center"/>
          </w:tcPr>
          <w:p>
            <w:pPr>
              <w:pStyle w:val="TableContents"/>
              <w:bidi w:val="0"/>
              <w:spacing w:before="0" w:after="283"/>
              <w:jc w:val="right"/>
              <w:rPr/>
            </w:pPr>
            <w:r>
              <w:rPr/>
              <w:t>—</w:t>
            </w:r>
          </w:p>
        </w:tc>
        <w:tc>
          <w:tcPr>
            <w:tcW w:w="79" w:type="dxa"/>
            <w:tcBorders>
              <w:bottom w:val="single" w:sz="6" w:space="0" w:color="7F7F7F"/>
            </w:tcBorders>
            <w:tcMar>
              <w:bottom w:w="80" w:type="dxa"/>
            </w:tcMar>
            <w:vAlign w:val="center"/>
          </w:tcPr>
          <w:p>
            <w:pPr>
              <w:pStyle w:val="TableContents"/>
              <w:bidi w:val="0"/>
              <w:spacing w:before="0" w:after="283"/>
              <w:jc w:val="left"/>
              <w:rPr/>
            </w:pPr>
            <w:r>
              <w:rPr/>
              <w:t> </w:t>
            </w:r>
          </w:p>
        </w:tc>
      </w:tr>
      <w:tr>
        <w:trPr/>
        <w:tc>
          <w:tcPr>
            <w:tcW w:w="1566" w:type="dxa"/>
            <w:tcBorders/>
            <w:vAlign w:val="center"/>
          </w:tcPr>
          <w:p>
            <w:pPr>
              <w:pStyle w:val="TableContents"/>
              <w:bidi w:val="0"/>
              <w:spacing w:before="0" w:after="283"/>
              <w:jc w:val="left"/>
              <w:rPr>
                <w:sz w:val="4"/>
                <w:szCs w:val="4"/>
              </w:rPr>
            </w:pPr>
            <w:r>
              <w:rPr>
                <w:sz w:val="4"/>
                <w:szCs w:val="4"/>
              </w:rPr>
            </w:r>
          </w:p>
        </w:tc>
        <w:tc>
          <w:tcPr>
            <w:tcW w:w="1717" w:type="dxa"/>
            <w:gridSpan w:val="4"/>
            <w:tcBorders/>
            <w:vAlign w:val="center"/>
          </w:tcPr>
          <w:p>
            <w:pPr>
              <w:pStyle w:val="TableContents"/>
              <w:bidi w:val="0"/>
              <w:spacing w:before="0" w:after="283"/>
              <w:jc w:val="left"/>
              <w:rPr>
                <w:sz w:val="4"/>
                <w:szCs w:val="4"/>
              </w:rPr>
            </w:pPr>
            <w:r>
              <w:rPr>
                <w:sz w:val="4"/>
                <w:szCs w:val="4"/>
              </w:rPr>
            </w:r>
          </w:p>
        </w:tc>
        <w:tc>
          <w:tcPr>
            <w:tcW w:w="1509" w:type="dxa"/>
            <w:gridSpan w:val="4"/>
            <w:tcBorders/>
            <w:vAlign w:val="center"/>
          </w:tcPr>
          <w:p>
            <w:pPr>
              <w:pStyle w:val="TableContents"/>
              <w:bidi w:val="0"/>
              <w:spacing w:before="0" w:after="283"/>
              <w:jc w:val="left"/>
              <w:rPr>
                <w:sz w:val="4"/>
                <w:szCs w:val="4"/>
              </w:rPr>
            </w:pPr>
            <w:r>
              <w:rPr>
                <w:sz w:val="4"/>
                <w:szCs w:val="4"/>
              </w:rPr>
            </w:r>
          </w:p>
        </w:tc>
        <w:tc>
          <w:tcPr>
            <w:tcW w:w="1489" w:type="dxa"/>
            <w:gridSpan w:val="4"/>
            <w:tcBorders/>
            <w:vAlign w:val="center"/>
          </w:tcPr>
          <w:p>
            <w:pPr>
              <w:pStyle w:val="TableContents"/>
              <w:bidi w:val="0"/>
              <w:spacing w:before="0" w:after="283"/>
              <w:jc w:val="left"/>
              <w:rPr>
                <w:sz w:val="4"/>
                <w:szCs w:val="4"/>
              </w:rPr>
            </w:pPr>
            <w:r>
              <w:rPr>
                <w:sz w:val="4"/>
                <w:szCs w:val="4"/>
              </w:rPr>
            </w:r>
          </w:p>
        </w:tc>
        <w:tc>
          <w:tcPr>
            <w:tcW w:w="1958" w:type="dxa"/>
            <w:gridSpan w:val="4"/>
            <w:tcBorders/>
            <w:vAlign w:val="center"/>
          </w:tcPr>
          <w:p>
            <w:pPr>
              <w:pStyle w:val="TableContents"/>
              <w:bidi w:val="0"/>
              <w:spacing w:before="0" w:after="283"/>
              <w:jc w:val="left"/>
              <w:rPr>
                <w:sz w:val="4"/>
                <w:szCs w:val="4"/>
              </w:rPr>
            </w:pPr>
            <w:r>
              <w:rPr>
                <w:sz w:val="4"/>
                <w:szCs w:val="4"/>
              </w:rPr>
            </w:r>
          </w:p>
        </w:tc>
        <w:tc>
          <w:tcPr>
            <w:tcW w:w="1966" w:type="dxa"/>
            <w:gridSpan w:val="4"/>
            <w:tcBorders/>
            <w:vAlign w:val="center"/>
          </w:tcPr>
          <w:p>
            <w:pPr>
              <w:pStyle w:val="TableContents"/>
              <w:bidi w:val="0"/>
              <w:spacing w:before="0" w:after="283"/>
              <w:jc w:val="left"/>
              <w:rPr>
                <w:sz w:val="4"/>
                <w:szCs w:val="4"/>
              </w:rPr>
            </w:pPr>
            <w:r>
              <w:rPr>
                <w:sz w:val="4"/>
                <w:szCs w:val="4"/>
              </w:rPr>
            </w:r>
          </w:p>
        </w:tc>
      </w:tr>
      <w:tr>
        <w:trPr/>
        <w:tc>
          <w:tcPr>
            <w:tcW w:w="1566"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Total</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28" w:type="dxa"/>
            <w:tcBorders>
              <w:bottom w:val="single" w:sz="6" w:space="0" w:color="7F7F7F"/>
            </w:tcBorders>
            <w:tcMar>
              <w:bottom w:w="80" w:type="dxa"/>
            </w:tcMar>
            <w:vAlign w:val="center"/>
          </w:tcPr>
          <w:p>
            <w:pPr>
              <w:pStyle w:val="TableContents"/>
              <w:bidi w:val="0"/>
              <w:spacing w:before="0" w:after="283"/>
              <w:jc w:val="left"/>
              <w:rPr/>
            </w:pPr>
            <w:r>
              <w:rPr/>
              <w:t>$</w:t>
            </w:r>
          </w:p>
        </w:tc>
        <w:tc>
          <w:tcPr>
            <w:tcW w:w="1307" w:type="dxa"/>
            <w:tcBorders>
              <w:bottom w:val="single" w:sz="6" w:space="0" w:color="7F7F7F"/>
            </w:tcBorders>
            <w:tcMar>
              <w:bottom w:w="80" w:type="dxa"/>
            </w:tcMar>
            <w:vAlign w:val="center"/>
          </w:tcPr>
          <w:p>
            <w:pPr>
              <w:pStyle w:val="TableContents"/>
              <w:bidi w:val="0"/>
              <w:spacing w:before="0" w:after="283"/>
              <w:jc w:val="right"/>
              <w:rPr/>
            </w:pPr>
            <w:r>
              <w:rPr/>
              <w:t>250,000</w:t>
            </w:r>
          </w:p>
        </w:tc>
        <w:tc>
          <w:tcPr>
            <w:tcW w:w="62" w:type="dxa"/>
            <w:tcBorders>
              <w:bottom w:val="single" w:sz="6" w:space="0" w:color="7F7F7F"/>
            </w:tcBorders>
            <w:tcMar>
              <w:bottom w:w="80" w:type="dxa"/>
            </w:tcMar>
            <w:vAlign w:val="center"/>
          </w:tcPr>
          <w:p>
            <w:pPr>
              <w:pStyle w:val="TableContents"/>
              <w:bidi w:val="0"/>
              <w:spacing w:before="0" w:after="283"/>
              <w:jc w:val="left"/>
              <w:rPr/>
            </w:pPr>
            <w:r>
              <w:rPr/>
              <w:t> </w:t>
            </w:r>
          </w:p>
        </w:tc>
        <w:tc>
          <w:tcPr>
            <w:tcW w:w="124" w:type="dxa"/>
            <w:tcBorders>
              <w:bottom w:val="single" w:sz="6" w:space="0" w:color="7F7F7F"/>
            </w:tcBorders>
            <w:tcMar>
              <w:bottom w:w="28" w:type="dxa"/>
            </w:tcMar>
            <w:vAlign w:val="center"/>
          </w:tcPr>
          <w:p>
            <w:pPr>
              <w:pStyle w:val="TableContents"/>
              <w:bidi w:val="0"/>
              <w:spacing w:before="0" w:after="283"/>
              <w:jc w:val="left"/>
              <w:rPr/>
            </w:pPr>
            <w:r>
              <w:rPr/>
              <w:t>  </w:t>
            </w:r>
          </w:p>
        </w:tc>
        <w:tc>
          <w:tcPr>
            <w:tcW w:w="197" w:type="dxa"/>
            <w:tcBorders>
              <w:bottom w:val="single" w:sz="6" w:space="0" w:color="7F7F7F"/>
            </w:tcBorders>
            <w:tcMar>
              <w:bottom w:w="80" w:type="dxa"/>
            </w:tcMar>
            <w:vAlign w:val="center"/>
          </w:tcPr>
          <w:p>
            <w:pPr>
              <w:pStyle w:val="TableContents"/>
              <w:bidi w:val="0"/>
              <w:spacing w:before="0" w:after="283"/>
              <w:jc w:val="left"/>
              <w:rPr/>
            </w:pPr>
            <w:r>
              <w:rPr/>
              <w:t>$</w:t>
            </w:r>
          </w:p>
        </w:tc>
        <w:tc>
          <w:tcPr>
            <w:tcW w:w="1128" w:type="dxa"/>
            <w:tcBorders>
              <w:bottom w:val="single" w:sz="6" w:space="0" w:color="7F7F7F"/>
            </w:tcBorders>
            <w:tcMar>
              <w:bottom w:w="80" w:type="dxa"/>
            </w:tcMar>
            <w:vAlign w:val="center"/>
          </w:tcPr>
          <w:p>
            <w:pPr>
              <w:pStyle w:val="TableContents"/>
              <w:bidi w:val="0"/>
              <w:spacing w:before="0" w:after="283"/>
              <w:jc w:val="right"/>
              <w:rPr/>
            </w:pPr>
            <w:r>
              <w:rPr/>
              <w:t>350,000</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80" w:type="dxa"/>
            </w:tcMar>
            <w:vAlign w:val="center"/>
          </w:tcPr>
          <w:p>
            <w:pPr>
              <w:pStyle w:val="TableContents"/>
              <w:bidi w:val="0"/>
              <w:spacing w:before="0" w:after="283"/>
              <w:jc w:val="left"/>
              <w:rPr/>
            </w:pPr>
            <w:r>
              <w:rPr/>
              <w:t>$</w:t>
            </w:r>
          </w:p>
        </w:tc>
        <w:tc>
          <w:tcPr>
            <w:tcW w:w="1077" w:type="dxa"/>
            <w:tcBorders>
              <w:bottom w:val="single" w:sz="6" w:space="0" w:color="7F7F7F"/>
            </w:tcBorders>
            <w:tcMar>
              <w:bottom w:w="80" w:type="dxa"/>
            </w:tcMar>
            <w:vAlign w:val="center"/>
          </w:tcPr>
          <w:p>
            <w:pPr>
              <w:pStyle w:val="TableContents"/>
              <w:bidi w:val="0"/>
              <w:spacing w:before="0" w:after="283"/>
              <w:jc w:val="right"/>
              <w:rPr/>
            </w:pPr>
            <w:r>
              <w:rPr/>
              <w:t>20,000</w:t>
            </w:r>
          </w:p>
        </w:tc>
        <w:tc>
          <w:tcPr>
            <w:tcW w:w="71" w:type="dxa"/>
            <w:tcBorders>
              <w:bottom w:val="single" w:sz="6" w:space="0" w:color="7F7F7F"/>
            </w:tcBorders>
            <w:tcMar>
              <w:bottom w:w="80" w:type="dxa"/>
            </w:tcMar>
            <w:vAlign w:val="center"/>
          </w:tcPr>
          <w:p>
            <w:pPr>
              <w:pStyle w:val="TableContents"/>
              <w:bidi w:val="0"/>
              <w:spacing w:before="0" w:after="283"/>
              <w:jc w:val="left"/>
              <w:rPr/>
            </w:pPr>
            <w:r>
              <w:rPr/>
              <w:t> </w:t>
            </w:r>
          </w:p>
        </w:tc>
        <w:tc>
          <w:tcPr>
            <w:tcW w:w="142" w:type="dxa"/>
            <w:tcBorders>
              <w:bottom w:val="single" w:sz="6" w:space="0" w:color="7F7F7F"/>
            </w:tcBorders>
            <w:tcMar>
              <w:bottom w:w="28" w:type="dxa"/>
            </w:tcMar>
            <w:vAlign w:val="center"/>
          </w:tcPr>
          <w:p>
            <w:pPr>
              <w:pStyle w:val="TableContents"/>
              <w:bidi w:val="0"/>
              <w:spacing w:before="0" w:after="283"/>
              <w:jc w:val="left"/>
              <w:rPr/>
            </w:pPr>
            <w:r>
              <w:rPr/>
              <w:t>  </w:t>
            </w:r>
          </w:p>
        </w:tc>
        <w:tc>
          <w:tcPr>
            <w:tcW w:w="297" w:type="dxa"/>
            <w:tcBorders>
              <w:bottom w:val="single" w:sz="6" w:space="0" w:color="7F7F7F"/>
            </w:tcBorders>
            <w:tcMar>
              <w:bottom w:w="80" w:type="dxa"/>
            </w:tcMar>
            <w:vAlign w:val="center"/>
          </w:tcPr>
          <w:p>
            <w:pPr>
              <w:pStyle w:val="TableContents"/>
              <w:bidi w:val="0"/>
              <w:spacing w:before="0" w:after="283"/>
              <w:jc w:val="left"/>
              <w:rPr/>
            </w:pPr>
            <w:r>
              <w:rPr/>
              <w:t>$</w:t>
            </w:r>
          </w:p>
        </w:tc>
        <w:tc>
          <w:tcPr>
            <w:tcW w:w="1448" w:type="dxa"/>
            <w:tcBorders>
              <w:bottom w:val="single" w:sz="6" w:space="0" w:color="7F7F7F"/>
            </w:tcBorders>
            <w:tcMar>
              <w:bottom w:w="80" w:type="dxa"/>
            </w:tcMar>
            <w:vAlign w:val="center"/>
          </w:tcPr>
          <w:p>
            <w:pPr>
              <w:pStyle w:val="TableContents"/>
              <w:bidi w:val="0"/>
              <w:spacing w:before="0" w:after="283"/>
              <w:jc w:val="right"/>
              <w:rPr/>
            </w:pPr>
            <w:r>
              <w:rPr/>
              <w:t>15,000</w:t>
            </w:r>
          </w:p>
        </w:tc>
        <w:tc>
          <w:tcPr>
            <w:tcW w:w="71" w:type="dxa"/>
            <w:tcBorders>
              <w:bottom w:val="single" w:sz="6" w:space="0" w:color="7F7F7F"/>
            </w:tcBorders>
            <w:tcMar>
              <w:bottom w:w="80" w:type="dxa"/>
            </w:tcMar>
            <w:vAlign w:val="center"/>
          </w:tcPr>
          <w:p>
            <w:pPr>
              <w:pStyle w:val="TableContents"/>
              <w:bidi w:val="0"/>
              <w:spacing w:before="0" w:after="283"/>
              <w:jc w:val="left"/>
              <w:rPr/>
            </w:pPr>
            <w:r>
              <w:rPr/>
              <w:t> </w:t>
            </w:r>
          </w:p>
        </w:tc>
        <w:tc>
          <w:tcPr>
            <w:tcW w:w="142" w:type="dxa"/>
            <w:tcBorders>
              <w:bottom w:val="single" w:sz="6" w:space="0" w:color="7F7F7F"/>
            </w:tcBorders>
            <w:tcMar>
              <w:bottom w:w="28" w:type="dxa"/>
            </w:tcMar>
            <w:vAlign w:val="center"/>
          </w:tcPr>
          <w:p>
            <w:pPr>
              <w:pStyle w:val="TableContents"/>
              <w:bidi w:val="0"/>
              <w:spacing w:before="0" w:after="283"/>
              <w:jc w:val="left"/>
              <w:rPr/>
            </w:pPr>
            <w:r>
              <w:rPr/>
              <w:t>  </w:t>
            </w:r>
          </w:p>
        </w:tc>
        <w:tc>
          <w:tcPr>
            <w:tcW w:w="297" w:type="dxa"/>
            <w:tcBorders>
              <w:bottom w:val="single" w:sz="6" w:space="0" w:color="7F7F7F"/>
            </w:tcBorders>
            <w:tcMar>
              <w:bottom w:w="80" w:type="dxa"/>
            </w:tcMar>
            <w:vAlign w:val="center"/>
          </w:tcPr>
          <w:p>
            <w:pPr>
              <w:pStyle w:val="TableContents"/>
              <w:bidi w:val="0"/>
              <w:spacing w:before="0" w:after="283"/>
              <w:jc w:val="left"/>
              <w:rPr/>
            </w:pPr>
            <w:r>
              <w:rPr/>
              <w:t>$</w:t>
            </w:r>
          </w:p>
        </w:tc>
        <w:tc>
          <w:tcPr>
            <w:tcW w:w="1448" w:type="dxa"/>
            <w:tcBorders>
              <w:bottom w:val="single" w:sz="6" w:space="0" w:color="7F7F7F"/>
            </w:tcBorders>
            <w:tcMar>
              <w:bottom w:w="80" w:type="dxa"/>
            </w:tcMar>
            <w:vAlign w:val="center"/>
          </w:tcPr>
          <w:p>
            <w:pPr>
              <w:pStyle w:val="TableContents"/>
              <w:bidi w:val="0"/>
              <w:spacing w:before="0" w:after="283"/>
              <w:jc w:val="right"/>
              <w:rPr/>
            </w:pPr>
            <w:r>
              <w:rPr/>
              <w:t>15,000</w:t>
            </w:r>
          </w:p>
        </w:tc>
        <w:tc>
          <w:tcPr>
            <w:tcW w:w="79" w:type="dxa"/>
            <w:tcBorders>
              <w:bottom w:val="single" w:sz="6" w:space="0" w:color="7F7F7F"/>
            </w:tcBorders>
            <w:tcMar>
              <w:bottom w:w="80"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18"/>
        </w:rPr>
      </w:pPr>
      <w:r>
        <w:rPr>
          <w:rFonts w:ascii="arial" w:hAnsi="arial"/>
          <w:sz w:val="18"/>
        </w:rPr>
        <w:t xml:space="preserve">Under the Company’s 2025 Equity Incentive Plan (“EIP”), the Board of Directors must periodically determine the percentage of the base retainer that will be issued to non-employee directors in shares of Class A Common Stock. At the meeting of the Board following the 2025 Annual Meeting of Shareholders, the Board determined that $150,000 of the base retainer would be issued in shares (60%) and $100,000 of the base retainer would be paid in cash (40%). The equity portion of $200,000 and the cash portion of $150,000 were maintained for the Chairman of the Board. </w:t>
      </w:r>
    </w:p>
    <w:p>
      <w:pPr>
        <w:pStyle w:val="TextBody"/>
        <w:bidi w:val="0"/>
        <w:spacing w:before="360" w:after="0"/>
        <w:jc w:val="left"/>
        <w:rPr>
          <w:rFonts w:ascii="arial" w:hAnsi="arial"/>
          <w:b/>
          <w:sz w:val="24"/>
        </w:rPr>
      </w:pPr>
      <w:bookmarkStart w:id="35" w:name="toc37355_36"/>
      <w:bookmarkEnd w:id="35"/>
      <w:r>
        <w:rPr>
          <w:rFonts w:ascii="arial" w:hAnsi="arial"/>
          <w:b/>
          <w:sz w:val="24"/>
        </w:rPr>
        <w:t xml:space="preserve">Stock Ownership Requirements </w:t>
      </w:r>
    </w:p>
    <w:p>
      <w:pPr>
        <w:pStyle w:val="TextBody"/>
        <w:bidi w:val="0"/>
        <w:spacing w:before="80" w:after="0"/>
        <w:jc w:val="left"/>
        <w:rPr>
          <w:rFonts w:ascii="arial" w:hAnsi="arial"/>
          <w:sz w:val="18"/>
        </w:rPr>
      </w:pPr>
      <w:r>
        <w:rPr>
          <w:rFonts w:ascii="arial" w:hAnsi="arial"/>
          <w:sz w:val="18"/>
        </w:rPr>
        <w:t xml:space="preserve">Non-employee directors are subject to a stock ownership requirement that is a minimum fair market value of four times the value of the cash portion of the annual base retainer (which currently equates to $400,000). Although there is no fixed compliance period, new directors are expected to meet the ownership requirements within five years of their appointment date. </w:t>
      </w:r>
    </w:p>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6535"/>
                  <wp:effectExtent l="0" t="0" r="0" b="0"/>
                  <wp:docPr id="170"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54" descr=""/>
                          <pic:cNvPicPr>
                            <a:picLocks noChangeAspect="1" noChangeArrowheads="1"/>
                          </pic:cNvPicPr>
                        </pic:nvPicPr>
                        <pic:blipFill>
                          <a:blip r:embed="rId161"/>
                          <a:stretch>
                            <a:fillRect/>
                          </a:stretch>
                        </pic:blipFill>
                        <pic:spPr bwMode="auto">
                          <a:xfrm>
                            <a:off x="0" y="0"/>
                            <a:ext cx="453390" cy="216535"/>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Director Compensation </w:t>
      </w:r>
    </w:p>
    <w:p>
      <w:pPr>
        <w:pStyle w:val="TextBody"/>
        <w:bidi w:val="0"/>
        <w:spacing w:before="0" w:after="0"/>
        <w:jc w:val="left"/>
        <w:rPr/>
      </w:pPr>
      <w:r>
        <w:rPr/>
        <w:t> </w:t>
      </w:r>
    </w:p>
    <w:p>
      <w:pPr>
        <w:pStyle w:val="TextBody"/>
        <w:bidi w:val="0"/>
        <w:spacing w:before="0" w:after="0"/>
        <w:jc w:val="left"/>
        <w:rPr>
          <w:rFonts w:ascii="arial" w:hAnsi="arial"/>
          <w:b/>
          <w:sz w:val="24"/>
        </w:rPr>
      </w:pPr>
      <w:bookmarkStart w:id="36" w:name="toc37355_37"/>
      <w:bookmarkEnd w:id="36"/>
      <w:r>
        <w:rPr>
          <w:rFonts w:ascii="arial" w:hAnsi="arial"/>
          <w:b/>
          <w:sz w:val="24"/>
        </w:rPr>
        <w:t xml:space="preserve">Non-Employee Directors Deferred Compensation Plan </w:t>
      </w:r>
    </w:p>
    <w:p>
      <w:pPr>
        <w:pStyle w:val="TextBody"/>
        <w:bidi w:val="0"/>
        <w:spacing w:before="80" w:after="0"/>
        <w:jc w:val="left"/>
        <w:rPr>
          <w:rFonts w:ascii="arial" w:hAnsi="arial"/>
          <w:sz w:val="18"/>
        </w:rPr>
      </w:pPr>
      <w:r>
        <w:rPr>
          <w:rFonts w:ascii="arial" w:hAnsi="arial"/>
          <w:sz w:val="18"/>
        </w:rPr>
        <w:t xml:space="preserve">The Company established the Non-Employee Directors Deferred Compensation Plan (“DDCP”), which provides non-employee directors with the opportunity to defer all or a portion of all fees payable to them, pursuant to a valid deferral election. The DDCP is a non-qualified plan that allows for the deferral of all or a portion of annual cash payments to a notional account with investment fund choices that mirror those provided to participants in the Company’s Management Retirement Plan (“MRP”). In addition to those fund choices, the Plan also includes the option to defer annual cash payments into Company common stock units. Non-employee directors may also elect to defer all or a portion of their annual stock retainer into Company common stock units. Participants may elect to receive distributions from their DDCP account at the time they cease to be a director of the Company or at a future date that is between one and ten years following the date they cease to be a director of the Company. Non-employee directors can elect to have distributions from the DDCP made in either a lump sum or in annual installment payments made over a two-to-ten-year period. </w:t>
      </w:r>
    </w:p>
    <w:p>
      <w:pPr>
        <w:pStyle w:val="TextBody"/>
        <w:bidi w:val="0"/>
        <w:spacing w:before="80" w:after="0"/>
        <w:jc w:val="left"/>
        <w:rPr>
          <w:rFonts w:ascii="arial" w:hAnsi="arial"/>
          <w:sz w:val="18"/>
        </w:rPr>
      </w:pPr>
      <w:r>
        <w:rPr>
          <w:rFonts w:ascii="arial" w:hAnsi="arial"/>
          <w:sz w:val="18"/>
        </w:rPr>
        <w:t xml:space="preserve">The following table sets forth the compensation paid during 2025 to the Company’s non-employee directors. Neither Mr. Quigley nor Mr. Layden received compensation for their services as a director in 2025. Messrs. Quigley and Layden’s compensation as President and Chief Executive Officer are disclosed in the Compensation Discussion &amp; Analysis section of this Proxy Statement. </w:t>
      </w:r>
    </w:p>
    <w:p>
      <w:pPr>
        <w:pStyle w:val="TextBody"/>
        <w:bidi w:val="0"/>
        <w:spacing w:before="360" w:after="0"/>
        <w:jc w:val="left"/>
        <w:rPr>
          <w:rFonts w:ascii="arial" w:hAnsi="arial"/>
          <w:b/>
          <w:sz w:val="24"/>
        </w:rPr>
      </w:pPr>
      <w:bookmarkStart w:id="37" w:name="toc37355_38"/>
      <w:bookmarkEnd w:id="37"/>
      <w:r>
        <w:rPr>
          <w:rFonts w:ascii="arial" w:hAnsi="arial"/>
          <w:b/>
          <w:sz w:val="24"/>
        </w:rPr>
        <w:t xml:space="preserve">2025 Director Compensation </w:t>
      </w:r>
    </w:p>
    <w:p>
      <w:pPr>
        <w:pStyle w:val="TextBody"/>
        <w:bidi w:val="0"/>
        <w:spacing w:before="0" w:after="0"/>
        <w:jc w:val="left"/>
        <w:rPr/>
      </w:pPr>
      <w:r>
        <w:rPr/>
        <w:t> </w:t>
      </w:r>
    </w:p>
    <w:tbl>
      <w:tblPr>
        <w:tblW w:w="10296" w:type="dxa"/>
        <w:jc w:val="left"/>
        <w:tblInd w:w="0" w:type="dxa"/>
        <w:tblLayout w:type="fixed"/>
        <w:tblCellMar>
          <w:top w:w="0" w:type="dxa"/>
          <w:left w:w="0" w:type="dxa"/>
          <w:bottom w:w="0" w:type="dxa"/>
          <w:right w:w="0" w:type="dxa"/>
        </w:tblCellMar>
      </w:tblPr>
      <w:tblGrid>
        <w:gridCol w:w="800"/>
        <w:gridCol w:w="60"/>
        <w:gridCol w:w="75"/>
        <w:gridCol w:w="177"/>
        <w:gridCol w:w="1012"/>
        <w:gridCol w:w="31"/>
        <w:gridCol w:w="60"/>
        <w:gridCol w:w="60"/>
        <w:gridCol w:w="140"/>
        <w:gridCol w:w="800"/>
        <w:gridCol w:w="23"/>
        <w:gridCol w:w="60"/>
        <w:gridCol w:w="121"/>
        <w:gridCol w:w="121"/>
        <w:gridCol w:w="525"/>
        <w:gridCol w:w="48"/>
        <w:gridCol w:w="60"/>
        <w:gridCol w:w="221"/>
        <w:gridCol w:w="221"/>
        <w:gridCol w:w="961"/>
        <w:gridCol w:w="87"/>
        <w:gridCol w:w="60"/>
        <w:gridCol w:w="171"/>
        <w:gridCol w:w="399"/>
        <w:gridCol w:w="741"/>
        <w:gridCol w:w="614"/>
        <w:gridCol w:w="60"/>
        <w:gridCol w:w="221"/>
        <w:gridCol w:w="221"/>
        <w:gridCol w:w="961"/>
        <w:gridCol w:w="87"/>
        <w:gridCol w:w="60"/>
        <w:gridCol w:w="60"/>
        <w:gridCol w:w="140"/>
        <w:gridCol w:w="800"/>
        <w:gridCol w:w="38"/>
      </w:tblGrid>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800" w:type="dxa"/>
            <w:tcBorders>
              <w:bottom w:val="single" w:sz="8" w:space="0" w:color="000000"/>
            </w:tcBorders>
            <w:tcMar>
              <w:bottom w:w="40" w:type="dxa"/>
            </w:tcMar>
            <w:vAlign w:val="center"/>
          </w:tcPr>
          <w:p>
            <w:pPr>
              <w:pStyle w:val="TableContents"/>
              <w:bidi w:val="0"/>
              <w:spacing w:before="0" w:after="283"/>
              <w:jc w:val="left"/>
              <w:rPr>
                <w:color w:val="00AE4F"/>
              </w:rPr>
            </w:pPr>
            <w:r>
              <w:rPr>
                <w:color w:val="00AE4F"/>
              </w:rPr>
              <w:t>  </w:t>
            </w:r>
            <w:r>
              <w:rPr>
                <w:b/>
                <w:color w:val="00AE4F"/>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95"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Fees Earned</w:t>
              <w:br/>
              <w:t>or Paid in</w:t>
              <w:br/>
              <w:t>Cash(1)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23"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Stock</w:t>
              <w:br/>
              <w:t>Awards(2)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15"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Award</w:t>
              <w:br/>
              <w:t>Options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90"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Non-Equity</w:t>
              <w:br/>
              <w:t>Incentive Plan</w:t>
              <w:br/>
              <w:t>Compensation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25"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Change in Pension</w:t>
              <w:br/>
              <w:t>Value and</w:t>
              <w:br/>
              <w:t>Nonqualified</w:t>
              <w:br/>
              <w:t>Deferred</w:t>
              <w:br/>
              <w:t>Compensation</w:t>
              <w:br/>
              <w:t>Earnings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90"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All Other</w:t>
              <w:br/>
              <w:t>Compensation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38"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Total</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c>
          <w:tcPr>
            <w:tcW w:w="1083" w:type="dxa"/>
            <w:gridSpan w:val="5"/>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98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098" w:type="dxa"/>
            <w:gridSpan w:val="5"/>
            <w:tcBorders/>
            <w:vAlign w:val="center"/>
          </w:tcPr>
          <w:p>
            <w:pPr>
              <w:pStyle w:val="TableContents"/>
              <w:bidi w:val="0"/>
              <w:spacing w:before="0" w:after="283"/>
              <w:jc w:val="left"/>
              <w:rPr>
                <w:sz w:val="4"/>
                <w:szCs w:val="4"/>
              </w:rPr>
            </w:pPr>
            <w:r>
              <w:rPr>
                <w:sz w:val="4"/>
                <w:szCs w:val="4"/>
              </w:rPr>
            </w:r>
          </w:p>
        </w:tc>
      </w:tr>
      <w:tr>
        <w:trPr/>
        <w:tc>
          <w:tcPr>
            <w:tcW w:w="80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Gerald S. Adolph(3)</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5" w:type="dxa"/>
            <w:tcBorders>
              <w:bottom w:val="single" w:sz="6" w:space="0" w:color="7F7F7F"/>
            </w:tcBorders>
            <w:tcMar>
              <w:bottom w:w="28" w:type="dxa"/>
            </w:tcMar>
            <w:vAlign w:val="center"/>
          </w:tcPr>
          <w:p>
            <w:pPr>
              <w:pStyle w:val="TableContents"/>
              <w:bidi w:val="0"/>
              <w:spacing w:before="0" w:after="283"/>
              <w:jc w:val="left"/>
              <w:rPr/>
            </w:pPr>
            <w:r>
              <w:rPr/>
              <w:t> </w:t>
            </w:r>
          </w:p>
        </w:tc>
        <w:tc>
          <w:tcPr>
            <w:tcW w:w="177" w:type="dxa"/>
            <w:tcBorders>
              <w:bottom w:val="single" w:sz="6" w:space="0" w:color="7F7F7F"/>
            </w:tcBorders>
            <w:tcMar>
              <w:bottom w:w="80" w:type="dxa"/>
            </w:tcMar>
            <w:vAlign w:val="center"/>
          </w:tcPr>
          <w:p>
            <w:pPr>
              <w:pStyle w:val="TableContents"/>
              <w:bidi w:val="0"/>
              <w:spacing w:before="0" w:after="283"/>
              <w:jc w:val="left"/>
              <w:rPr/>
            </w:pPr>
            <w:r>
              <w:rPr/>
              <w:t>$</w:t>
            </w:r>
          </w:p>
        </w:tc>
        <w:tc>
          <w:tcPr>
            <w:tcW w:w="1012" w:type="dxa"/>
            <w:tcBorders>
              <w:bottom w:val="single" w:sz="6" w:space="0" w:color="7F7F7F"/>
            </w:tcBorders>
            <w:tcMar>
              <w:bottom w:w="80" w:type="dxa"/>
            </w:tcMar>
            <w:vAlign w:val="center"/>
          </w:tcPr>
          <w:p>
            <w:pPr>
              <w:pStyle w:val="TableContents"/>
              <w:bidi w:val="0"/>
              <w:spacing w:before="0" w:after="283"/>
              <w:jc w:val="right"/>
              <w:rPr/>
            </w:pPr>
            <w:r>
              <w:rPr/>
              <w:t>115,000</w:t>
            </w:r>
          </w:p>
        </w:tc>
        <w:tc>
          <w:tcPr>
            <w:tcW w:w="31"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80" w:type="dxa"/>
            </w:tcMar>
            <w:vAlign w:val="center"/>
          </w:tcPr>
          <w:p>
            <w:pPr>
              <w:pStyle w:val="TableContents"/>
              <w:bidi w:val="0"/>
              <w:spacing w:before="0" w:after="283"/>
              <w:jc w:val="left"/>
              <w:rPr/>
            </w:pPr>
            <w:r>
              <w:rPr/>
              <w:t>$</w:t>
            </w:r>
          </w:p>
        </w:tc>
        <w:tc>
          <w:tcPr>
            <w:tcW w:w="800" w:type="dxa"/>
            <w:tcBorders>
              <w:bottom w:val="single" w:sz="6" w:space="0" w:color="7F7F7F"/>
            </w:tcBorders>
            <w:tcMar>
              <w:bottom w:w="80" w:type="dxa"/>
            </w:tcMar>
            <w:vAlign w:val="center"/>
          </w:tcPr>
          <w:p>
            <w:pPr>
              <w:pStyle w:val="TableContents"/>
              <w:bidi w:val="0"/>
              <w:spacing w:before="0" w:after="283"/>
              <w:jc w:val="right"/>
              <w:rPr/>
            </w:pPr>
            <w:r>
              <w:rPr/>
              <w:t>150,000</w:t>
            </w:r>
          </w:p>
        </w:tc>
        <w:tc>
          <w:tcPr>
            <w:tcW w:w="2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21" w:type="dxa"/>
            <w:tcBorders>
              <w:bottom w:val="single" w:sz="6" w:space="0" w:color="7F7F7F"/>
            </w:tcBorders>
            <w:tcMar>
              <w:bottom w:w="28" w:type="dxa"/>
            </w:tcMar>
            <w:vAlign w:val="center"/>
          </w:tcPr>
          <w:p>
            <w:pPr>
              <w:pStyle w:val="TableContents"/>
              <w:bidi w:val="0"/>
              <w:spacing w:before="0" w:after="283"/>
              <w:jc w:val="left"/>
              <w:rPr/>
            </w:pPr>
            <w:r>
              <w:rPr/>
              <w:t> </w:t>
            </w:r>
          </w:p>
        </w:tc>
        <w:tc>
          <w:tcPr>
            <w:tcW w:w="121" w:type="dxa"/>
            <w:tcBorders>
              <w:bottom w:val="single" w:sz="6" w:space="0" w:color="7F7F7F"/>
            </w:tcBorders>
            <w:tcMar>
              <w:bottom w:w="80" w:type="dxa"/>
            </w:tcMar>
            <w:vAlign w:val="center"/>
          </w:tcPr>
          <w:p>
            <w:pPr>
              <w:pStyle w:val="TableContents"/>
              <w:bidi w:val="0"/>
              <w:spacing w:before="0" w:after="283"/>
              <w:jc w:val="left"/>
              <w:rPr/>
            </w:pPr>
            <w:r>
              <w:rPr/>
              <w:t> </w:t>
            </w:r>
          </w:p>
        </w:tc>
        <w:tc>
          <w:tcPr>
            <w:tcW w:w="525" w:type="dxa"/>
            <w:tcBorders>
              <w:bottom w:val="single" w:sz="6" w:space="0" w:color="7F7F7F"/>
            </w:tcBorders>
            <w:tcMar>
              <w:bottom w:w="80" w:type="dxa"/>
            </w:tcMar>
            <w:vAlign w:val="center"/>
          </w:tcPr>
          <w:p>
            <w:pPr>
              <w:pStyle w:val="TableContents"/>
              <w:bidi w:val="0"/>
              <w:spacing w:before="0" w:after="283"/>
              <w:jc w:val="right"/>
              <w:rPr/>
            </w:pPr>
            <w:r>
              <w:rPr/>
              <w:t>—</w:t>
            </w:r>
          </w:p>
        </w:tc>
        <w:tc>
          <w:tcPr>
            <w:tcW w:w="48"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80" w:type="dxa"/>
            </w:tcMar>
            <w:vAlign w:val="center"/>
          </w:tcPr>
          <w:p>
            <w:pPr>
              <w:pStyle w:val="TableContents"/>
              <w:bidi w:val="0"/>
              <w:spacing w:before="0" w:after="283"/>
              <w:jc w:val="left"/>
              <w:rPr/>
            </w:pPr>
            <w:r>
              <w:rPr/>
              <w:t> </w:t>
            </w:r>
          </w:p>
        </w:tc>
        <w:tc>
          <w:tcPr>
            <w:tcW w:w="961" w:type="dxa"/>
            <w:tcBorders>
              <w:bottom w:val="single" w:sz="6" w:space="0" w:color="7F7F7F"/>
            </w:tcBorders>
            <w:tcMar>
              <w:bottom w:w="80" w:type="dxa"/>
            </w:tcMar>
            <w:vAlign w:val="center"/>
          </w:tcPr>
          <w:p>
            <w:pPr>
              <w:pStyle w:val="TableContents"/>
              <w:bidi w:val="0"/>
              <w:spacing w:before="0" w:after="283"/>
              <w:jc w:val="right"/>
              <w:rPr/>
            </w:pPr>
            <w:r>
              <w:rPr/>
              <w:t>—</w:t>
            </w:r>
          </w:p>
        </w:tc>
        <w:tc>
          <w:tcPr>
            <w:tcW w:w="8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71" w:type="dxa"/>
            <w:tcBorders>
              <w:bottom w:val="single" w:sz="6" w:space="0" w:color="7F7F7F"/>
            </w:tcBorders>
            <w:tcMar>
              <w:bottom w:w="28" w:type="dxa"/>
            </w:tcMar>
            <w:vAlign w:val="center"/>
          </w:tcPr>
          <w:p>
            <w:pPr>
              <w:pStyle w:val="TableContents"/>
              <w:bidi w:val="0"/>
              <w:spacing w:before="0" w:after="283"/>
              <w:jc w:val="left"/>
              <w:rPr/>
            </w:pPr>
            <w:r>
              <w:rPr/>
              <w:t> </w:t>
            </w:r>
          </w:p>
        </w:tc>
        <w:tc>
          <w:tcPr>
            <w:tcW w:w="399" w:type="dxa"/>
            <w:tcBorders>
              <w:bottom w:val="single" w:sz="6" w:space="0" w:color="7F7F7F"/>
            </w:tcBorders>
            <w:tcMar>
              <w:bottom w:w="80" w:type="dxa"/>
            </w:tcMar>
            <w:vAlign w:val="center"/>
          </w:tcPr>
          <w:p>
            <w:pPr>
              <w:pStyle w:val="TableContents"/>
              <w:bidi w:val="0"/>
              <w:spacing w:before="0" w:after="283"/>
              <w:jc w:val="left"/>
              <w:rPr/>
            </w:pPr>
            <w:r>
              <w:rPr/>
              <w:t>$</w:t>
            </w:r>
          </w:p>
        </w:tc>
        <w:tc>
          <w:tcPr>
            <w:tcW w:w="741" w:type="dxa"/>
            <w:tcBorders>
              <w:bottom w:val="single" w:sz="6" w:space="0" w:color="7F7F7F"/>
            </w:tcBorders>
            <w:tcMar>
              <w:bottom w:w="80" w:type="dxa"/>
            </w:tcMar>
            <w:vAlign w:val="center"/>
          </w:tcPr>
          <w:p>
            <w:pPr>
              <w:pStyle w:val="TableContents"/>
              <w:bidi w:val="0"/>
              <w:spacing w:before="0" w:after="283"/>
              <w:jc w:val="right"/>
              <w:rPr/>
            </w:pPr>
            <w:r>
              <w:rPr/>
              <w:t>0</w:t>
            </w:r>
          </w:p>
        </w:tc>
        <w:tc>
          <w:tcPr>
            <w:tcW w:w="614" w:type="dxa"/>
            <w:tcBorders>
              <w:bottom w:val="single" w:sz="6" w:space="0" w:color="7F7F7F"/>
            </w:tcBorders>
            <w:tcMar>
              <w:bottom w:w="80" w:type="dxa"/>
            </w:tcMar>
            <w:vAlign w:val="center"/>
          </w:tcPr>
          <w:p>
            <w:pPr>
              <w:pStyle w:val="TableContents"/>
              <w:bidi w:val="0"/>
              <w:spacing w:before="0" w:after="283"/>
              <w:jc w:val="left"/>
              <w:rPr/>
            </w:pPr>
            <w:r>
              <w:rPr/>
              <w:t>(4)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80" w:type="dxa"/>
            </w:tcMar>
            <w:vAlign w:val="center"/>
          </w:tcPr>
          <w:p>
            <w:pPr>
              <w:pStyle w:val="TableContents"/>
              <w:bidi w:val="0"/>
              <w:spacing w:before="0" w:after="283"/>
              <w:jc w:val="left"/>
              <w:rPr/>
            </w:pPr>
            <w:r>
              <w:rPr/>
              <w:t> </w:t>
            </w:r>
          </w:p>
        </w:tc>
        <w:tc>
          <w:tcPr>
            <w:tcW w:w="961" w:type="dxa"/>
            <w:tcBorders>
              <w:bottom w:val="single" w:sz="6" w:space="0" w:color="7F7F7F"/>
            </w:tcBorders>
            <w:tcMar>
              <w:bottom w:w="80" w:type="dxa"/>
            </w:tcMar>
            <w:vAlign w:val="center"/>
          </w:tcPr>
          <w:p>
            <w:pPr>
              <w:pStyle w:val="TableContents"/>
              <w:bidi w:val="0"/>
              <w:spacing w:before="0" w:after="283"/>
              <w:jc w:val="right"/>
              <w:rPr/>
            </w:pPr>
            <w:r>
              <w:rPr/>
              <w:t>—</w:t>
            </w:r>
          </w:p>
        </w:tc>
        <w:tc>
          <w:tcPr>
            <w:tcW w:w="8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80" w:type="dxa"/>
            </w:tcMar>
            <w:vAlign w:val="center"/>
          </w:tcPr>
          <w:p>
            <w:pPr>
              <w:pStyle w:val="TableContents"/>
              <w:bidi w:val="0"/>
              <w:spacing w:before="0" w:after="283"/>
              <w:jc w:val="left"/>
              <w:rPr/>
            </w:pPr>
            <w:r>
              <w:rPr/>
              <w:t>$</w:t>
            </w:r>
          </w:p>
        </w:tc>
        <w:tc>
          <w:tcPr>
            <w:tcW w:w="800" w:type="dxa"/>
            <w:tcBorders>
              <w:bottom w:val="single" w:sz="6" w:space="0" w:color="7F7F7F"/>
            </w:tcBorders>
            <w:tcMar>
              <w:bottom w:w="80" w:type="dxa"/>
            </w:tcMar>
            <w:vAlign w:val="center"/>
          </w:tcPr>
          <w:p>
            <w:pPr>
              <w:pStyle w:val="TableContents"/>
              <w:bidi w:val="0"/>
              <w:spacing w:before="0" w:after="283"/>
              <w:jc w:val="right"/>
              <w:rPr/>
            </w:pPr>
            <w:r>
              <w:rPr/>
              <w:t>0 </w:t>
            </w:r>
          </w:p>
        </w:tc>
        <w:tc>
          <w:tcPr>
            <w:tcW w:w="38"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c>
          <w:tcPr>
            <w:tcW w:w="1083" w:type="dxa"/>
            <w:gridSpan w:val="5"/>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98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098" w:type="dxa"/>
            <w:gridSpan w:val="5"/>
            <w:tcBorders/>
            <w:vAlign w:val="center"/>
          </w:tcPr>
          <w:p>
            <w:pPr>
              <w:pStyle w:val="TableContents"/>
              <w:bidi w:val="0"/>
              <w:spacing w:before="0" w:after="283"/>
              <w:jc w:val="left"/>
              <w:rPr>
                <w:sz w:val="4"/>
                <w:szCs w:val="4"/>
              </w:rPr>
            </w:pPr>
            <w:r>
              <w:rPr>
                <w:sz w:val="4"/>
                <w:szCs w:val="4"/>
              </w:rPr>
            </w:r>
          </w:p>
        </w:tc>
      </w:tr>
      <w:tr>
        <w:trPr/>
        <w:tc>
          <w:tcPr>
            <w:tcW w:w="80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George S. Corona(3)</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5" w:type="dxa"/>
            <w:tcBorders>
              <w:bottom w:val="single" w:sz="6" w:space="0" w:color="7F7F7F"/>
            </w:tcBorders>
            <w:tcMar>
              <w:bottom w:w="28" w:type="dxa"/>
            </w:tcMar>
            <w:vAlign w:val="center"/>
          </w:tcPr>
          <w:p>
            <w:pPr>
              <w:pStyle w:val="TableContents"/>
              <w:bidi w:val="0"/>
              <w:spacing w:before="0" w:after="283"/>
              <w:jc w:val="left"/>
              <w:rPr/>
            </w:pPr>
            <w:r>
              <w:rPr/>
              <w:t> </w:t>
            </w:r>
          </w:p>
        </w:tc>
        <w:tc>
          <w:tcPr>
            <w:tcW w:w="177" w:type="dxa"/>
            <w:tcBorders>
              <w:bottom w:val="single" w:sz="6" w:space="0" w:color="7F7F7F"/>
            </w:tcBorders>
            <w:tcMar>
              <w:bottom w:w="80" w:type="dxa"/>
            </w:tcMar>
            <w:vAlign w:val="center"/>
          </w:tcPr>
          <w:p>
            <w:pPr>
              <w:pStyle w:val="TableContents"/>
              <w:bidi w:val="0"/>
              <w:spacing w:before="0" w:after="283"/>
              <w:jc w:val="left"/>
              <w:rPr/>
            </w:pPr>
            <w:r>
              <w:rPr/>
              <w:t>$</w:t>
            </w:r>
          </w:p>
        </w:tc>
        <w:tc>
          <w:tcPr>
            <w:tcW w:w="1012" w:type="dxa"/>
            <w:tcBorders>
              <w:bottom w:val="single" w:sz="6" w:space="0" w:color="7F7F7F"/>
            </w:tcBorders>
            <w:tcMar>
              <w:bottom w:w="80" w:type="dxa"/>
            </w:tcMar>
            <w:vAlign w:val="center"/>
          </w:tcPr>
          <w:p>
            <w:pPr>
              <w:pStyle w:val="TableContents"/>
              <w:bidi w:val="0"/>
              <w:spacing w:before="0" w:after="283"/>
              <w:jc w:val="right"/>
              <w:rPr/>
            </w:pPr>
            <w:r>
              <w:rPr/>
              <w:t>100,000</w:t>
            </w:r>
          </w:p>
        </w:tc>
        <w:tc>
          <w:tcPr>
            <w:tcW w:w="31"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80" w:type="dxa"/>
            </w:tcMar>
            <w:vAlign w:val="center"/>
          </w:tcPr>
          <w:p>
            <w:pPr>
              <w:pStyle w:val="TableContents"/>
              <w:bidi w:val="0"/>
              <w:spacing w:before="0" w:after="283"/>
              <w:jc w:val="left"/>
              <w:rPr/>
            </w:pPr>
            <w:r>
              <w:rPr/>
              <w:t>$</w:t>
            </w:r>
          </w:p>
        </w:tc>
        <w:tc>
          <w:tcPr>
            <w:tcW w:w="800" w:type="dxa"/>
            <w:tcBorders>
              <w:bottom w:val="single" w:sz="6" w:space="0" w:color="7F7F7F"/>
            </w:tcBorders>
            <w:tcMar>
              <w:bottom w:w="80" w:type="dxa"/>
            </w:tcMar>
            <w:vAlign w:val="center"/>
          </w:tcPr>
          <w:p>
            <w:pPr>
              <w:pStyle w:val="TableContents"/>
              <w:bidi w:val="0"/>
              <w:spacing w:before="0" w:after="283"/>
              <w:jc w:val="right"/>
              <w:rPr/>
            </w:pPr>
            <w:r>
              <w:rPr/>
              <w:t>150,000</w:t>
            </w:r>
          </w:p>
        </w:tc>
        <w:tc>
          <w:tcPr>
            <w:tcW w:w="2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21" w:type="dxa"/>
            <w:tcBorders>
              <w:bottom w:val="single" w:sz="6" w:space="0" w:color="7F7F7F"/>
            </w:tcBorders>
            <w:tcMar>
              <w:bottom w:w="28" w:type="dxa"/>
            </w:tcMar>
            <w:vAlign w:val="center"/>
          </w:tcPr>
          <w:p>
            <w:pPr>
              <w:pStyle w:val="TableContents"/>
              <w:bidi w:val="0"/>
              <w:spacing w:before="0" w:after="283"/>
              <w:jc w:val="left"/>
              <w:rPr/>
            </w:pPr>
            <w:r>
              <w:rPr/>
              <w:t> </w:t>
            </w:r>
          </w:p>
        </w:tc>
        <w:tc>
          <w:tcPr>
            <w:tcW w:w="121" w:type="dxa"/>
            <w:tcBorders>
              <w:bottom w:val="single" w:sz="6" w:space="0" w:color="7F7F7F"/>
            </w:tcBorders>
            <w:tcMar>
              <w:bottom w:w="80" w:type="dxa"/>
            </w:tcMar>
            <w:vAlign w:val="center"/>
          </w:tcPr>
          <w:p>
            <w:pPr>
              <w:pStyle w:val="TableContents"/>
              <w:bidi w:val="0"/>
              <w:spacing w:before="0" w:after="283"/>
              <w:jc w:val="left"/>
              <w:rPr/>
            </w:pPr>
            <w:r>
              <w:rPr/>
              <w:t> </w:t>
            </w:r>
          </w:p>
        </w:tc>
        <w:tc>
          <w:tcPr>
            <w:tcW w:w="525" w:type="dxa"/>
            <w:tcBorders>
              <w:bottom w:val="single" w:sz="6" w:space="0" w:color="7F7F7F"/>
            </w:tcBorders>
            <w:tcMar>
              <w:bottom w:w="80" w:type="dxa"/>
            </w:tcMar>
            <w:vAlign w:val="center"/>
          </w:tcPr>
          <w:p>
            <w:pPr>
              <w:pStyle w:val="TableContents"/>
              <w:bidi w:val="0"/>
              <w:spacing w:before="0" w:after="283"/>
              <w:jc w:val="right"/>
              <w:rPr/>
            </w:pPr>
            <w:r>
              <w:rPr/>
              <w:t>—</w:t>
            </w:r>
          </w:p>
        </w:tc>
        <w:tc>
          <w:tcPr>
            <w:tcW w:w="48"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80" w:type="dxa"/>
            </w:tcMar>
            <w:vAlign w:val="center"/>
          </w:tcPr>
          <w:p>
            <w:pPr>
              <w:pStyle w:val="TableContents"/>
              <w:bidi w:val="0"/>
              <w:spacing w:before="0" w:after="283"/>
              <w:jc w:val="left"/>
              <w:rPr/>
            </w:pPr>
            <w:r>
              <w:rPr/>
              <w:t> </w:t>
            </w:r>
          </w:p>
        </w:tc>
        <w:tc>
          <w:tcPr>
            <w:tcW w:w="961" w:type="dxa"/>
            <w:tcBorders>
              <w:bottom w:val="single" w:sz="6" w:space="0" w:color="7F7F7F"/>
            </w:tcBorders>
            <w:tcMar>
              <w:bottom w:w="80" w:type="dxa"/>
            </w:tcMar>
            <w:vAlign w:val="center"/>
          </w:tcPr>
          <w:p>
            <w:pPr>
              <w:pStyle w:val="TableContents"/>
              <w:bidi w:val="0"/>
              <w:spacing w:before="0" w:after="283"/>
              <w:jc w:val="right"/>
              <w:rPr/>
            </w:pPr>
            <w:r>
              <w:rPr/>
              <w:t>—</w:t>
            </w:r>
          </w:p>
        </w:tc>
        <w:tc>
          <w:tcPr>
            <w:tcW w:w="8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71" w:type="dxa"/>
            <w:tcBorders>
              <w:bottom w:val="single" w:sz="6" w:space="0" w:color="7F7F7F"/>
            </w:tcBorders>
            <w:tcMar>
              <w:bottom w:w="28" w:type="dxa"/>
            </w:tcMar>
            <w:vAlign w:val="center"/>
          </w:tcPr>
          <w:p>
            <w:pPr>
              <w:pStyle w:val="TableContents"/>
              <w:bidi w:val="0"/>
              <w:spacing w:before="0" w:after="283"/>
              <w:jc w:val="left"/>
              <w:rPr/>
            </w:pPr>
            <w:r>
              <w:rPr/>
              <w:t> </w:t>
            </w:r>
          </w:p>
        </w:tc>
        <w:tc>
          <w:tcPr>
            <w:tcW w:w="399" w:type="dxa"/>
            <w:tcBorders>
              <w:bottom w:val="single" w:sz="6" w:space="0" w:color="7F7F7F"/>
            </w:tcBorders>
            <w:tcMar>
              <w:bottom w:w="80" w:type="dxa"/>
            </w:tcMar>
            <w:vAlign w:val="center"/>
          </w:tcPr>
          <w:p>
            <w:pPr>
              <w:pStyle w:val="TableContents"/>
              <w:bidi w:val="0"/>
              <w:spacing w:before="0" w:after="283"/>
              <w:jc w:val="left"/>
              <w:rPr/>
            </w:pPr>
            <w:r>
              <w:rPr/>
              <w:t>$</w:t>
            </w:r>
          </w:p>
        </w:tc>
        <w:tc>
          <w:tcPr>
            <w:tcW w:w="741" w:type="dxa"/>
            <w:tcBorders>
              <w:bottom w:val="single" w:sz="6" w:space="0" w:color="7F7F7F"/>
            </w:tcBorders>
            <w:tcMar>
              <w:bottom w:w="80" w:type="dxa"/>
            </w:tcMar>
            <w:vAlign w:val="center"/>
          </w:tcPr>
          <w:p>
            <w:pPr>
              <w:pStyle w:val="TableContents"/>
              <w:bidi w:val="0"/>
              <w:spacing w:before="0" w:after="283"/>
              <w:jc w:val="right"/>
              <w:rPr/>
            </w:pPr>
            <w:r>
              <w:rPr/>
              <w:t>0</w:t>
            </w:r>
          </w:p>
        </w:tc>
        <w:tc>
          <w:tcPr>
            <w:tcW w:w="614" w:type="dxa"/>
            <w:tcBorders>
              <w:bottom w:val="single" w:sz="6" w:space="0" w:color="7F7F7F"/>
            </w:tcBorders>
            <w:tcMar>
              <w:bottom w:w="80" w:type="dxa"/>
            </w:tcMar>
            <w:vAlign w:val="center"/>
          </w:tcPr>
          <w:p>
            <w:pPr>
              <w:pStyle w:val="TableContents"/>
              <w:bidi w:val="0"/>
              <w:spacing w:before="0" w:after="283"/>
              <w:jc w:val="left"/>
              <w:rPr/>
            </w:pPr>
            <w:r>
              <w:rPr/>
              <w:t>(4)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80" w:type="dxa"/>
            </w:tcMar>
            <w:vAlign w:val="center"/>
          </w:tcPr>
          <w:p>
            <w:pPr>
              <w:pStyle w:val="TableContents"/>
              <w:bidi w:val="0"/>
              <w:spacing w:before="0" w:after="283"/>
              <w:jc w:val="left"/>
              <w:rPr/>
            </w:pPr>
            <w:r>
              <w:rPr/>
              <w:t> </w:t>
            </w:r>
          </w:p>
        </w:tc>
        <w:tc>
          <w:tcPr>
            <w:tcW w:w="961" w:type="dxa"/>
            <w:tcBorders>
              <w:bottom w:val="single" w:sz="6" w:space="0" w:color="7F7F7F"/>
            </w:tcBorders>
            <w:tcMar>
              <w:bottom w:w="80" w:type="dxa"/>
            </w:tcMar>
            <w:vAlign w:val="center"/>
          </w:tcPr>
          <w:p>
            <w:pPr>
              <w:pStyle w:val="TableContents"/>
              <w:bidi w:val="0"/>
              <w:spacing w:before="0" w:after="283"/>
              <w:jc w:val="right"/>
              <w:rPr/>
            </w:pPr>
            <w:r>
              <w:rPr/>
              <w:t>—</w:t>
            </w:r>
          </w:p>
        </w:tc>
        <w:tc>
          <w:tcPr>
            <w:tcW w:w="8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80" w:type="dxa"/>
            </w:tcMar>
            <w:vAlign w:val="center"/>
          </w:tcPr>
          <w:p>
            <w:pPr>
              <w:pStyle w:val="TableContents"/>
              <w:bidi w:val="0"/>
              <w:spacing w:before="0" w:after="283"/>
              <w:jc w:val="left"/>
              <w:rPr/>
            </w:pPr>
            <w:r>
              <w:rPr/>
              <w:t>$</w:t>
            </w:r>
          </w:p>
        </w:tc>
        <w:tc>
          <w:tcPr>
            <w:tcW w:w="800" w:type="dxa"/>
            <w:tcBorders>
              <w:bottom w:val="single" w:sz="6" w:space="0" w:color="7F7F7F"/>
            </w:tcBorders>
            <w:tcMar>
              <w:bottom w:w="80" w:type="dxa"/>
            </w:tcMar>
            <w:vAlign w:val="center"/>
          </w:tcPr>
          <w:p>
            <w:pPr>
              <w:pStyle w:val="TableContents"/>
              <w:bidi w:val="0"/>
              <w:spacing w:before="0" w:after="283"/>
              <w:jc w:val="right"/>
              <w:rPr/>
            </w:pPr>
            <w:r>
              <w:rPr/>
              <w:t>0 </w:t>
            </w:r>
          </w:p>
        </w:tc>
        <w:tc>
          <w:tcPr>
            <w:tcW w:w="38"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c>
          <w:tcPr>
            <w:tcW w:w="1083" w:type="dxa"/>
            <w:gridSpan w:val="5"/>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98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098" w:type="dxa"/>
            <w:gridSpan w:val="5"/>
            <w:tcBorders/>
            <w:vAlign w:val="center"/>
          </w:tcPr>
          <w:p>
            <w:pPr>
              <w:pStyle w:val="TableContents"/>
              <w:bidi w:val="0"/>
              <w:spacing w:before="0" w:after="283"/>
              <w:jc w:val="left"/>
              <w:rPr>
                <w:sz w:val="4"/>
                <w:szCs w:val="4"/>
              </w:rPr>
            </w:pPr>
            <w:r>
              <w:rPr>
                <w:sz w:val="4"/>
                <w:szCs w:val="4"/>
              </w:rPr>
            </w:r>
          </w:p>
        </w:tc>
      </w:tr>
      <w:tr>
        <w:trPr/>
        <w:tc>
          <w:tcPr>
            <w:tcW w:w="80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Robert S. Cubbin</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5" w:type="dxa"/>
            <w:tcBorders>
              <w:bottom w:val="single" w:sz="6" w:space="0" w:color="7F7F7F"/>
            </w:tcBorders>
            <w:tcMar>
              <w:bottom w:w="28" w:type="dxa"/>
            </w:tcMar>
            <w:vAlign w:val="center"/>
          </w:tcPr>
          <w:p>
            <w:pPr>
              <w:pStyle w:val="TableContents"/>
              <w:bidi w:val="0"/>
              <w:spacing w:before="0" w:after="283"/>
              <w:jc w:val="left"/>
              <w:rPr/>
            </w:pPr>
            <w:r>
              <w:rPr/>
              <w:t> </w:t>
            </w:r>
          </w:p>
        </w:tc>
        <w:tc>
          <w:tcPr>
            <w:tcW w:w="177" w:type="dxa"/>
            <w:tcBorders>
              <w:bottom w:val="single" w:sz="6" w:space="0" w:color="7F7F7F"/>
            </w:tcBorders>
            <w:tcMar>
              <w:bottom w:w="80" w:type="dxa"/>
            </w:tcMar>
            <w:vAlign w:val="center"/>
          </w:tcPr>
          <w:p>
            <w:pPr>
              <w:pStyle w:val="TableContents"/>
              <w:bidi w:val="0"/>
              <w:spacing w:before="0" w:after="283"/>
              <w:jc w:val="left"/>
              <w:rPr/>
            </w:pPr>
            <w:r>
              <w:rPr/>
              <w:t>$</w:t>
            </w:r>
          </w:p>
        </w:tc>
        <w:tc>
          <w:tcPr>
            <w:tcW w:w="1012" w:type="dxa"/>
            <w:tcBorders>
              <w:bottom w:val="single" w:sz="6" w:space="0" w:color="7F7F7F"/>
            </w:tcBorders>
            <w:tcMar>
              <w:bottom w:w="80" w:type="dxa"/>
            </w:tcMar>
            <w:vAlign w:val="center"/>
          </w:tcPr>
          <w:p>
            <w:pPr>
              <w:pStyle w:val="TableContents"/>
              <w:bidi w:val="0"/>
              <w:spacing w:before="0" w:after="283"/>
              <w:jc w:val="right"/>
              <w:rPr/>
            </w:pPr>
            <w:r>
              <w:rPr/>
              <w:t>115,000</w:t>
            </w:r>
          </w:p>
        </w:tc>
        <w:tc>
          <w:tcPr>
            <w:tcW w:w="31"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80" w:type="dxa"/>
            </w:tcMar>
            <w:vAlign w:val="center"/>
          </w:tcPr>
          <w:p>
            <w:pPr>
              <w:pStyle w:val="TableContents"/>
              <w:bidi w:val="0"/>
              <w:spacing w:before="0" w:after="283"/>
              <w:jc w:val="left"/>
              <w:rPr/>
            </w:pPr>
            <w:r>
              <w:rPr/>
              <w:t>$</w:t>
            </w:r>
          </w:p>
        </w:tc>
        <w:tc>
          <w:tcPr>
            <w:tcW w:w="800" w:type="dxa"/>
            <w:tcBorders>
              <w:bottom w:val="single" w:sz="6" w:space="0" w:color="7F7F7F"/>
            </w:tcBorders>
            <w:tcMar>
              <w:bottom w:w="80" w:type="dxa"/>
            </w:tcMar>
            <w:vAlign w:val="center"/>
          </w:tcPr>
          <w:p>
            <w:pPr>
              <w:pStyle w:val="TableContents"/>
              <w:bidi w:val="0"/>
              <w:spacing w:before="0" w:after="283"/>
              <w:jc w:val="right"/>
              <w:rPr/>
            </w:pPr>
            <w:r>
              <w:rPr/>
              <w:t>150,000</w:t>
            </w:r>
          </w:p>
        </w:tc>
        <w:tc>
          <w:tcPr>
            <w:tcW w:w="2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21" w:type="dxa"/>
            <w:tcBorders>
              <w:bottom w:val="single" w:sz="6" w:space="0" w:color="7F7F7F"/>
            </w:tcBorders>
            <w:tcMar>
              <w:bottom w:w="28" w:type="dxa"/>
            </w:tcMar>
            <w:vAlign w:val="center"/>
          </w:tcPr>
          <w:p>
            <w:pPr>
              <w:pStyle w:val="TableContents"/>
              <w:bidi w:val="0"/>
              <w:spacing w:before="0" w:after="283"/>
              <w:jc w:val="left"/>
              <w:rPr/>
            </w:pPr>
            <w:r>
              <w:rPr/>
              <w:t> </w:t>
            </w:r>
          </w:p>
        </w:tc>
        <w:tc>
          <w:tcPr>
            <w:tcW w:w="121" w:type="dxa"/>
            <w:tcBorders>
              <w:bottom w:val="single" w:sz="6" w:space="0" w:color="7F7F7F"/>
            </w:tcBorders>
            <w:tcMar>
              <w:bottom w:w="80" w:type="dxa"/>
            </w:tcMar>
            <w:vAlign w:val="center"/>
          </w:tcPr>
          <w:p>
            <w:pPr>
              <w:pStyle w:val="TableContents"/>
              <w:bidi w:val="0"/>
              <w:spacing w:before="0" w:after="283"/>
              <w:jc w:val="left"/>
              <w:rPr/>
            </w:pPr>
            <w:r>
              <w:rPr/>
              <w:t> </w:t>
            </w:r>
          </w:p>
        </w:tc>
        <w:tc>
          <w:tcPr>
            <w:tcW w:w="525" w:type="dxa"/>
            <w:tcBorders>
              <w:bottom w:val="single" w:sz="6" w:space="0" w:color="7F7F7F"/>
            </w:tcBorders>
            <w:tcMar>
              <w:bottom w:w="80" w:type="dxa"/>
            </w:tcMar>
            <w:vAlign w:val="center"/>
          </w:tcPr>
          <w:p>
            <w:pPr>
              <w:pStyle w:val="TableContents"/>
              <w:bidi w:val="0"/>
              <w:spacing w:before="0" w:after="283"/>
              <w:jc w:val="right"/>
              <w:rPr/>
            </w:pPr>
            <w:r>
              <w:rPr/>
              <w:t>—</w:t>
            </w:r>
          </w:p>
        </w:tc>
        <w:tc>
          <w:tcPr>
            <w:tcW w:w="48"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80" w:type="dxa"/>
            </w:tcMar>
            <w:vAlign w:val="center"/>
          </w:tcPr>
          <w:p>
            <w:pPr>
              <w:pStyle w:val="TableContents"/>
              <w:bidi w:val="0"/>
              <w:spacing w:before="0" w:after="283"/>
              <w:jc w:val="left"/>
              <w:rPr/>
            </w:pPr>
            <w:r>
              <w:rPr/>
              <w:t> </w:t>
            </w:r>
          </w:p>
        </w:tc>
        <w:tc>
          <w:tcPr>
            <w:tcW w:w="961" w:type="dxa"/>
            <w:tcBorders>
              <w:bottom w:val="single" w:sz="6" w:space="0" w:color="7F7F7F"/>
            </w:tcBorders>
            <w:tcMar>
              <w:bottom w:w="80" w:type="dxa"/>
            </w:tcMar>
            <w:vAlign w:val="center"/>
          </w:tcPr>
          <w:p>
            <w:pPr>
              <w:pStyle w:val="TableContents"/>
              <w:bidi w:val="0"/>
              <w:spacing w:before="0" w:after="283"/>
              <w:jc w:val="right"/>
              <w:rPr/>
            </w:pPr>
            <w:r>
              <w:rPr/>
              <w:t>—</w:t>
            </w:r>
          </w:p>
        </w:tc>
        <w:tc>
          <w:tcPr>
            <w:tcW w:w="8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71" w:type="dxa"/>
            <w:tcBorders>
              <w:bottom w:val="single" w:sz="6" w:space="0" w:color="7F7F7F"/>
            </w:tcBorders>
            <w:tcMar>
              <w:bottom w:w="28" w:type="dxa"/>
            </w:tcMar>
            <w:vAlign w:val="center"/>
          </w:tcPr>
          <w:p>
            <w:pPr>
              <w:pStyle w:val="TableContents"/>
              <w:bidi w:val="0"/>
              <w:spacing w:before="0" w:after="283"/>
              <w:jc w:val="left"/>
              <w:rPr/>
            </w:pPr>
            <w:r>
              <w:rPr/>
              <w:t> </w:t>
            </w:r>
          </w:p>
        </w:tc>
        <w:tc>
          <w:tcPr>
            <w:tcW w:w="399" w:type="dxa"/>
            <w:tcBorders>
              <w:bottom w:val="single" w:sz="6" w:space="0" w:color="7F7F7F"/>
            </w:tcBorders>
            <w:tcMar>
              <w:bottom w:w="80" w:type="dxa"/>
            </w:tcMar>
            <w:vAlign w:val="center"/>
          </w:tcPr>
          <w:p>
            <w:pPr>
              <w:pStyle w:val="TableContents"/>
              <w:bidi w:val="0"/>
              <w:spacing w:before="0" w:after="283"/>
              <w:jc w:val="left"/>
              <w:rPr/>
            </w:pPr>
            <w:r>
              <w:rPr/>
              <w:t>$</w:t>
            </w:r>
          </w:p>
        </w:tc>
        <w:tc>
          <w:tcPr>
            <w:tcW w:w="741" w:type="dxa"/>
            <w:tcBorders>
              <w:bottom w:val="single" w:sz="6" w:space="0" w:color="7F7F7F"/>
            </w:tcBorders>
            <w:tcMar>
              <w:bottom w:w="80" w:type="dxa"/>
            </w:tcMar>
            <w:vAlign w:val="center"/>
          </w:tcPr>
          <w:p>
            <w:pPr>
              <w:pStyle w:val="TableContents"/>
              <w:bidi w:val="0"/>
              <w:spacing w:before="0" w:after="283"/>
              <w:jc w:val="right"/>
              <w:rPr/>
            </w:pPr>
            <w:r>
              <w:rPr/>
              <w:t>0</w:t>
            </w:r>
          </w:p>
        </w:tc>
        <w:tc>
          <w:tcPr>
            <w:tcW w:w="614" w:type="dxa"/>
            <w:tcBorders>
              <w:bottom w:val="single" w:sz="6" w:space="0" w:color="7F7F7F"/>
            </w:tcBorders>
            <w:tcMar>
              <w:bottom w:w="80" w:type="dxa"/>
            </w:tcMar>
            <w:vAlign w:val="center"/>
          </w:tcPr>
          <w:p>
            <w:pPr>
              <w:pStyle w:val="TableContents"/>
              <w:bidi w:val="0"/>
              <w:spacing w:before="0" w:after="283"/>
              <w:jc w:val="left"/>
              <w:rPr/>
            </w:pPr>
            <w:r>
              <w:rPr/>
              <w:t>(4)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80" w:type="dxa"/>
            </w:tcMar>
            <w:vAlign w:val="center"/>
          </w:tcPr>
          <w:p>
            <w:pPr>
              <w:pStyle w:val="TableContents"/>
              <w:bidi w:val="0"/>
              <w:spacing w:before="0" w:after="283"/>
              <w:jc w:val="left"/>
              <w:rPr/>
            </w:pPr>
            <w:r>
              <w:rPr/>
              <w:t> </w:t>
            </w:r>
          </w:p>
        </w:tc>
        <w:tc>
          <w:tcPr>
            <w:tcW w:w="961" w:type="dxa"/>
            <w:tcBorders>
              <w:bottom w:val="single" w:sz="6" w:space="0" w:color="7F7F7F"/>
            </w:tcBorders>
            <w:tcMar>
              <w:bottom w:w="80" w:type="dxa"/>
            </w:tcMar>
            <w:vAlign w:val="center"/>
          </w:tcPr>
          <w:p>
            <w:pPr>
              <w:pStyle w:val="TableContents"/>
              <w:bidi w:val="0"/>
              <w:spacing w:before="0" w:after="283"/>
              <w:jc w:val="right"/>
              <w:rPr/>
            </w:pPr>
            <w:r>
              <w:rPr/>
              <w:t>—</w:t>
            </w:r>
          </w:p>
        </w:tc>
        <w:tc>
          <w:tcPr>
            <w:tcW w:w="8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80" w:type="dxa"/>
            </w:tcMar>
            <w:vAlign w:val="center"/>
          </w:tcPr>
          <w:p>
            <w:pPr>
              <w:pStyle w:val="TableContents"/>
              <w:bidi w:val="0"/>
              <w:spacing w:before="0" w:after="283"/>
              <w:jc w:val="left"/>
              <w:rPr/>
            </w:pPr>
            <w:r>
              <w:rPr/>
              <w:t>$</w:t>
            </w:r>
          </w:p>
        </w:tc>
        <w:tc>
          <w:tcPr>
            <w:tcW w:w="800" w:type="dxa"/>
            <w:tcBorders>
              <w:bottom w:val="single" w:sz="6" w:space="0" w:color="7F7F7F"/>
            </w:tcBorders>
            <w:tcMar>
              <w:bottom w:w="80" w:type="dxa"/>
            </w:tcMar>
            <w:vAlign w:val="center"/>
          </w:tcPr>
          <w:p>
            <w:pPr>
              <w:pStyle w:val="TableContents"/>
              <w:bidi w:val="0"/>
              <w:spacing w:before="0" w:after="283"/>
              <w:jc w:val="right"/>
              <w:rPr/>
            </w:pPr>
            <w:r>
              <w:rPr/>
              <w:t>0 </w:t>
            </w:r>
          </w:p>
        </w:tc>
        <w:tc>
          <w:tcPr>
            <w:tcW w:w="38"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c>
          <w:tcPr>
            <w:tcW w:w="1083" w:type="dxa"/>
            <w:gridSpan w:val="5"/>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98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098" w:type="dxa"/>
            <w:gridSpan w:val="5"/>
            <w:tcBorders/>
            <w:vAlign w:val="center"/>
          </w:tcPr>
          <w:p>
            <w:pPr>
              <w:pStyle w:val="TableContents"/>
              <w:bidi w:val="0"/>
              <w:spacing w:before="0" w:after="283"/>
              <w:jc w:val="left"/>
              <w:rPr>
                <w:sz w:val="4"/>
                <w:szCs w:val="4"/>
              </w:rPr>
            </w:pPr>
            <w:r>
              <w:rPr>
                <w:sz w:val="4"/>
                <w:szCs w:val="4"/>
              </w:rPr>
            </w:r>
          </w:p>
        </w:tc>
      </w:tr>
      <w:tr>
        <w:trPr/>
        <w:tc>
          <w:tcPr>
            <w:tcW w:w="80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Amala Duggirala</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5" w:type="dxa"/>
            <w:tcBorders>
              <w:bottom w:val="single" w:sz="6" w:space="0" w:color="7F7F7F"/>
            </w:tcBorders>
            <w:tcMar>
              <w:bottom w:w="28" w:type="dxa"/>
            </w:tcMar>
            <w:vAlign w:val="center"/>
          </w:tcPr>
          <w:p>
            <w:pPr>
              <w:pStyle w:val="TableContents"/>
              <w:bidi w:val="0"/>
              <w:spacing w:before="0" w:after="283"/>
              <w:jc w:val="left"/>
              <w:rPr/>
            </w:pPr>
            <w:r>
              <w:rPr/>
              <w:t> </w:t>
            </w:r>
          </w:p>
        </w:tc>
        <w:tc>
          <w:tcPr>
            <w:tcW w:w="177" w:type="dxa"/>
            <w:tcBorders>
              <w:bottom w:val="single" w:sz="6" w:space="0" w:color="7F7F7F"/>
            </w:tcBorders>
            <w:tcMar>
              <w:bottom w:w="80" w:type="dxa"/>
            </w:tcMar>
            <w:vAlign w:val="center"/>
          </w:tcPr>
          <w:p>
            <w:pPr>
              <w:pStyle w:val="TableContents"/>
              <w:bidi w:val="0"/>
              <w:spacing w:before="0" w:after="283"/>
              <w:jc w:val="left"/>
              <w:rPr/>
            </w:pPr>
            <w:r>
              <w:rPr/>
              <w:t>$</w:t>
            </w:r>
          </w:p>
        </w:tc>
        <w:tc>
          <w:tcPr>
            <w:tcW w:w="1012" w:type="dxa"/>
            <w:tcBorders>
              <w:bottom w:val="single" w:sz="6" w:space="0" w:color="7F7F7F"/>
            </w:tcBorders>
            <w:tcMar>
              <w:bottom w:w="80" w:type="dxa"/>
            </w:tcMar>
            <w:vAlign w:val="center"/>
          </w:tcPr>
          <w:p>
            <w:pPr>
              <w:pStyle w:val="TableContents"/>
              <w:bidi w:val="0"/>
              <w:spacing w:before="0" w:after="283"/>
              <w:jc w:val="right"/>
              <w:rPr/>
            </w:pPr>
            <w:r>
              <w:rPr/>
              <w:t>100,000</w:t>
            </w:r>
          </w:p>
        </w:tc>
        <w:tc>
          <w:tcPr>
            <w:tcW w:w="31"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80" w:type="dxa"/>
            </w:tcMar>
            <w:vAlign w:val="center"/>
          </w:tcPr>
          <w:p>
            <w:pPr>
              <w:pStyle w:val="TableContents"/>
              <w:bidi w:val="0"/>
              <w:spacing w:before="0" w:after="283"/>
              <w:jc w:val="left"/>
              <w:rPr/>
            </w:pPr>
            <w:r>
              <w:rPr/>
              <w:t>$</w:t>
            </w:r>
          </w:p>
        </w:tc>
        <w:tc>
          <w:tcPr>
            <w:tcW w:w="800" w:type="dxa"/>
            <w:tcBorders>
              <w:bottom w:val="single" w:sz="6" w:space="0" w:color="7F7F7F"/>
            </w:tcBorders>
            <w:tcMar>
              <w:bottom w:w="80" w:type="dxa"/>
            </w:tcMar>
            <w:vAlign w:val="center"/>
          </w:tcPr>
          <w:p>
            <w:pPr>
              <w:pStyle w:val="TableContents"/>
              <w:bidi w:val="0"/>
              <w:spacing w:before="0" w:after="283"/>
              <w:jc w:val="right"/>
              <w:rPr/>
            </w:pPr>
            <w:r>
              <w:rPr/>
              <w:t>150,000</w:t>
            </w:r>
          </w:p>
        </w:tc>
        <w:tc>
          <w:tcPr>
            <w:tcW w:w="2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21" w:type="dxa"/>
            <w:tcBorders>
              <w:bottom w:val="single" w:sz="6" w:space="0" w:color="7F7F7F"/>
            </w:tcBorders>
            <w:tcMar>
              <w:bottom w:w="28" w:type="dxa"/>
            </w:tcMar>
            <w:vAlign w:val="center"/>
          </w:tcPr>
          <w:p>
            <w:pPr>
              <w:pStyle w:val="TableContents"/>
              <w:bidi w:val="0"/>
              <w:spacing w:before="0" w:after="283"/>
              <w:jc w:val="left"/>
              <w:rPr/>
            </w:pPr>
            <w:r>
              <w:rPr/>
              <w:t> </w:t>
            </w:r>
          </w:p>
        </w:tc>
        <w:tc>
          <w:tcPr>
            <w:tcW w:w="121" w:type="dxa"/>
            <w:tcBorders>
              <w:bottom w:val="single" w:sz="6" w:space="0" w:color="7F7F7F"/>
            </w:tcBorders>
            <w:tcMar>
              <w:bottom w:w="80" w:type="dxa"/>
            </w:tcMar>
            <w:vAlign w:val="center"/>
          </w:tcPr>
          <w:p>
            <w:pPr>
              <w:pStyle w:val="TableContents"/>
              <w:bidi w:val="0"/>
              <w:spacing w:before="0" w:after="283"/>
              <w:jc w:val="left"/>
              <w:rPr/>
            </w:pPr>
            <w:r>
              <w:rPr/>
              <w:t> </w:t>
            </w:r>
          </w:p>
        </w:tc>
        <w:tc>
          <w:tcPr>
            <w:tcW w:w="525" w:type="dxa"/>
            <w:tcBorders>
              <w:bottom w:val="single" w:sz="6" w:space="0" w:color="7F7F7F"/>
            </w:tcBorders>
            <w:tcMar>
              <w:bottom w:w="80" w:type="dxa"/>
            </w:tcMar>
            <w:vAlign w:val="center"/>
          </w:tcPr>
          <w:p>
            <w:pPr>
              <w:pStyle w:val="TableContents"/>
              <w:bidi w:val="0"/>
              <w:spacing w:before="0" w:after="283"/>
              <w:jc w:val="right"/>
              <w:rPr/>
            </w:pPr>
            <w:r>
              <w:rPr/>
              <w:t>—</w:t>
            </w:r>
          </w:p>
        </w:tc>
        <w:tc>
          <w:tcPr>
            <w:tcW w:w="48"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80" w:type="dxa"/>
            </w:tcMar>
            <w:vAlign w:val="center"/>
          </w:tcPr>
          <w:p>
            <w:pPr>
              <w:pStyle w:val="TableContents"/>
              <w:bidi w:val="0"/>
              <w:spacing w:before="0" w:after="283"/>
              <w:jc w:val="left"/>
              <w:rPr/>
            </w:pPr>
            <w:r>
              <w:rPr/>
              <w:t> </w:t>
            </w:r>
          </w:p>
        </w:tc>
        <w:tc>
          <w:tcPr>
            <w:tcW w:w="961" w:type="dxa"/>
            <w:tcBorders>
              <w:bottom w:val="single" w:sz="6" w:space="0" w:color="7F7F7F"/>
            </w:tcBorders>
            <w:tcMar>
              <w:bottom w:w="80" w:type="dxa"/>
            </w:tcMar>
            <w:vAlign w:val="center"/>
          </w:tcPr>
          <w:p>
            <w:pPr>
              <w:pStyle w:val="TableContents"/>
              <w:bidi w:val="0"/>
              <w:spacing w:before="0" w:after="283"/>
              <w:jc w:val="right"/>
              <w:rPr/>
            </w:pPr>
            <w:r>
              <w:rPr/>
              <w:t>—</w:t>
            </w:r>
          </w:p>
        </w:tc>
        <w:tc>
          <w:tcPr>
            <w:tcW w:w="8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71" w:type="dxa"/>
            <w:tcBorders>
              <w:bottom w:val="single" w:sz="6" w:space="0" w:color="7F7F7F"/>
            </w:tcBorders>
            <w:tcMar>
              <w:bottom w:w="28" w:type="dxa"/>
            </w:tcMar>
            <w:vAlign w:val="center"/>
          </w:tcPr>
          <w:p>
            <w:pPr>
              <w:pStyle w:val="TableContents"/>
              <w:bidi w:val="0"/>
              <w:spacing w:before="0" w:after="283"/>
              <w:jc w:val="left"/>
              <w:rPr/>
            </w:pPr>
            <w:r>
              <w:rPr/>
              <w:t> </w:t>
            </w:r>
          </w:p>
        </w:tc>
        <w:tc>
          <w:tcPr>
            <w:tcW w:w="399" w:type="dxa"/>
            <w:tcBorders>
              <w:bottom w:val="single" w:sz="6" w:space="0" w:color="7F7F7F"/>
            </w:tcBorders>
            <w:tcMar>
              <w:bottom w:w="80" w:type="dxa"/>
            </w:tcMar>
            <w:vAlign w:val="center"/>
          </w:tcPr>
          <w:p>
            <w:pPr>
              <w:pStyle w:val="TableContents"/>
              <w:bidi w:val="0"/>
              <w:spacing w:before="0" w:after="283"/>
              <w:jc w:val="left"/>
              <w:rPr/>
            </w:pPr>
            <w:r>
              <w:rPr/>
              <w:t>$</w:t>
            </w:r>
          </w:p>
        </w:tc>
        <w:tc>
          <w:tcPr>
            <w:tcW w:w="741" w:type="dxa"/>
            <w:tcBorders>
              <w:bottom w:val="single" w:sz="6" w:space="0" w:color="7F7F7F"/>
            </w:tcBorders>
            <w:tcMar>
              <w:bottom w:w="80" w:type="dxa"/>
            </w:tcMar>
            <w:vAlign w:val="center"/>
          </w:tcPr>
          <w:p>
            <w:pPr>
              <w:pStyle w:val="TableContents"/>
              <w:bidi w:val="0"/>
              <w:spacing w:before="0" w:after="283"/>
              <w:jc w:val="right"/>
              <w:rPr/>
            </w:pPr>
            <w:r>
              <w:rPr/>
              <w:t>0</w:t>
            </w:r>
          </w:p>
        </w:tc>
        <w:tc>
          <w:tcPr>
            <w:tcW w:w="614" w:type="dxa"/>
            <w:tcBorders>
              <w:bottom w:val="single" w:sz="6" w:space="0" w:color="7F7F7F"/>
            </w:tcBorders>
            <w:tcMar>
              <w:bottom w:w="80" w:type="dxa"/>
            </w:tcMar>
            <w:vAlign w:val="center"/>
          </w:tcPr>
          <w:p>
            <w:pPr>
              <w:pStyle w:val="TableContents"/>
              <w:bidi w:val="0"/>
              <w:spacing w:before="0" w:after="283"/>
              <w:jc w:val="left"/>
              <w:rPr/>
            </w:pPr>
            <w:r>
              <w:rPr/>
              <w:t>(4)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80" w:type="dxa"/>
            </w:tcMar>
            <w:vAlign w:val="center"/>
          </w:tcPr>
          <w:p>
            <w:pPr>
              <w:pStyle w:val="TableContents"/>
              <w:bidi w:val="0"/>
              <w:spacing w:before="0" w:after="283"/>
              <w:jc w:val="left"/>
              <w:rPr/>
            </w:pPr>
            <w:r>
              <w:rPr/>
              <w:t> </w:t>
            </w:r>
          </w:p>
        </w:tc>
        <w:tc>
          <w:tcPr>
            <w:tcW w:w="961" w:type="dxa"/>
            <w:tcBorders>
              <w:bottom w:val="single" w:sz="6" w:space="0" w:color="7F7F7F"/>
            </w:tcBorders>
            <w:tcMar>
              <w:bottom w:w="80" w:type="dxa"/>
            </w:tcMar>
            <w:vAlign w:val="center"/>
          </w:tcPr>
          <w:p>
            <w:pPr>
              <w:pStyle w:val="TableContents"/>
              <w:bidi w:val="0"/>
              <w:spacing w:before="0" w:after="283"/>
              <w:jc w:val="right"/>
              <w:rPr/>
            </w:pPr>
            <w:r>
              <w:rPr/>
              <w:t>—</w:t>
            </w:r>
          </w:p>
        </w:tc>
        <w:tc>
          <w:tcPr>
            <w:tcW w:w="8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80" w:type="dxa"/>
            </w:tcMar>
            <w:vAlign w:val="center"/>
          </w:tcPr>
          <w:p>
            <w:pPr>
              <w:pStyle w:val="TableContents"/>
              <w:bidi w:val="0"/>
              <w:spacing w:before="0" w:after="283"/>
              <w:jc w:val="left"/>
              <w:rPr/>
            </w:pPr>
            <w:r>
              <w:rPr/>
              <w:t>$</w:t>
            </w:r>
          </w:p>
        </w:tc>
        <w:tc>
          <w:tcPr>
            <w:tcW w:w="800" w:type="dxa"/>
            <w:tcBorders>
              <w:bottom w:val="single" w:sz="6" w:space="0" w:color="7F7F7F"/>
            </w:tcBorders>
            <w:tcMar>
              <w:bottom w:w="80" w:type="dxa"/>
            </w:tcMar>
            <w:vAlign w:val="center"/>
          </w:tcPr>
          <w:p>
            <w:pPr>
              <w:pStyle w:val="TableContents"/>
              <w:bidi w:val="0"/>
              <w:spacing w:before="0" w:after="283"/>
              <w:jc w:val="right"/>
              <w:rPr/>
            </w:pPr>
            <w:r>
              <w:rPr/>
              <w:t>0 </w:t>
            </w:r>
          </w:p>
        </w:tc>
        <w:tc>
          <w:tcPr>
            <w:tcW w:w="38"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c>
          <w:tcPr>
            <w:tcW w:w="1083" w:type="dxa"/>
            <w:gridSpan w:val="5"/>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98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098" w:type="dxa"/>
            <w:gridSpan w:val="5"/>
            <w:tcBorders/>
            <w:vAlign w:val="center"/>
          </w:tcPr>
          <w:p>
            <w:pPr>
              <w:pStyle w:val="TableContents"/>
              <w:bidi w:val="0"/>
              <w:spacing w:before="0" w:after="283"/>
              <w:jc w:val="left"/>
              <w:rPr>
                <w:sz w:val="4"/>
                <w:szCs w:val="4"/>
              </w:rPr>
            </w:pPr>
            <w:r>
              <w:rPr>
                <w:sz w:val="4"/>
                <w:szCs w:val="4"/>
              </w:rPr>
            </w:r>
          </w:p>
        </w:tc>
      </w:tr>
      <w:tr>
        <w:trPr/>
        <w:tc>
          <w:tcPr>
            <w:tcW w:w="80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InaMarie F. Johnson(3)</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5" w:type="dxa"/>
            <w:tcBorders>
              <w:bottom w:val="single" w:sz="6" w:space="0" w:color="7F7F7F"/>
            </w:tcBorders>
            <w:tcMar>
              <w:bottom w:w="28" w:type="dxa"/>
            </w:tcMar>
            <w:vAlign w:val="center"/>
          </w:tcPr>
          <w:p>
            <w:pPr>
              <w:pStyle w:val="TableContents"/>
              <w:bidi w:val="0"/>
              <w:spacing w:before="0" w:after="283"/>
              <w:jc w:val="left"/>
              <w:rPr/>
            </w:pPr>
            <w:r>
              <w:rPr/>
              <w:t> </w:t>
            </w:r>
          </w:p>
        </w:tc>
        <w:tc>
          <w:tcPr>
            <w:tcW w:w="177" w:type="dxa"/>
            <w:tcBorders>
              <w:bottom w:val="single" w:sz="6" w:space="0" w:color="7F7F7F"/>
            </w:tcBorders>
            <w:tcMar>
              <w:bottom w:w="80" w:type="dxa"/>
            </w:tcMar>
            <w:vAlign w:val="center"/>
          </w:tcPr>
          <w:p>
            <w:pPr>
              <w:pStyle w:val="TableContents"/>
              <w:bidi w:val="0"/>
              <w:spacing w:before="0" w:after="283"/>
              <w:jc w:val="left"/>
              <w:rPr/>
            </w:pPr>
            <w:r>
              <w:rPr/>
              <w:t>$</w:t>
            </w:r>
          </w:p>
        </w:tc>
        <w:tc>
          <w:tcPr>
            <w:tcW w:w="1012" w:type="dxa"/>
            <w:tcBorders>
              <w:bottom w:val="single" w:sz="6" w:space="0" w:color="7F7F7F"/>
            </w:tcBorders>
            <w:tcMar>
              <w:bottom w:w="80" w:type="dxa"/>
            </w:tcMar>
            <w:vAlign w:val="center"/>
          </w:tcPr>
          <w:p>
            <w:pPr>
              <w:pStyle w:val="TableContents"/>
              <w:bidi w:val="0"/>
              <w:spacing w:before="0" w:after="283"/>
              <w:jc w:val="right"/>
              <w:rPr/>
            </w:pPr>
            <w:r>
              <w:rPr/>
              <w:t>100,000</w:t>
            </w:r>
          </w:p>
        </w:tc>
        <w:tc>
          <w:tcPr>
            <w:tcW w:w="31"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80" w:type="dxa"/>
            </w:tcMar>
            <w:vAlign w:val="center"/>
          </w:tcPr>
          <w:p>
            <w:pPr>
              <w:pStyle w:val="TableContents"/>
              <w:bidi w:val="0"/>
              <w:spacing w:before="0" w:after="283"/>
              <w:jc w:val="left"/>
              <w:rPr/>
            </w:pPr>
            <w:r>
              <w:rPr/>
              <w:t>$</w:t>
            </w:r>
          </w:p>
        </w:tc>
        <w:tc>
          <w:tcPr>
            <w:tcW w:w="800" w:type="dxa"/>
            <w:tcBorders>
              <w:bottom w:val="single" w:sz="6" w:space="0" w:color="7F7F7F"/>
            </w:tcBorders>
            <w:tcMar>
              <w:bottom w:w="80" w:type="dxa"/>
            </w:tcMar>
            <w:vAlign w:val="center"/>
          </w:tcPr>
          <w:p>
            <w:pPr>
              <w:pStyle w:val="TableContents"/>
              <w:bidi w:val="0"/>
              <w:spacing w:before="0" w:after="283"/>
              <w:jc w:val="right"/>
              <w:rPr/>
            </w:pPr>
            <w:r>
              <w:rPr/>
              <w:t>150,000</w:t>
            </w:r>
          </w:p>
        </w:tc>
        <w:tc>
          <w:tcPr>
            <w:tcW w:w="2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21" w:type="dxa"/>
            <w:tcBorders>
              <w:bottom w:val="single" w:sz="6" w:space="0" w:color="7F7F7F"/>
            </w:tcBorders>
            <w:tcMar>
              <w:bottom w:w="28" w:type="dxa"/>
            </w:tcMar>
            <w:vAlign w:val="center"/>
          </w:tcPr>
          <w:p>
            <w:pPr>
              <w:pStyle w:val="TableContents"/>
              <w:bidi w:val="0"/>
              <w:spacing w:before="0" w:after="283"/>
              <w:jc w:val="left"/>
              <w:rPr/>
            </w:pPr>
            <w:r>
              <w:rPr/>
              <w:t> </w:t>
            </w:r>
          </w:p>
        </w:tc>
        <w:tc>
          <w:tcPr>
            <w:tcW w:w="121" w:type="dxa"/>
            <w:tcBorders>
              <w:bottom w:val="single" w:sz="6" w:space="0" w:color="7F7F7F"/>
            </w:tcBorders>
            <w:tcMar>
              <w:bottom w:w="80" w:type="dxa"/>
            </w:tcMar>
            <w:vAlign w:val="center"/>
          </w:tcPr>
          <w:p>
            <w:pPr>
              <w:pStyle w:val="TableContents"/>
              <w:bidi w:val="0"/>
              <w:spacing w:before="0" w:after="283"/>
              <w:jc w:val="left"/>
              <w:rPr/>
            </w:pPr>
            <w:r>
              <w:rPr/>
              <w:t> </w:t>
            </w:r>
          </w:p>
        </w:tc>
        <w:tc>
          <w:tcPr>
            <w:tcW w:w="525" w:type="dxa"/>
            <w:tcBorders>
              <w:bottom w:val="single" w:sz="6" w:space="0" w:color="7F7F7F"/>
            </w:tcBorders>
            <w:tcMar>
              <w:bottom w:w="80" w:type="dxa"/>
            </w:tcMar>
            <w:vAlign w:val="center"/>
          </w:tcPr>
          <w:p>
            <w:pPr>
              <w:pStyle w:val="TableContents"/>
              <w:bidi w:val="0"/>
              <w:spacing w:before="0" w:after="283"/>
              <w:jc w:val="right"/>
              <w:rPr/>
            </w:pPr>
            <w:r>
              <w:rPr/>
              <w:t>—</w:t>
            </w:r>
          </w:p>
        </w:tc>
        <w:tc>
          <w:tcPr>
            <w:tcW w:w="48"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80" w:type="dxa"/>
            </w:tcMar>
            <w:vAlign w:val="center"/>
          </w:tcPr>
          <w:p>
            <w:pPr>
              <w:pStyle w:val="TableContents"/>
              <w:bidi w:val="0"/>
              <w:spacing w:before="0" w:after="283"/>
              <w:jc w:val="left"/>
              <w:rPr/>
            </w:pPr>
            <w:r>
              <w:rPr/>
              <w:t> </w:t>
            </w:r>
          </w:p>
        </w:tc>
        <w:tc>
          <w:tcPr>
            <w:tcW w:w="961" w:type="dxa"/>
            <w:tcBorders>
              <w:bottom w:val="single" w:sz="6" w:space="0" w:color="7F7F7F"/>
            </w:tcBorders>
            <w:tcMar>
              <w:bottom w:w="80" w:type="dxa"/>
            </w:tcMar>
            <w:vAlign w:val="center"/>
          </w:tcPr>
          <w:p>
            <w:pPr>
              <w:pStyle w:val="TableContents"/>
              <w:bidi w:val="0"/>
              <w:spacing w:before="0" w:after="283"/>
              <w:jc w:val="right"/>
              <w:rPr/>
            </w:pPr>
            <w:r>
              <w:rPr/>
              <w:t>—</w:t>
            </w:r>
          </w:p>
        </w:tc>
        <w:tc>
          <w:tcPr>
            <w:tcW w:w="8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71" w:type="dxa"/>
            <w:tcBorders>
              <w:bottom w:val="single" w:sz="6" w:space="0" w:color="7F7F7F"/>
            </w:tcBorders>
            <w:tcMar>
              <w:bottom w:w="28" w:type="dxa"/>
            </w:tcMar>
            <w:vAlign w:val="center"/>
          </w:tcPr>
          <w:p>
            <w:pPr>
              <w:pStyle w:val="TableContents"/>
              <w:bidi w:val="0"/>
              <w:spacing w:before="0" w:after="283"/>
              <w:jc w:val="left"/>
              <w:rPr/>
            </w:pPr>
            <w:r>
              <w:rPr/>
              <w:t> </w:t>
            </w:r>
          </w:p>
        </w:tc>
        <w:tc>
          <w:tcPr>
            <w:tcW w:w="399" w:type="dxa"/>
            <w:tcBorders>
              <w:bottom w:val="single" w:sz="6" w:space="0" w:color="7F7F7F"/>
            </w:tcBorders>
            <w:tcMar>
              <w:bottom w:w="80" w:type="dxa"/>
            </w:tcMar>
            <w:vAlign w:val="center"/>
          </w:tcPr>
          <w:p>
            <w:pPr>
              <w:pStyle w:val="TableContents"/>
              <w:bidi w:val="0"/>
              <w:spacing w:before="0" w:after="283"/>
              <w:jc w:val="left"/>
              <w:rPr/>
            </w:pPr>
            <w:r>
              <w:rPr/>
              <w:t>$</w:t>
            </w:r>
          </w:p>
        </w:tc>
        <w:tc>
          <w:tcPr>
            <w:tcW w:w="741" w:type="dxa"/>
            <w:tcBorders>
              <w:bottom w:val="single" w:sz="6" w:space="0" w:color="7F7F7F"/>
            </w:tcBorders>
            <w:tcMar>
              <w:bottom w:w="80" w:type="dxa"/>
            </w:tcMar>
            <w:vAlign w:val="center"/>
          </w:tcPr>
          <w:p>
            <w:pPr>
              <w:pStyle w:val="TableContents"/>
              <w:bidi w:val="0"/>
              <w:spacing w:before="0" w:after="283"/>
              <w:jc w:val="right"/>
              <w:rPr/>
            </w:pPr>
            <w:r>
              <w:rPr/>
              <w:t>0</w:t>
            </w:r>
          </w:p>
        </w:tc>
        <w:tc>
          <w:tcPr>
            <w:tcW w:w="614" w:type="dxa"/>
            <w:tcBorders>
              <w:bottom w:val="single" w:sz="6" w:space="0" w:color="7F7F7F"/>
            </w:tcBorders>
            <w:tcMar>
              <w:bottom w:w="80" w:type="dxa"/>
            </w:tcMar>
            <w:vAlign w:val="center"/>
          </w:tcPr>
          <w:p>
            <w:pPr>
              <w:pStyle w:val="TableContents"/>
              <w:bidi w:val="0"/>
              <w:spacing w:before="0" w:after="283"/>
              <w:jc w:val="left"/>
              <w:rPr/>
            </w:pPr>
            <w:r>
              <w:rPr/>
              <w:t>(4)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80" w:type="dxa"/>
            </w:tcMar>
            <w:vAlign w:val="center"/>
          </w:tcPr>
          <w:p>
            <w:pPr>
              <w:pStyle w:val="TableContents"/>
              <w:bidi w:val="0"/>
              <w:spacing w:before="0" w:after="283"/>
              <w:jc w:val="left"/>
              <w:rPr/>
            </w:pPr>
            <w:r>
              <w:rPr/>
              <w:t> </w:t>
            </w:r>
          </w:p>
        </w:tc>
        <w:tc>
          <w:tcPr>
            <w:tcW w:w="961" w:type="dxa"/>
            <w:tcBorders>
              <w:bottom w:val="single" w:sz="6" w:space="0" w:color="7F7F7F"/>
            </w:tcBorders>
            <w:tcMar>
              <w:bottom w:w="80" w:type="dxa"/>
            </w:tcMar>
            <w:vAlign w:val="center"/>
          </w:tcPr>
          <w:p>
            <w:pPr>
              <w:pStyle w:val="TableContents"/>
              <w:bidi w:val="0"/>
              <w:spacing w:before="0" w:after="283"/>
              <w:jc w:val="right"/>
              <w:rPr/>
            </w:pPr>
            <w:r>
              <w:rPr/>
              <w:t>—</w:t>
            </w:r>
          </w:p>
        </w:tc>
        <w:tc>
          <w:tcPr>
            <w:tcW w:w="8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80" w:type="dxa"/>
            </w:tcMar>
            <w:vAlign w:val="center"/>
          </w:tcPr>
          <w:p>
            <w:pPr>
              <w:pStyle w:val="TableContents"/>
              <w:bidi w:val="0"/>
              <w:spacing w:before="0" w:after="283"/>
              <w:jc w:val="left"/>
              <w:rPr/>
            </w:pPr>
            <w:r>
              <w:rPr/>
              <w:t>$</w:t>
            </w:r>
          </w:p>
        </w:tc>
        <w:tc>
          <w:tcPr>
            <w:tcW w:w="800" w:type="dxa"/>
            <w:tcBorders>
              <w:bottom w:val="single" w:sz="6" w:space="0" w:color="7F7F7F"/>
            </w:tcBorders>
            <w:tcMar>
              <w:bottom w:w="80" w:type="dxa"/>
            </w:tcMar>
            <w:vAlign w:val="center"/>
          </w:tcPr>
          <w:p>
            <w:pPr>
              <w:pStyle w:val="TableContents"/>
              <w:bidi w:val="0"/>
              <w:spacing w:before="0" w:after="283"/>
              <w:jc w:val="right"/>
              <w:rPr/>
            </w:pPr>
            <w:r>
              <w:rPr/>
              <w:t>0 </w:t>
            </w:r>
          </w:p>
        </w:tc>
        <w:tc>
          <w:tcPr>
            <w:tcW w:w="38"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c>
          <w:tcPr>
            <w:tcW w:w="1083" w:type="dxa"/>
            <w:gridSpan w:val="5"/>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98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098" w:type="dxa"/>
            <w:gridSpan w:val="5"/>
            <w:tcBorders/>
            <w:vAlign w:val="center"/>
          </w:tcPr>
          <w:p>
            <w:pPr>
              <w:pStyle w:val="TableContents"/>
              <w:bidi w:val="0"/>
              <w:spacing w:before="0" w:after="283"/>
              <w:jc w:val="left"/>
              <w:rPr>
                <w:sz w:val="4"/>
                <w:szCs w:val="4"/>
              </w:rPr>
            </w:pPr>
            <w:r>
              <w:rPr>
                <w:sz w:val="4"/>
                <w:szCs w:val="4"/>
              </w:rPr>
            </w:r>
          </w:p>
        </w:tc>
      </w:tr>
      <w:tr>
        <w:trPr/>
        <w:tc>
          <w:tcPr>
            <w:tcW w:w="80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Terrence B. Larkin(3)</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5" w:type="dxa"/>
            <w:tcBorders>
              <w:bottom w:val="single" w:sz="6" w:space="0" w:color="7F7F7F"/>
            </w:tcBorders>
            <w:tcMar>
              <w:bottom w:w="28" w:type="dxa"/>
            </w:tcMar>
            <w:vAlign w:val="center"/>
          </w:tcPr>
          <w:p>
            <w:pPr>
              <w:pStyle w:val="TableContents"/>
              <w:bidi w:val="0"/>
              <w:spacing w:before="0" w:after="283"/>
              <w:jc w:val="left"/>
              <w:rPr/>
            </w:pPr>
            <w:r>
              <w:rPr/>
              <w:t> </w:t>
            </w:r>
          </w:p>
        </w:tc>
        <w:tc>
          <w:tcPr>
            <w:tcW w:w="177" w:type="dxa"/>
            <w:tcBorders>
              <w:bottom w:val="single" w:sz="6" w:space="0" w:color="7F7F7F"/>
            </w:tcBorders>
            <w:tcMar>
              <w:bottom w:w="80" w:type="dxa"/>
            </w:tcMar>
            <w:vAlign w:val="center"/>
          </w:tcPr>
          <w:p>
            <w:pPr>
              <w:pStyle w:val="TableContents"/>
              <w:bidi w:val="0"/>
              <w:spacing w:before="0" w:after="283"/>
              <w:jc w:val="left"/>
              <w:rPr/>
            </w:pPr>
            <w:r>
              <w:rPr/>
              <w:t>$</w:t>
            </w:r>
          </w:p>
        </w:tc>
        <w:tc>
          <w:tcPr>
            <w:tcW w:w="1012" w:type="dxa"/>
            <w:tcBorders>
              <w:bottom w:val="single" w:sz="6" w:space="0" w:color="7F7F7F"/>
            </w:tcBorders>
            <w:tcMar>
              <w:bottom w:w="80" w:type="dxa"/>
            </w:tcMar>
            <w:vAlign w:val="center"/>
          </w:tcPr>
          <w:p>
            <w:pPr>
              <w:pStyle w:val="TableContents"/>
              <w:bidi w:val="0"/>
              <w:spacing w:before="0" w:after="283"/>
              <w:jc w:val="right"/>
              <w:rPr/>
            </w:pPr>
            <w:r>
              <w:rPr/>
              <w:t>150,000</w:t>
            </w:r>
          </w:p>
        </w:tc>
        <w:tc>
          <w:tcPr>
            <w:tcW w:w="31"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80" w:type="dxa"/>
            </w:tcMar>
            <w:vAlign w:val="center"/>
          </w:tcPr>
          <w:p>
            <w:pPr>
              <w:pStyle w:val="TableContents"/>
              <w:bidi w:val="0"/>
              <w:spacing w:before="0" w:after="283"/>
              <w:jc w:val="left"/>
              <w:rPr/>
            </w:pPr>
            <w:r>
              <w:rPr/>
              <w:t>$</w:t>
            </w:r>
          </w:p>
        </w:tc>
        <w:tc>
          <w:tcPr>
            <w:tcW w:w="800" w:type="dxa"/>
            <w:tcBorders>
              <w:bottom w:val="single" w:sz="6" w:space="0" w:color="7F7F7F"/>
            </w:tcBorders>
            <w:tcMar>
              <w:bottom w:w="80" w:type="dxa"/>
            </w:tcMar>
            <w:vAlign w:val="center"/>
          </w:tcPr>
          <w:p>
            <w:pPr>
              <w:pStyle w:val="TableContents"/>
              <w:bidi w:val="0"/>
              <w:spacing w:before="0" w:after="283"/>
              <w:jc w:val="right"/>
              <w:rPr/>
            </w:pPr>
            <w:r>
              <w:rPr/>
              <w:t>200,000</w:t>
            </w:r>
          </w:p>
        </w:tc>
        <w:tc>
          <w:tcPr>
            <w:tcW w:w="2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21" w:type="dxa"/>
            <w:tcBorders>
              <w:bottom w:val="single" w:sz="6" w:space="0" w:color="7F7F7F"/>
            </w:tcBorders>
            <w:tcMar>
              <w:bottom w:w="28" w:type="dxa"/>
            </w:tcMar>
            <w:vAlign w:val="center"/>
          </w:tcPr>
          <w:p>
            <w:pPr>
              <w:pStyle w:val="TableContents"/>
              <w:bidi w:val="0"/>
              <w:spacing w:before="0" w:after="283"/>
              <w:jc w:val="left"/>
              <w:rPr/>
            </w:pPr>
            <w:r>
              <w:rPr/>
              <w:t> </w:t>
            </w:r>
          </w:p>
        </w:tc>
        <w:tc>
          <w:tcPr>
            <w:tcW w:w="121" w:type="dxa"/>
            <w:tcBorders>
              <w:bottom w:val="single" w:sz="6" w:space="0" w:color="7F7F7F"/>
            </w:tcBorders>
            <w:tcMar>
              <w:bottom w:w="80" w:type="dxa"/>
            </w:tcMar>
            <w:vAlign w:val="center"/>
          </w:tcPr>
          <w:p>
            <w:pPr>
              <w:pStyle w:val="TableContents"/>
              <w:bidi w:val="0"/>
              <w:spacing w:before="0" w:after="283"/>
              <w:jc w:val="left"/>
              <w:rPr/>
            </w:pPr>
            <w:r>
              <w:rPr/>
              <w:t> </w:t>
            </w:r>
          </w:p>
        </w:tc>
        <w:tc>
          <w:tcPr>
            <w:tcW w:w="525" w:type="dxa"/>
            <w:tcBorders>
              <w:bottom w:val="single" w:sz="6" w:space="0" w:color="7F7F7F"/>
            </w:tcBorders>
            <w:tcMar>
              <w:bottom w:w="80" w:type="dxa"/>
            </w:tcMar>
            <w:vAlign w:val="center"/>
          </w:tcPr>
          <w:p>
            <w:pPr>
              <w:pStyle w:val="TableContents"/>
              <w:bidi w:val="0"/>
              <w:spacing w:before="0" w:after="283"/>
              <w:jc w:val="right"/>
              <w:rPr/>
            </w:pPr>
            <w:r>
              <w:rPr/>
              <w:t>—</w:t>
            </w:r>
          </w:p>
        </w:tc>
        <w:tc>
          <w:tcPr>
            <w:tcW w:w="48"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80" w:type="dxa"/>
            </w:tcMar>
            <w:vAlign w:val="center"/>
          </w:tcPr>
          <w:p>
            <w:pPr>
              <w:pStyle w:val="TableContents"/>
              <w:bidi w:val="0"/>
              <w:spacing w:before="0" w:after="283"/>
              <w:jc w:val="left"/>
              <w:rPr/>
            </w:pPr>
            <w:r>
              <w:rPr/>
              <w:t> </w:t>
            </w:r>
          </w:p>
        </w:tc>
        <w:tc>
          <w:tcPr>
            <w:tcW w:w="961" w:type="dxa"/>
            <w:tcBorders>
              <w:bottom w:val="single" w:sz="6" w:space="0" w:color="7F7F7F"/>
            </w:tcBorders>
            <w:tcMar>
              <w:bottom w:w="80" w:type="dxa"/>
            </w:tcMar>
            <w:vAlign w:val="center"/>
          </w:tcPr>
          <w:p>
            <w:pPr>
              <w:pStyle w:val="TableContents"/>
              <w:bidi w:val="0"/>
              <w:spacing w:before="0" w:after="283"/>
              <w:jc w:val="right"/>
              <w:rPr/>
            </w:pPr>
            <w:r>
              <w:rPr/>
              <w:t>—</w:t>
            </w:r>
          </w:p>
        </w:tc>
        <w:tc>
          <w:tcPr>
            <w:tcW w:w="8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71" w:type="dxa"/>
            <w:tcBorders>
              <w:bottom w:val="single" w:sz="6" w:space="0" w:color="7F7F7F"/>
            </w:tcBorders>
            <w:tcMar>
              <w:bottom w:w="28" w:type="dxa"/>
            </w:tcMar>
            <w:vAlign w:val="center"/>
          </w:tcPr>
          <w:p>
            <w:pPr>
              <w:pStyle w:val="TableContents"/>
              <w:bidi w:val="0"/>
              <w:spacing w:before="0" w:after="283"/>
              <w:jc w:val="left"/>
              <w:rPr/>
            </w:pPr>
            <w:r>
              <w:rPr/>
              <w:t> </w:t>
            </w:r>
          </w:p>
        </w:tc>
        <w:tc>
          <w:tcPr>
            <w:tcW w:w="399" w:type="dxa"/>
            <w:tcBorders>
              <w:bottom w:val="single" w:sz="6" w:space="0" w:color="7F7F7F"/>
            </w:tcBorders>
            <w:tcMar>
              <w:bottom w:w="80" w:type="dxa"/>
            </w:tcMar>
            <w:vAlign w:val="center"/>
          </w:tcPr>
          <w:p>
            <w:pPr>
              <w:pStyle w:val="TableContents"/>
              <w:bidi w:val="0"/>
              <w:spacing w:before="0" w:after="283"/>
              <w:jc w:val="left"/>
              <w:rPr/>
            </w:pPr>
            <w:r>
              <w:rPr/>
              <w:t> </w:t>
            </w:r>
          </w:p>
        </w:tc>
        <w:tc>
          <w:tcPr>
            <w:tcW w:w="741" w:type="dxa"/>
            <w:tcBorders>
              <w:bottom w:val="single" w:sz="6" w:space="0" w:color="7F7F7F"/>
            </w:tcBorders>
            <w:tcMar>
              <w:bottom w:w="80" w:type="dxa"/>
            </w:tcMar>
            <w:vAlign w:val="center"/>
          </w:tcPr>
          <w:p>
            <w:pPr>
              <w:pStyle w:val="TableContents"/>
              <w:bidi w:val="0"/>
              <w:spacing w:before="0" w:after="283"/>
              <w:jc w:val="right"/>
              <w:rPr/>
            </w:pPr>
            <w:r>
              <w:rPr/>
              <w:t>—</w:t>
            </w:r>
          </w:p>
        </w:tc>
        <w:tc>
          <w:tcPr>
            <w:tcW w:w="614"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80" w:type="dxa"/>
            </w:tcMar>
            <w:vAlign w:val="center"/>
          </w:tcPr>
          <w:p>
            <w:pPr>
              <w:pStyle w:val="TableContents"/>
              <w:bidi w:val="0"/>
              <w:spacing w:before="0" w:after="283"/>
              <w:jc w:val="left"/>
              <w:rPr/>
            </w:pPr>
            <w:r>
              <w:rPr/>
              <w:t> </w:t>
            </w:r>
          </w:p>
        </w:tc>
        <w:tc>
          <w:tcPr>
            <w:tcW w:w="961" w:type="dxa"/>
            <w:tcBorders>
              <w:bottom w:val="single" w:sz="6" w:space="0" w:color="7F7F7F"/>
            </w:tcBorders>
            <w:tcMar>
              <w:bottom w:w="80" w:type="dxa"/>
            </w:tcMar>
            <w:vAlign w:val="center"/>
          </w:tcPr>
          <w:p>
            <w:pPr>
              <w:pStyle w:val="TableContents"/>
              <w:bidi w:val="0"/>
              <w:spacing w:before="0" w:after="283"/>
              <w:jc w:val="right"/>
              <w:rPr/>
            </w:pPr>
            <w:r>
              <w:rPr/>
              <w:t>—</w:t>
            </w:r>
          </w:p>
        </w:tc>
        <w:tc>
          <w:tcPr>
            <w:tcW w:w="8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80" w:type="dxa"/>
            </w:tcMar>
            <w:vAlign w:val="center"/>
          </w:tcPr>
          <w:p>
            <w:pPr>
              <w:pStyle w:val="TableContents"/>
              <w:bidi w:val="0"/>
              <w:spacing w:before="0" w:after="283"/>
              <w:jc w:val="left"/>
              <w:rPr/>
            </w:pPr>
            <w:r>
              <w:rPr/>
              <w:t>$</w:t>
            </w:r>
          </w:p>
        </w:tc>
        <w:tc>
          <w:tcPr>
            <w:tcW w:w="800" w:type="dxa"/>
            <w:tcBorders>
              <w:bottom w:val="single" w:sz="6" w:space="0" w:color="7F7F7F"/>
            </w:tcBorders>
            <w:tcMar>
              <w:bottom w:w="80" w:type="dxa"/>
            </w:tcMar>
            <w:vAlign w:val="center"/>
          </w:tcPr>
          <w:p>
            <w:pPr>
              <w:pStyle w:val="TableContents"/>
              <w:bidi w:val="0"/>
              <w:spacing w:before="0" w:after="283"/>
              <w:jc w:val="right"/>
              <w:rPr/>
            </w:pPr>
            <w:r>
              <w:rPr/>
              <w:t>350,000 </w:t>
            </w:r>
          </w:p>
        </w:tc>
        <w:tc>
          <w:tcPr>
            <w:tcW w:w="38"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c>
          <w:tcPr>
            <w:tcW w:w="1083" w:type="dxa"/>
            <w:gridSpan w:val="5"/>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98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098" w:type="dxa"/>
            <w:gridSpan w:val="5"/>
            <w:tcBorders/>
            <w:vAlign w:val="center"/>
          </w:tcPr>
          <w:p>
            <w:pPr>
              <w:pStyle w:val="TableContents"/>
              <w:bidi w:val="0"/>
              <w:spacing w:before="0" w:after="283"/>
              <w:jc w:val="left"/>
              <w:rPr>
                <w:sz w:val="4"/>
                <w:szCs w:val="4"/>
              </w:rPr>
            </w:pPr>
            <w:r>
              <w:rPr>
                <w:sz w:val="4"/>
                <w:szCs w:val="4"/>
              </w:rPr>
            </w:r>
          </w:p>
        </w:tc>
      </w:tr>
      <w:tr>
        <w:trPr/>
        <w:tc>
          <w:tcPr>
            <w:tcW w:w="80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Leslie A. Murphy</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5" w:type="dxa"/>
            <w:tcBorders>
              <w:bottom w:val="single" w:sz="6" w:space="0" w:color="7F7F7F"/>
            </w:tcBorders>
            <w:tcMar>
              <w:bottom w:w="28" w:type="dxa"/>
            </w:tcMar>
            <w:vAlign w:val="center"/>
          </w:tcPr>
          <w:p>
            <w:pPr>
              <w:pStyle w:val="TableContents"/>
              <w:bidi w:val="0"/>
              <w:spacing w:before="0" w:after="283"/>
              <w:jc w:val="left"/>
              <w:rPr/>
            </w:pPr>
            <w:r>
              <w:rPr/>
              <w:t> </w:t>
            </w:r>
          </w:p>
        </w:tc>
        <w:tc>
          <w:tcPr>
            <w:tcW w:w="177" w:type="dxa"/>
            <w:tcBorders>
              <w:bottom w:val="single" w:sz="6" w:space="0" w:color="7F7F7F"/>
            </w:tcBorders>
            <w:tcMar>
              <w:bottom w:w="80" w:type="dxa"/>
            </w:tcMar>
            <w:vAlign w:val="center"/>
          </w:tcPr>
          <w:p>
            <w:pPr>
              <w:pStyle w:val="TableContents"/>
              <w:bidi w:val="0"/>
              <w:spacing w:before="0" w:after="283"/>
              <w:jc w:val="left"/>
              <w:rPr/>
            </w:pPr>
            <w:r>
              <w:rPr/>
              <w:t>$</w:t>
            </w:r>
          </w:p>
        </w:tc>
        <w:tc>
          <w:tcPr>
            <w:tcW w:w="1012" w:type="dxa"/>
            <w:tcBorders>
              <w:bottom w:val="single" w:sz="6" w:space="0" w:color="7F7F7F"/>
            </w:tcBorders>
            <w:tcMar>
              <w:bottom w:w="80" w:type="dxa"/>
            </w:tcMar>
            <w:vAlign w:val="center"/>
          </w:tcPr>
          <w:p>
            <w:pPr>
              <w:pStyle w:val="TableContents"/>
              <w:bidi w:val="0"/>
              <w:spacing w:before="0" w:after="283"/>
              <w:jc w:val="right"/>
              <w:rPr/>
            </w:pPr>
            <w:r>
              <w:rPr/>
              <w:t>120,000</w:t>
            </w:r>
          </w:p>
        </w:tc>
        <w:tc>
          <w:tcPr>
            <w:tcW w:w="31"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80" w:type="dxa"/>
            </w:tcMar>
            <w:vAlign w:val="center"/>
          </w:tcPr>
          <w:p>
            <w:pPr>
              <w:pStyle w:val="TableContents"/>
              <w:bidi w:val="0"/>
              <w:spacing w:before="0" w:after="283"/>
              <w:jc w:val="left"/>
              <w:rPr/>
            </w:pPr>
            <w:r>
              <w:rPr/>
              <w:t>$</w:t>
            </w:r>
          </w:p>
        </w:tc>
        <w:tc>
          <w:tcPr>
            <w:tcW w:w="800" w:type="dxa"/>
            <w:tcBorders>
              <w:bottom w:val="single" w:sz="6" w:space="0" w:color="7F7F7F"/>
            </w:tcBorders>
            <w:tcMar>
              <w:bottom w:w="80" w:type="dxa"/>
            </w:tcMar>
            <w:vAlign w:val="center"/>
          </w:tcPr>
          <w:p>
            <w:pPr>
              <w:pStyle w:val="TableContents"/>
              <w:bidi w:val="0"/>
              <w:spacing w:before="0" w:after="283"/>
              <w:jc w:val="right"/>
              <w:rPr/>
            </w:pPr>
            <w:r>
              <w:rPr/>
              <w:t>150,000</w:t>
            </w:r>
          </w:p>
        </w:tc>
        <w:tc>
          <w:tcPr>
            <w:tcW w:w="2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21" w:type="dxa"/>
            <w:tcBorders>
              <w:bottom w:val="single" w:sz="6" w:space="0" w:color="7F7F7F"/>
            </w:tcBorders>
            <w:tcMar>
              <w:bottom w:w="28" w:type="dxa"/>
            </w:tcMar>
            <w:vAlign w:val="center"/>
          </w:tcPr>
          <w:p>
            <w:pPr>
              <w:pStyle w:val="TableContents"/>
              <w:bidi w:val="0"/>
              <w:spacing w:before="0" w:after="283"/>
              <w:jc w:val="left"/>
              <w:rPr/>
            </w:pPr>
            <w:r>
              <w:rPr/>
              <w:t> </w:t>
            </w:r>
          </w:p>
        </w:tc>
        <w:tc>
          <w:tcPr>
            <w:tcW w:w="121" w:type="dxa"/>
            <w:tcBorders>
              <w:bottom w:val="single" w:sz="6" w:space="0" w:color="7F7F7F"/>
            </w:tcBorders>
            <w:tcMar>
              <w:bottom w:w="80" w:type="dxa"/>
            </w:tcMar>
            <w:vAlign w:val="center"/>
          </w:tcPr>
          <w:p>
            <w:pPr>
              <w:pStyle w:val="TableContents"/>
              <w:bidi w:val="0"/>
              <w:spacing w:before="0" w:after="283"/>
              <w:jc w:val="left"/>
              <w:rPr/>
            </w:pPr>
            <w:r>
              <w:rPr/>
              <w:t> </w:t>
            </w:r>
          </w:p>
        </w:tc>
        <w:tc>
          <w:tcPr>
            <w:tcW w:w="525" w:type="dxa"/>
            <w:tcBorders>
              <w:bottom w:val="single" w:sz="6" w:space="0" w:color="7F7F7F"/>
            </w:tcBorders>
            <w:tcMar>
              <w:bottom w:w="80" w:type="dxa"/>
            </w:tcMar>
            <w:vAlign w:val="center"/>
          </w:tcPr>
          <w:p>
            <w:pPr>
              <w:pStyle w:val="TableContents"/>
              <w:bidi w:val="0"/>
              <w:spacing w:before="0" w:after="283"/>
              <w:jc w:val="right"/>
              <w:rPr/>
            </w:pPr>
            <w:r>
              <w:rPr/>
              <w:t>—</w:t>
            </w:r>
          </w:p>
        </w:tc>
        <w:tc>
          <w:tcPr>
            <w:tcW w:w="48"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80" w:type="dxa"/>
            </w:tcMar>
            <w:vAlign w:val="center"/>
          </w:tcPr>
          <w:p>
            <w:pPr>
              <w:pStyle w:val="TableContents"/>
              <w:bidi w:val="0"/>
              <w:spacing w:before="0" w:after="283"/>
              <w:jc w:val="left"/>
              <w:rPr/>
            </w:pPr>
            <w:r>
              <w:rPr/>
              <w:t> </w:t>
            </w:r>
          </w:p>
        </w:tc>
        <w:tc>
          <w:tcPr>
            <w:tcW w:w="961" w:type="dxa"/>
            <w:tcBorders>
              <w:bottom w:val="single" w:sz="6" w:space="0" w:color="7F7F7F"/>
            </w:tcBorders>
            <w:tcMar>
              <w:bottom w:w="80" w:type="dxa"/>
            </w:tcMar>
            <w:vAlign w:val="center"/>
          </w:tcPr>
          <w:p>
            <w:pPr>
              <w:pStyle w:val="TableContents"/>
              <w:bidi w:val="0"/>
              <w:spacing w:before="0" w:after="283"/>
              <w:jc w:val="right"/>
              <w:rPr/>
            </w:pPr>
            <w:r>
              <w:rPr/>
              <w:t>—</w:t>
            </w:r>
          </w:p>
        </w:tc>
        <w:tc>
          <w:tcPr>
            <w:tcW w:w="8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71" w:type="dxa"/>
            <w:tcBorders>
              <w:bottom w:val="single" w:sz="6" w:space="0" w:color="7F7F7F"/>
            </w:tcBorders>
            <w:tcMar>
              <w:bottom w:w="28" w:type="dxa"/>
            </w:tcMar>
            <w:vAlign w:val="center"/>
          </w:tcPr>
          <w:p>
            <w:pPr>
              <w:pStyle w:val="TableContents"/>
              <w:bidi w:val="0"/>
              <w:spacing w:before="0" w:after="283"/>
              <w:jc w:val="left"/>
              <w:rPr/>
            </w:pPr>
            <w:r>
              <w:rPr/>
              <w:t> </w:t>
            </w:r>
          </w:p>
        </w:tc>
        <w:tc>
          <w:tcPr>
            <w:tcW w:w="399" w:type="dxa"/>
            <w:tcBorders>
              <w:bottom w:val="single" w:sz="6" w:space="0" w:color="7F7F7F"/>
            </w:tcBorders>
            <w:tcMar>
              <w:bottom w:w="80" w:type="dxa"/>
            </w:tcMar>
            <w:vAlign w:val="center"/>
          </w:tcPr>
          <w:p>
            <w:pPr>
              <w:pStyle w:val="TableContents"/>
              <w:bidi w:val="0"/>
              <w:spacing w:before="0" w:after="283"/>
              <w:jc w:val="left"/>
              <w:rPr/>
            </w:pPr>
            <w:r>
              <w:rPr/>
              <w:t>$</w:t>
            </w:r>
          </w:p>
        </w:tc>
        <w:tc>
          <w:tcPr>
            <w:tcW w:w="741" w:type="dxa"/>
            <w:tcBorders>
              <w:bottom w:val="single" w:sz="6" w:space="0" w:color="7F7F7F"/>
            </w:tcBorders>
            <w:tcMar>
              <w:bottom w:w="80" w:type="dxa"/>
            </w:tcMar>
            <w:vAlign w:val="center"/>
          </w:tcPr>
          <w:p>
            <w:pPr>
              <w:pStyle w:val="TableContents"/>
              <w:bidi w:val="0"/>
              <w:spacing w:before="0" w:after="283"/>
              <w:jc w:val="right"/>
              <w:rPr/>
            </w:pPr>
            <w:r>
              <w:rPr/>
              <w:t>0</w:t>
            </w:r>
          </w:p>
        </w:tc>
        <w:tc>
          <w:tcPr>
            <w:tcW w:w="614" w:type="dxa"/>
            <w:tcBorders>
              <w:bottom w:val="single" w:sz="6" w:space="0" w:color="7F7F7F"/>
            </w:tcBorders>
            <w:tcMar>
              <w:bottom w:w="80" w:type="dxa"/>
            </w:tcMar>
            <w:vAlign w:val="center"/>
          </w:tcPr>
          <w:p>
            <w:pPr>
              <w:pStyle w:val="TableContents"/>
              <w:bidi w:val="0"/>
              <w:spacing w:before="0" w:after="283"/>
              <w:jc w:val="left"/>
              <w:rPr/>
            </w:pPr>
            <w:r>
              <w:rPr/>
              <w:t>(4)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28" w:type="dxa"/>
            </w:tcMar>
            <w:vAlign w:val="center"/>
          </w:tcPr>
          <w:p>
            <w:pPr>
              <w:pStyle w:val="TableContents"/>
              <w:bidi w:val="0"/>
              <w:spacing w:before="0" w:after="283"/>
              <w:jc w:val="left"/>
              <w:rPr/>
            </w:pPr>
            <w:r>
              <w:rPr/>
              <w:t> </w:t>
            </w:r>
          </w:p>
        </w:tc>
        <w:tc>
          <w:tcPr>
            <w:tcW w:w="221" w:type="dxa"/>
            <w:tcBorders>
              <w:bottom w:val="single" w:sz="6" w:space="0" w:color="7F7F7F"/>
            </w:tcBorders>
            <w:tcMar>
              <w:bottom w:w="80" w:type="dxa"/>
            </w:tcMar>
            <w:vAlign w:val="center"/>
          </w:tcPr>
          <w:p>
            <w:pPr>
              <w:pStyle w:val="TableContents"/>
              <w:bidi w:val="0"/>
              <w:spacing w:before="0" w:after="283"/>
              <w:jc w:val="left"/>
              <w:rPr/>
            </w:pPr>
            <w:r>
              <w:rPr/>
              <w:t> </w:t>
            </w:r>
          </w:p>
        </w:tc>
        <w:tc>
          <w:tcPr>
            <w:tcW w:w="961" w:type="dxa"/>
            <w:tcBorders>
              <w:bottom w:val="single" w:sz="6" w:space="0" w:color="7F7F7F"/>
            </w:tcBorders>
            <w:tcMar>
              <w:bottom w:w="80" w:type="dxa"/>
            </w:tcMar>
            <w:vAlign w:val="center"/>
          </w:tcPr>
          <w:p>
            <w:pPr>
              <w:pStyle w:val="TableContents"/>
              <w:bidi w:val="0"/>
              <w:spacing w:before="0" w:after="283"/>
              <w:jc w:val="right"/>
              <w:rPr/>
            </w:pPr>
            <w:r>
              <w:rPr/>
              <w:t>—</w:t>
            </w:r>
          </w:p>
        </w:tc>
        <w:tc>
          <w:tcPr>
            <w:tcW w:w="87"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80" w:type="dxa"/>
            </w:tcMar>
            <w:vAlign w:val="center"/>
          </w:tcPr>
          <w:p>
            <w:pPr>
              <w:pStyle w:val="TableContents"/>
              <w:bidi w:val="0"/>
              <w:spacing w:before="0" w:after="283"/>
              <w:jc w:val="left"/>
              <w:rPr/>
            </w:pPr>
            <w:r>
              <w:rPr/>
              <w:t>$</w:t>
            </w:r>
          </w:p>
        </w:tc>
        <w:tc>
          <w:tcPr>
            <w:tcW w:w="800" w:type="dxa"/>
            <w:tcBorders>
              <w:bottom w:val="single" w:sz="6" w:space="0" w:color="7F7F7F"/>
            </w:tcBorders>
            <w:tcMar>
              <w:bottom w:w="80" w:type="dxa"/>
            </w:tcMar>
            <w:vAlign w:val="center"/>
          </w:tcPr>
          <w:p>
            <w:pPr>
              <w:pStyle w:val="TableContents"/>
              <w:bidi w:val="0"/>
              <w:spacing w:before="0" w:after="283"/>
              <w:jc w:val="right"/>
              <w:rPr/>
            </w:pPr>
            <w:r>
              <w:rPr/>
              <w:t>0 </w:t>
            </w:r>
          </w:p>
        </w:tc>
        <w:tc>
          <w:tcPr>
            <w:tcW w:w="38"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305"/>
        <w:gridCol w:w="8735"/>
      </w:tblGrid>
      <w:tr>
        <w:trPr/>
        <w:tc>
          <w:tcPr>
            <w:tcW w:w="305" w:type="dxa"/>
            <w:tcBorders/>
            <w:vAlign w:val="center"/>
          </w:tcPr>
          <w:p>
            <w:pPr>
              <w:pStyle w:val="TableContents"/>
              <w:bidi w:val="0"/>
              <w:spacing w:before="0" w:after="283"/>
              <w:jc w:val="left"/>
              <w:rPr/>
            </w:pPr>
            <w:r>
              <w:rPr/>
              <w:t>(1)</w:t>
            </w:r>
          </w:p>
        </w:tc>
        <w:tc>
          <w:tcPr>
            <w:tcW w:w="8735" w:type="dxa"/>
            <w:tcBorders/>
            <w:vAlign w:val="center"/>
          </w:tcPr>
          <w:p>
            <w:pPr>
              <w:pStyle w:val="TableContents"/>
              <w:bidi w:val="0"/>
              <w:spacing w:before="0" w:after="0"/>
              <w:jc w:val="left"/>
              <w:rPr>
                <w:rFonts w:ascii="arial" w:hAnsi="arial"/>
                <w:sz w:val="14"/>
              </w:rPr>
            </w:pPr>
            <w:r>
              <w:rPr>
                <w:rFonts w:ascii="arial" w:hAnsi="arial"/>
                <w:sz w:val="14"/>
              </w:rPr>
              <w:t xml:space="preserve">Two of our directors deferred the following amounts from their 2025 cash retainer fee: Mr. Adolph – $115,000 and Ms. Duggirala – $100,000.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(2)</w:t>
            </w:r>
          </w:p>
        </w:tc>
        <w:tc>
          <w:tcPr>
            <w:tcW w:w="9945" w:type="dxa"/>
            <w:tcBorders/>
            <w:vAlign w:val="center"/>
          </w:tcPr>
          <w:p>
            <w:pPr>
              <w:pStyle w:val="TableContents"/>
              <w:bidi w:val="0"/>
              <w:spacing w:before="0" w:after="0"/>
              <w:jc w:val="left"/>
              <w:rPr>
                <w:rFonts w:ascii="arial" w:hAnsi="arial"/>
                <w:sz w:val="14"/>
              </w:rPr>
            </w:pPr>
            <w:r>
              <w:rPr>
                <w:rFonts w:ascii="arial" w:hAnsi="arial"/>
                <w:sz w:val="14"/>
              </w:rPr>
              <w:t xml:space="preserve">Represents the aggregate fair market value of grants awarded on May 8, 2025. Each director received a grant of 11,971 shares of the Company’s Class A Common Stock having a fair market value of $12.53 per share. Each of Messrs. Adolph, Corona, Cubbin, and Mses. Duggirala, and Johnson deferred 100% of their 2025 annual stock grant into deferred common stock units.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305"/>
        <w:gridCol w:w="7550"/>
      </w:tblGrid>
      <w:tr>
        <w:trPr/>
        <w:tc>
          <w:tcPr>
            <w:tcW w:w="305" w:type="dxa"/>
            <w:tcBorders/>
            <w:vAlign w:val="center"/>
          </w:tcPr>
          <w:p>
            <w:pPr>
              <w:pStyle w:val="TableContents"/>
              <w:bidi w:val="0"/>
              <w:spacing w:before="0" w:after="283"/>
              <w:jc w:val="left"/>
              <w:rPr/>
            </w:pPr>
            <w:r>
              <w:rPr/>
              <w:t>(3)</w:t>
            </w:r>
          </w:p>
        </w:tc>
        <w:tc>
          <w:tcPr>
            <w:tcW w:w="7550" w:type="dxa"/>
            <w:tcBorders/>
            <w:vAlign w:val="center"/>
          </w:tcPr>
          <w:p>
            <w:pPr>
              <w:pStyle w:val="TableContents"/>
              <w:bidi w:val="0"/>
              <w:spacing w:before="0" w:after="0"/>
              <w:jc w:val="left"/>
              <w:rPr>
                <w:rFonts w:ascii="arial" w:hAnsi="arial"/>
                <w:sz w:val="14"/>
              </w:rPr>
            </w:pPr>
            <w:r>
              <w:rPr>
                <w:rFonts w:ascii="arial" w:hAnsi="arial"/>
                <w:sz w:val="14"/>
              </w:rPr>
              <w:t xml:space="preserve">Messrs. Adolph, Corona, Larkin and Ms. Johnson resigned from the Board of Directors effective as of January 30,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(4)</w:t>
            </w:r>
          </w:p>
        </w:tc>
        <w:tc>
          <w:tcPr>
            <w:tcW w:w="9941" w:type="dxa"/>
            <w:tcBorders/>
            <w:vAlign w:val="center"/>
          </w:tcPr>
          <w:p>
            <w:pPr>
              <w:pStyle w:val="TableContents"/>
              <w:bidi w:val="0"/>
              <w:spacing w:before="0" w:after="0"/>
              <w:jc w:val="left"/>
              <w:rPr>
                <w:rFonts w:ascii="arial" w:hAnsi="arial"/>
                <w:sz w:val="14"/>
              </w:rPr>
            </w:pPr>
            <w:r>
              <w:rPr>
                <w:rFonts w:ascii="arial" w:hAnsi="arial"/>
                <w:sz w:val="14"/>
              </w:rPr>
              <w:t xml:space="preserve">The amount for each of the following directors was negative: Mr. Adolph ($351,007), Mr. Corona ($198,711), Mr. Cubbin ($291,327), Ms. Duggirala ($110,244), Ms. Johnson ($149,128), and Ms. Murphy ($176,789) and, therefore, is reflected as $0 in the table in accordance with instructions to Item 402(c)(2)(viii) of Regulation S-K. </w:t>
            </w:r>
          </w:p>
        </w:tc>
      </w:tr>
    </w:tbl>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42 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171"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55" descr=""/>
                          <pic:cNvPicPr>
                            <a:picLocks noChangeAspect="1" noChangeArrowheads="1"/>
                          </pic:cNvPicPr>
                        </pic:nvPicPr>
                        <pic:blipFill>
                          <a:blip r:embed="rId162"/>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sz w:val="36"/>
        </w:rPr>
      </w:pPr>
      <w:bookmarkStart w:id="38" w:name="toc37355_39"/>
      <w:bookmarkEnd w:id="38"/>
      <w:r>
        <w:rPr>
          <w:rFonts w:ascii="arial" w:hAnsi="arial"/>
          <w:b/>
          <w:sz w:val="36"/>
        </w:rPr>
        <w:t xml:space="preserve">Beneficial Ownership of Shares </w:t>
      </w:r>
    </w:p>
    <w:p>
      <w:pPr>
        <w:pStyle w:val="TextBody"/>
        <w:bidi w:val="0"/>
        <w:spacing w:before="360" w:after="0"/>
        <w:jc w:val="left"/>
        <w:rPr>
          <w:rFonts w:ascii="arial" w:hAnsi="arial"/>
          <w:sz w:val="18"/>
        </w:rPr>
      </w:pPr>
      <w:r>
        <w:rPr>
          <w:rFonts w:ascii="arial" w:hAnsi="arial"/>
          <w:sz w:val="18"/>
        </w:rPr>
        <w:t xml:space="preserve">The following table sets forth, as of March 19, 2026, (i) the beneficial ownership of the Company’s Class B Common Stock by each person known by the Company to own beneficially more than 5% of the Class B Common Stock, and (ii) the beneficial ownership of the Company’s Class A and Class B Common Stock by (a) each director (each of whom is a nominee for election as a director at the Annual Meeting), (b) each of the named executive officers, and (c) all directors, and executive officers, as a group.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7"/>
        <w:gridCol w:w="60"/>
        <w:gridCol w:w="1483"/>
        <w:gridCol w:w="1483"/>
        <w:gridCol w:w="1485"/>
        <w:gridCol w:w="876"/>
        <w:gridCol w:w="623"/>
        <w:gridCol w:w="623"/>
        <w:gridCol w:w="1065"/>
      </w:tblGrid>
      <w:tr>
        <w:trPr/>
        <w:tc>
          <w:tcPr>
            <w:tcW w:w="25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25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38" w:type="dxa"/>
            <w:gridSpan w:val="7"/>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Class B Common Stock</w:t>
            </w:r>
          </w:p>
        </w:tc>
      </w:tr>
      <w:tr>
        <w:trPr/>
        <w:tc>
          <w:tcPr>
            <w:tcW w:w="2507" w:type="dxa"/>
            <w:tcBorders/>
            <w:vAlign w:val="center"/>
          </w:tcPr>
          <w:p>
            <w:pPr>
              <w:pStyle w:val="TableContents"/>
              <w:bidi w:val="0"/>
              <w:spacing w:before="0" w:after="283"/>
              <w:jc w:val="left"/>
              <w:rPr>
                <w:sz w:val="4"/>
                <w:szCs w:val="4"/>
              </w:rPr>
            </w:pPr>
            <w:r>
              <w:rPr>
                <w:sz w:val="4"/>
                <w:szCs w:val="4"/>
              </w:rPr>
            </w:r>
          </w:p>
        </w:tc>
        <w:tc>
          <w:tcPr>
            <w:tcW w:w="4511" w:type="dxa"/>
            <w:gridSpan w:val="4"/>
            <w:tcBorders/>
            <w:vAlign w:val="center"/>
          </w:tcPr>
          <w:p>
            <w:pPr>
              <w:pStyle w:val="TableContents"/>
              <w:bidi w:val="0"/>
              <w:spacing w:before="0" w:after="283"/>
              <w:jc w:val="left"/>
              <w:rPr>
                <w:sz w:val="4"/>
                <w:szCs w:val="4"/>
              </w:rPr>
            </w:pPr>
            <w:r>
              <w:rPr>
                <w:sz w:val="4"/>
                <w:szCs w:val="4"/>
              </w:rPr>
            </w:r>
          </w:p>
        </w:tc>
        <w:tc>
          <w:tcPr>
            <w:tcW w:w="3187" w:type="dxa"/>
            <w:gridSpan w:val="4"/>
            <w:tcBorders/>
            <w:vAlign w:val="center"/>
          </w:tcPr>
          <w:p>
            <w:pPr>
              <w:pStyle w:val="TableContents"/>
              <w:bidi w:val="0"/>
              <w:spacing w:before="0" w:after="283"/>
              <w:jc w:val="left"/>
              <w:rPr>
                <w:sz w:val="4"/>
                <w:szCs w:val="4"/>
              </w:rPr>
            </w:pPr>
            <w:r>
              <w:rPr>
                <w:sz w:val="4"/>
                <w:szCs w:val="4"/>
              </w:rPr>
            </w:r>
          </w:p>
        </w:tc>
      </w:tr>
      <w:tr>
        <w:trPr/>
        <w:tc>
          <w:tcPr>
            <w:tcW w:w="2507" w:type="dxa"/>
            <w:tcBorders>
              <w:bottom w:val="single" w:sz="8" w:space="0" w:color="000000"/>
            </w:tcBorders>
            <w:tcMar>
              <w:bottom w:w="60" w:type="dxa"/>
            </w:tcMar>
            <w:vAlign w:val="center"/>
          </w:tcPr>
          <w:p>
            <w:pPr>
              <w:pStyle w:val="TableContents"/>
              <w:bidi w:val="0"/>
              <w:spacing w:before="0" w:after="283"/>
              <w:jc w:val="left"/>
              <w:rPr>
                <w:color w:val="00AE4F"/>
              </w:rPr>
            </w:pPr>
            <w:r>
              <w:rPr>
                <w:color w:val="00AE4F"/>
              </w:rPr>
              <w:t>  </w:t>
            </w:r>
            <w:r>
              <w:rPr>
                <w:b/>
                <w:color w:val="00AE4F"/>
              </w:rPr>
              <w:t>Greater than Five Percent Class B Stockholders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451" w:type="dxa"/>
            <w:gridSpan w:val="3"/>
            <w:tcBorders>
              <w:bottom w:val="single" w:sz="8" w:space="0" w:color="000000"/>
            </w:tcBorders>
            <w:tcMar>
              <w:bottom w:w="60" w:type="dxa"/>
            </w:tcMar>
            <w:vAlign w:val="center"/>
          </w:tcPr>
          <w:p>
            <w:pPr>
              <w:pStyle w:val="TableContents"/>
              <w:bidi w:val="0"/>
              <w:spacing w:before="0" w:after="283"/>
              <w:jc w:val="center"/>
              <w:rPr>
                <w:color w:val="00AE4F"/>
              </w:rPr>
            </w:pPr>
            <w:r>
              <w:rPr>
                <w:color w:val="00AE4F"/>
              </w:rPr>
              <w:t> </w:t>
            </w:r>
            <w:r>
              <w:rPr>
                <w:b/>
                <w:color w:val="00AE4F"/>
              </w:rPr>
              <w:t>Number of Shares and Nature of Beneficial</w:t>
              <w:br/>
              <w:t>Ownership(1)</w:t>
            </w:r>
          </w:p>
        </w:tc>
        <w:tc>
          <w:tcPr>
            <w:tcW w:w="876" w:type="dxa"/>
            <w:tcBorders>
              <w:bottom w:val="single" w:sz="8" w:space="0" w:color="000000"/>
            </w:tcBorders>
            <w:tcMar>
              <w:bottom w:w="28" w:type="dxa"/>
            </w:tcMar>
            <w:vAlign w:val="center"/>
          </w:tcPr>
          <w:p>
            <w:pPr>
              <w:pStyle w:val="TableContents"/>
              <w:bidi w:val="0"/>
              <w:spacing w:before="0" w:after="283"/>
              <w:jc w:val="left"/>
              <w:rPr/>
            </w:pPr>
            <w:r>
              <w:rPr/>
              <w:t>    </w:t>
            </w:r>
          </w:p>
        </w:tc>
        <w:tc>
          <w:tcPr>
            <w:tcW w:w="2311" w:type="dxa"/>
            <w:gridSpan w:val="3"/>
            <w:tcBorders>
              <w:bottom w:val="single" w:sz="8" w:space="0" w:color="000000"/>
            </w:tcBorders>
            <w:tcMar>
              <w:bottom w:w="60" w:type="dxa"/>
            </w:tcMar>
            <w:vAlign w:val="center"/>
          </w:tcPr>
          <w:p>
            <w:pPr>
              <w:pStyle w:val="TableContents"/>
              <w:bidi w:val="0"/>
              <w:spacing w:before="0" w:after="283"/>
              <w:jc w:val="center"/>
              <w:rPr>
                <w:color w:val="00AE4F"/>
              </w:rPr>
            </w:pPr>
            <w:r>
              <w:rPr>
                <w:color w:val="00AE4F"/>
              </w:rPr>
              <w:t>    </w:t>
            </w:r>
            <w:r>
              <w:rPr>
                <w:b/>
                <w:color w:val="00AE4F"/>
              </w:rPr>
              <w:t>Percent of Class     </w:t>
            </w:r>
          </w:p>
        </w:tc>
      </w:tr>
      <w:tr>
        <w:trPr/>
        <w:tc>
          <w:tcPr>
            <w:tcW w:w="2507" w:type="dxa"/>
            <w:tcBorders/>
            <w:vAlign w:val="center"/>
          </w:tcPr>
          <w:p>
            <w:pPr>
              <w:pStyle w:val="TableContents"/>
              <w:bidi w:val="0"/>
              <w:spacing w:before="0" w:after="283"/>
              <w:jc w:val="left"/>
              <w:rPr>
                <w:sz w:val="4"/>
                <w:szCs w:val="4"/>
              </w:rPr>
            </w:pPr>
            <w:r>
              <w:rPr>
                <w:sz w:val="4"/>
                <w:szCs w:val="4"/>
              </w:rPr>
            </w:r>
          </w:p>
        </w:tc>
        <w:tc>
          <w:tcPr>
            <w:tcW w:w="4511" w:type="dxa"/>
            <w:gridSpan w:val="4"/>
            <w:tcBorders/>
            <w:vAlign w:val="center"/>
          </w:tcPr>
          <w:p>
            <w:pPr>
              <w:pStyle w:val="TableContents"/>
              <w:bidi w:val="0"/>
              <w:spacing w:before="0" w:after="283"/>
              <w:jc w:val="left"/>
              <w:rPr>
                <w:sz w:val="4"/>
                <w:szCs w:val="4"/>
              </w:rPr>
            </w:pPr>
            <w:r>
              <w:rPr>
                <w:sz w:val="4"/>
                <w:szCs w:val="4"/>
              </w:rPr>
            </w:r>
          </w:p>
        </w:tc>
        <w:tc>
          <w:tcPr>
            <w:tcW w:w="3187" w:type="dxa"/>
            <w:gridSpan w:val="4"/>
            <w:tcBorders/>
            <w:vAlign w:val="center"/>
          </w:tcPr>
          <w:p>
            <w:pPr>
              <w:pStyle w:val="TableContents"/>
              <w:bidi w:val="0"/>
              <w:spacing w:before="0" w:after="283"/>
              <w:jc w:val="left"/>
              <w:rPr>
                <w:sz w:val="4"/>
                <w:szCs w:val="4"/>
              </w:rPr>
            </w:pPr>
            <w:r>
              <w:rPr>
                <w:sz w:val="4"/>
                <w:szCs w:val="4"/>
              </w:rPr>
            </w:r>
          </w:p>
        </w:tc>
      </w:tr>
      <w:tr>
        <w:trPr/>
        <w:tc>
          <w:tcPr>
            <w:tcW w:w="2507"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Hunt Equity Opportunities, LLC (“Hunt”)</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4451" w:type="dxa"/>
            <w:gridSpan w:val="3"/>
            <w:tcBorders>
              <w:bottom w:val="single" w:sz="6" w:space="0" w:color="7F7F7F"/>
            </w:tcBorders>
            <w:tcMar>
              <w:bottom w:w="80" w:type="dxa"/>
            </w:tcMar>
            <w:vAlign w:val="center"/>
          </w:tcPr>
          <w:p>
            <w:pPr>
              <w:pStyle w:val="TableContents"/>
              <w:bidi w:val="0"/>
              <w:spacing w:before="0" w:after="283"/>
              <w:jc w:val="center"/>
              <w:rPr/>
            </w:pPr>
            <w:r>
              <w:rPr/>
              <w:t>3,039,940</w:t>
            </w:r>
          </w:p>
        </w:tc>
        <w:tc>
          <w:tcPr>
            <w:tcW w:w="876" w:type="dxa"/>
            <w:tcBorders>
              <w:bottom w:val="single" w:sz="6" w:space="0" w:color="7F7F7F"/>
            </w:tcBorders>
            <w:tcMar>
              <w:bottom w:w="28" w:type="dxa"/>
            </w:tcMar>
            <w:vAlign w:val="center"/>
          </w:tcPr>
          <w:p>
            <w:pPr>
              <w:pStyle w:val="TableContents"/>
              <w:bidi w:val="0"/>
              <w:spacing w:before="0" w:after="283"/>
              <w:jc w:val="left"/>
              <w:rPr/>
            </w:pPr>
            <w:r>
              <w:rPr/>
              <w:t>    </w:t>
            </w:r>
          </w:p>
        </w:tc>
        <w:tc>
          <w:tcPr>
            <w:tcW w:w="2311" w:type="dxa"/>
            <w:gridSpan w:val="3"/>
            <w:tcBorders>
              <w:bottom w:val="single" w:sz="6" w:space="0" w:color="7F7F7F"/>
            </w:tcBorders>
            <w:tcMar>
              <w:bottom w:w="80" w:type="dxa"/>
            </w:tcMar>
            <w:vAlign w:val="center"/>
          </w:tcPr>
          <w:p>
            <w:pPr>
              <w:pStyle w:val="TableContents"/>
              <w:bidi w:val="0"/>
              <w:spacing w:before="0" w:after="283"/>
              <w:jc w:val="center"/>
              <w:rPr/>
            </w:pPr>
            <w:r>
              <w:rPr/>
              <w:t>92.2%</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2"/>
        <w:gridCol w:w="120"/>
        <w:gridCol w:w="134"/>
        <w:gridCol w:w="2196"/>
        <w:gridCol w:w="256"/>
        <w:gridCol w:w="120"/>
        <w:gridCol w:w="1055"/>
        <w:gridCol w:w="120"/>
        <w:gridCol w:w="317"/>
        <w:gridCol w:w="2013"/>
        <w:gridCol w:w="68"/>
        <w:gridCol w:w="136"/>
        <w:gridCol w:w="1218"/>
      </w:tblGrid>
      <w:tr>
        <w:trPr/>
        <w:tc>
          <w:tcPr>
            <w:tcW w:w="24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2452" w:type="dxa"/>
            <w:tcBorders/>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761" w:type="dxa"/>
            <w:gridSpan w:val="5"/>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Class A Common Stock</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752" w:type="dxa"/>
            <w:gridSpan w:val="5"/>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Class B Common Stock</w:t>
            </w:r>
          </w:p>
        </w:tc>
      </w:tr>
      <w:tr>
        <w:trPr/>
        <w:tc>
          <w:tcPr>
            <w:tcW w:w="2452" w:type="dxa"/>
            <w:tcBorders>
              <w:bottom w:val="single" w:sz="8" w:space="0" w:color="000000"/>
            </w:tcBorders>
            <w:tcMar>
              <w:bottom w:w="40" w:type="dxa"/>
            </w:tcMar>
            <w:vAlign w:val="center"/>
          </w:tcPr>
          <w:p>
            <w:pPr>
              <w:pStyle w:val="TableContents"/>
              <w:bidi w:val="0"/>
              <w:spacing w:before="0" w:after="283"/>
              <w:jc w:val="left"/>
              <w:rPr>
                <w:color w:val="00AE4F"/>
              </w:rPr>
            </w:pPr>
            <w:r>
              <w:rPr>
                <w:color w:val="00AE4F"/>
              </w:rPr>
              <w:t>  </w:t>
            </w:r>
            <w:r>
              <w:rPr>
                <w:b/>
                <w:color w:val="00AE4F"/>
              </w:rPr>
              <w:t>Directors, Director Nominees, and Named Executive</w:t>
              <w:br/>
              <w:t>  Officers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330" w:type="dxa"/>
            <w:gridSpan w:val="2"/>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Number of Shares and</w:t>
              <w:br/>
              <w:t>Nature of Beneficial</w:t>
              <w:br/>
              <w:t>Ownership</w:t>
            </w:r>
          </w:p>
        </w:tc>
        <w:tc>
          <w:tcPr>
            <w:tcW w:w="256"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Percent of</w:t>
              <w:br/>
              <w:t>Class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330" w:type="dxa"/>
            <w:gridSpan w:val="2"/>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Number of Shares and</w:t>
              <w:br/>
              <w:t>Nature of Beneficial</w:t>
              <w:br/>
              <w:t>Ownership</w:t>
            </w:r>
          </w:p>
        </w:tc>
        <w:tc>
          <w:tcPr>
            <w:tcW w:w="68" w:type="dxa"/>
            <w:tcBorders>
              <w:bottom w:val="single" w:sz="8" w:space="0" w:color="000000"/>
            </w:tcBorders>
            <w:tcMar>
              <w:bottom w:w="28" w:type="dxa"/>
            </w:tcMar>
            <w:vAlign w:val="center"/>
          </w:tcPr>
          <w:p>
            <w:pPr>
              <w:pStyle w:val="TableContents"/>
              <w:bidi w:val="0"/>
              <w:spacing w:before="0" w:after="283"/>
              <w:jc w:val="left"/>
              <w:rPr/>
            </w:pPr>
            <w:r>
              <w:rPr/>
              <w:t> </w:t>
            </w:r>
          </w:p>
        </w:tc>
        <w:tc>
          <w:tcPr>
            <w:tcW w:w="136" w:type="dxa"/>
            <w:tcBorders>
              <w:bottom w:val="single" w:sz="8" w:space="0" w:color="000000"/>
            </w:tcBorders>
            <w:tcMar>
              <w:bottom w:w="28" w:type="dxa"/>
            </w:tcMar>
            <w:vAlign w:val="center"/>
          </w:tcPr>
          <w:p>
            <w:pPr>
              <w:pStyle w:val="TableContents"/>
              <w:bidi w:val="0"/>
              <w:spacing w:before="0" w:after="283"/>
              <w:jc w:val="left"/>
              <w:rPr/>
            </w:pPr>
            <w:r>
              <w:rPr/>
              <w:t>  </w:t>
            </w:r>
          </w:p>
        </w:tc>
        <w:tc>
          <w:tcPr>
            <w:tcW w:w="1218"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Percent of</w:t>
              <w:br/>
              <w:t>Class</w:t>
            </w:r>
          </w:p>
        </w:tc>
      </w:tr>
      <w:tr>
        <w:trPr/>
        <w:tc>
          <w:tcPr>
            <w:tcW w:w="2452" w:type="dxa"/>
            <w:tcBorders>
              <w:bottom w:val="single" w:sz="6" w:space="0" w:color="7F7F7F"/>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Directors: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 w:type="dxa"/>
            <w:tcBorders>
              <w:bottom w:val="single" w:sz="6" w:space="0" w:color="7F7F7F"/>
            </w:tcBorders>
            <w:tcMar>
              <w:bottom w:w="28" w:type="dxa"/>
            </w:tcMar>
            <w:vAlign w:val="center"/>
          </w:tcPr>
          <w:p>
            <w:pPr>
              <w:pStyle w:val="TableContents"/>
              <w:bidi w:val="0"/>
              <w:spacing w:before="0" w:after="283"/>
              <w:jc w:val="left"/>
              <w:rPr/>
            </w:pPr>
            <w:r>
              <w:rPr/>
              <w:t> </w:t>
            </w:r>
          </w:p>
        </w:tc>
        <w:tc>
          <w:tcPr>
            <w:tcW w:w="2196" w:type="dxa"/>
            <w:tcBorders>
              <w:bottom w:val="single" w:sz="6" w:space="0" w:color="7F7F7F"/>
            </w:tcBorders>
            <w:tcMar>
              <w:bottom w:w="28" w:type="dxa"/>
            </w:tcMar>
            <w:vAlign w:val="center"/>
          </w:tcPr>
          <w:p>
            <w:pPr>
              <w:pStyle w:val="TableContents"/>
              <w:bidi w:val="0"/>
              <w:spacing w:before="0" w:after="283"/>
              <w:jc w:val="left"/>
              <w:rPr/>
            </w:pPr>
            <w:r>
              <w:rPr/>
              <w:t> </w:t>
            </w:r>
          </w:p>
        </w:tc>
        <w:tc>
          <w:tcPr>
            <w:tcW w:w="256"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55"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317" w:type="dxa"/>
            <w:tcBorders>
              <w:bottom w:val="single" w:sz="6" w:space="0" w:color="7F7F7F"/>
            </w:tcBorders>
            <w:tcMar>
              <w:bottom w:w="28" w:type="dxa"/>
            </w:tcMar>
            <w:vAlign w:val="center"/>
          </w:tcPr>
          <w:p>
            <w:pPr>
              <w:pStyle w:val="TableContents"/>
              <w:bidi w:val="0"/>
              <w:spacing w:before="0" w:after="283"/>
              <w:jc w:val="left"/>
              <w:rPr/>
            </w:pPr>
            <w:r>
              <w:rPr/>
              <w:t> </w:t>
            </w:r>
          </w:p>
        </w:tc>
        <w:tc>
          <w:tcPr>
            <w:tcW w:w="2013" w:type="dxa"/>
            <w:tcBorders>
              <w:bottom w:val="single" w:sz="6" w:space="0" w:color="7F7F7F"/>
            </w:tcBorders>
            <w:tcMar>
              <w:bottom w:w="28" w:type="dxa"/>
            </w:tcMar>
            <w:vAlign w:val="center"/>
          </w:tcPr>
          <w:p>
            <w:pPr>
              <w:pStyle w:val="TableContents"/>
              <w:bidi w:val="0"/>
              <w:spacing w:before="0" w:after="283"/>
              <w:jc w:val="left"/>
              <w:rPr/>
            </w:pPr>
            <w:r>
              <w:rPr/>
              <w:t> </w:t>
            </w:r>
          </w:p>
        </w:tc>
        <w:tc>
          <w:tcPr>
            <w:tcW w:w="68" w:type="dxa"/>
            <w:tcBorders>
              <w:bottom w:val="single" w:sz="6" w:space="0" w:color="7F7F7F"/>
            </w:tcBorders>
            <w:tcMar>
              <w:bottom w:w="28" w:type="dxa"/>
            </w:tcMar>
            <w:vAlign w:val="center"/>
          </w:tcPr>
          <w:p>
            <w:pPr>
              <w:pStyle w:val="TableContents"/>
              <w:bidi w:val="0"/>
              <w:spacing w:before="0" w:after="283"/>
              <w:jc w:val="left"/>
              <w:rPr/>
            </w:pPr>
            <w:r>
              <w:rPr/>
              <w:t> </w:t>
            </w:r>
          </w:p>
        </w:tc>
        <w:tc>
          <w:tcPr>
            <w:tcW w:w="136" w:type="dxa"/>
            <w:tcBorders>
              <w:bottom w:val="single" w:sz="6" w:space="0" w:color="7F7F7F"/>
            </w:tcBorders>
            <w:tcMar>
              <w:bottom w:w="28" w:type="dxa"/>
            </w:tcMar>
            <w:vAlign w:val="center"/>
          </w:tcPr>
          <w:p>
            <w:pPr>
              <w:pStyle w:val="TableContents"/>
              <w:bidi w:val="0"/>
              <w:spacing w:before="0" w:after="283"/>
              <w:jc w:val="left"/>
              <w:rPr/>
            </w:pPr>
            <w:r>
              <w:rPr/>
              <w:t>  </w:t>
            </w:r>
          </w:p>
        </w:tc>
        <w:tc>
          <w:tcPr>
            <w:tcW w:w="1218" w:type="dxa"/>
            <w:tcBorders>
              <w:bottom w:val="single" w:sz="6" w:space="0" w:color="7F7F7F"/>
            </w:tcBorders>
            <w:tcMar>
              <w:bottom w:w="28" w:type="dxa"/>
            </w:tcMar>
            <w:vAlign w:val="center"/>
          </w:tcPr>
          <w:p>
            <w:pPr>
              <w:pStyle w:val="TableContents"/>
              <w:bidi w:val="0"/>
              <w:spacing w:before="0" w:after="283"/>
              <w:jc w:val="left"/>
              <w:rPr/>
            </w:pPr>
            <w:r>
              <w:rPr/>
              <w:t> </w:t>
            </w:r>
          </w:p>
        </w:tc>
      </w:tr>
      <w:tr>
        <w:trPr/>
        <w:tc>
          <w:tcPr>
            <w:tcW w:w="2452" w:type="dxa"/>
            <w:tcBorders/>
            <w:vAlign w:val="center"/>
          </w:tcPr>
          <w:p>
            <w:pPr>
              <w:pStyle w:val="TableContents"/>
              <w:bidi w:val="0"/>
              <w:spacing w:before="0" w:after="283"/>
              <w:jc w:val="left"/>
              <w:rPr>
                <w:sz w:val="4"/>
                <w:szCs w:val="4"/>
              </w:rPr>
            </w:pPr>
            <w:r>
              <w:rPr>
                <w:sz w:val="4"/>
                <w:szCs w:val="4"/>
              </w:rPr>
            </w:r>
          </w:p>
        </w:tc>
        <w:tc>
          <w:tcPr>
            <w:tcW w:w="2706" w:type="dxa"/>
            <w:gridSpan w:val="4"/>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2518" w:type="dxa"/>
            <w:gridSpan w:val="4"/>
            <w:tcBorders/>
            <w:vAlign w:val="center"/>
          </w:tcPr>
          <w:p>
            <w:pPr>
              <w:pStyle w:val="TableContents"/>
              <w:bidi w:val="0"/>
              <w:spacing w:before="0" w:after="283"/>
              <w:jc w:val="left"/>
              <w:rPr>
                <w:sz w:val="4"/>
                <w:szCs w:val="4"/>
              </w:rPr>
            </w:pPr>
            <w:r>
              <w:rPr>
                <w:sz w:val="4"/>
                <w:szCs w:val="4"/>
              </w:rPr>
            </w:r>
          </w:p>
        </w:tc>
        <w:tc>
          <w:tcPr>
            <w:tcW w:w="1354" w:type="dxa"/>
            <w:gridSpan w:val="2"/>
            <w:tcBorders/>
            <w:vAlign w:val="center"/>
          </w:tcPr>
          <w:p>
            <w:pPr>
              <w:pStyle w:val="TableContents"/>
              <w:bidi w:val="0"/>
              <w:spacing w:before="0" w:after="283"/>
              <w:jc w:val="left"/>
              <w:rPr>
                <w:sz w:val="4"/>
                <w:szCs w:val="4"/>
              </w:rPr>
            </w:pPr>
            <w:r>
              <w:rPr>
                <w:sz w:val="4"/>
                <w:szCs w:val="4"/>
              </w:rPr>
            </w:r>
          </w:p>
        </w:tc>
      </w:tr>
      <w:tr>
        <w:trPr/>
        <w:tc>
          <w:tcPr>
            <w:tcW w:w="2452"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Angela Brock-Kyle(3)</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2196" w:type="dxa"/>
            <w:tcBorders>
              <w:bottom w:val="single" w:sz="6" w:space="0" w:color="7F7F7F"/>
            </w:tcBorders>
            <w:tcMar>
              <w:bottom w:w="80" w:type="dxa"/>
            </w:tcMar>
            <w:vAlign w:val="center"/>
          </w:tcPr>
          <w:p>
            <w:pPr>
              <w:pStyle w:val="TableContents"/>
              <w:bidi w:val="0"/>
              <w:spacing w:before="0" w:after="283"/>
              <w:jc w:val="right"/>
              <w:rPr/>
            </w:pPr>
            <w:r>
              <w:rPr/>
              <w:t>6,887</w:t>
            </w:r>
          </w:p>
        </w:tc>
        <w:tc>
          <w:tcPr>
            <w:tcW w:w="256" w:type="dxa"/>
            <w:tcBorders>
              <w:bottom w:val="single" w:sz="6" w:space="0" w:color="7F7F7F"/>
            </w:tcBorders>
            <w:tcMar>
              <w:bottom w:w="8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55" w:type="dxa"/>
            <w:tcBorders>
              <w:bottom w:val="single" w:sz="6" w:space="0" w:color="7F7F7F"/>
            </w:tcBorders>
            <w:tcMar>
              <w:bottom w:w="80" w:type="dxa"/>
            </w:tcMar>
            <w:vAlign w:val="center"/>
          </w:tcPr>
          <w:p>
            <w:pPr>
              <w:pStyle w:val="TableContents"/>
              <w:bidi w:val="0"/>
              <w:spacing w:before="0" w:after="283"/>
              <w:jc w:val="center"/>
              <w:rPr/>
            </w:pPr>
            <w:r>
              <w:rPr/>
              <w: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317" w:type="dxa"/>
            <w:tcBorders>
              <w:bottom w:val="single" w:sz="6" w:space="0" w:color="7F7F7F"/>
            </w:tcBorders>
            <w:tcMar>
              <w:bottom w:w="80" w:type="dxa"/>
            </w:tcMar>
            <w:vAlign w:val="center"/>
          </w:tcPr>
          <w:p>
            <w:pPr>
              <w:pStyle w:val="TableContents"/>
              <w:bidi w:val="0"/>
              <w:spacing w:before="0" w:after="283"/>
              <w:jc w:val="left"/>
              <w:rPr/>
            </w:pPr>
            <w:r>
              <w:rPr/>
              <w:t> </w:t>
            </w:r>
          </w:p>
        </w:tc>
        <w:tc>
          <w:tcPr>
            <w:tcW w:w="2013" w:type="dxa"/>
            <w:tcBorders>
              <w:bottom w:val="single" w:sz="6" w:space="0" w:color="7F7F7F"/>
            </w:tcBorders>
            <w:tcMar>
              <w:bottom w:w="80" w:type="dxa"/>
            </w:tcMar>
            <w:vAlign w:val="center"/>
          </w:tcPr>
          <w:p>
            <w:pPr>
              <w:pStyle w:val="TableContents"/>
              <w:bidi w:val="0"/>
              <w:spacing w:before="0" w:after="283"/>
              <w:jc w:val="right"/>
              <w:rPr/>
            </w:pPr>
            <w:r>
              <w:rPr/>
              <w:t>100</w:t>
            </w:r>
          </w:p>
        </w:tc>
        <w:tc>
          <w:tcPr>
            <w:tcW w:w="68" w:type="dxa"/>
            <w:tcBorders>
              <w:bottom w:val="single" w:sz="6" w:space="0" w:color="7F7F7F"/>
            </w:tcBorders>
            <w:tcMar>
              <w:bottom w:w="80" w:type="dxa"/>
            </w:tcMar>
            <w:vAlign w:val="center"/>
          </w:tcPr>
          <w:p>
            <w:pPr>
              <w:pStyle w:val="TableContents"/>
              <w:bidi w:val="0"/>
              <w:spacing w:before="0" w:after="283"/>
              <w:jc w:val="left"/>
              <w:rPr/>
            </w:pPr>
            <w:r>
              <w:rPr/>
              <w:t> </w:t>
            </w:r>
          </w:p>
        </w:tc>
        <w:tc>
          <w:tcPr>
            <w:tcW w:w="136" w:type="dxa"/>
            <w:tcBorders>
              <w:bottom w:val="single" w:sz="6" w:space="0" w:color="7F7F7F"/>
            </w:tcBorders>
            <w:tcMar>
              <w:bottom w:w="28" w:type="dxa"/>
            </w:tcMar>
            <w:vAlign w:val="center"/>
          </w:tcPr>
          <w:p>
            <w:pPr>
              <w:pStyle w:val="TableContents"/>
              <w:bidi w:val="0"/>
              <w:spacing w:before="0" w:after="283"/>
              <w:jc w:val="left"/>
              <w:rPr/>
            </w:pPr>
            <w:r>
              <w:rPr/>
              <w:t>  </w:t>
            </w:r>
          </w:p>
        </w:tc>
        <w:tc>
          <w:tcPr>
            <w:tcW w:w="1218" w:type="dxa"/>
            <w:tcBorders>
              <w:bottom w:val="single" w:sz="6" w:space="0" w:color="7F7F7F"/>
            </w:tcBorders>
            <w:tcMar>
              <w:bottom w:w="80" w:type="dxa"/>
            </w:tcMar>
            <w:vAlign w:val="center"/>
          </w:tcPr>
          <w:p>
            <w:pPr>
              <w:pStyle w:val="TableContents"/>
              <w:bidi w:val="0"/>
              <w:spacing w:before="0" w:after="283"/>
              <w:jc w:val="center"/>
              <w:rPr/>
            </w:pPr>
            <w:r>
              <w:rPr/>
              <w:t>*</w:t>
            </w:r>
          </w:p>
        </w:tc>
      </w:tr>
      <w:tr>
        <w:trPr/>
        <w:tc>
          <w:tcPr>
            <w:tcW w:w="2452" w:type="dxa"/>
            <w:tcBorders/>
            <w:vAlign w:val="center"/>
          </w:tcPr>
          <w:p>
            <w:pPr>
              <w:pStyle w:val="TableContents"/>
              <w:bidi w:val="0"/>
              <w:spacing w:before="0" w:after="283"/>
              <w:jc w:val="left"/>
              <w:rPr>
                <w:sz w:val="4"/>
                <w:szCs w:val="4"/>
              </w:rPr>
            </w:pPr>
            <w:r>
              <w:rPr>
                <w:sz w:val="4"/>
                <w:szCs w:val="4"/>
              </w:rPr>
            </w:r>
          </w:p>
        </w:tc>
        <w:tc>
          <w:tcPr>
            <w:tcW w:w="2706" w:type="dxa"/>
            <w:gridSpan w:val="4"/>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2518" w:type="dxa"/>
            <w:gridSpan w:val="4"/>
            <w:tcBorders/>
            <w:vAlign w:val="center"/>
          </w:tcPr>
          <w:p>
            <w:pPr>
              <w:pStyle w:val="TableContents"/>
              <w:bidi w:val="0"/>
              <w:spacing w:before="0" w:after="283"/>
              <w:jc w:val="left"/>
              <w:rPr>
                <w:sz w:val="4"/>
                <w:szCs w:val="4"/>
              </w:rPr>
            </w:pPr>
            <w:r>
              <w:rPr>
                <w:sz w:val="4"/>
                <w:szCs w:val="4"/>
              </w:rPr>
            </w:r>
          </w:p>
        </w:tc>
        <w:tc>
          <w:tcPr>
            <w:tcW w:w="1354" w:type="dxa"/>
            <w:gridSpan w:val="2"/>
            <w:tcBorders/>
            <w:vAlign w:val="center"/>
          </w:tcPr>
          <w:p>
            <w:pPr>
              <w:pStyle w:val="TableContents"/>
              <w:bidi w:val="0"/>
              <w:spacing w:before="0" w:after="283"/>
              <w:jc w:val="left"/>
              <w:rPr>
                <w:sz w:val="4"/>
                <w:szCs w:val="4"/>
              </w:rPr>
            </w:pPr>
            <w:r>
              <w:rPr>
                <w:sz w:val="4"/>
                <w:szCs w:val="4"/>
              </w:rPr>
            </w:r>
          </w:p>
        </w:tc>
      </w:tr>
      <w:tr>
        <w:trPr/>
        <w:tc>
          <w:tcPr>
            <w:tcW w:w="2452"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Robert S. Cubbin</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2196" w:type="dxa"/>
            <w:tcBorders>
              <w:bottom w:val="single" w:sz="6" w:space="0" w:color="7F7F7F"/>
            </w:tcBorders>
            <w:tcMar>
              <w:bottom w:w="80" w:type="dxa"/>
            </w:tcMar>
            <w:vAlign w:val="center"/>
          </w:tcPr>
          <w:p>
            <w:pPr>
              <w:pStyle w:val="TableContents"/>
              <w:bidi w:val="0"/>
              <w:spacing w:before="0" w:after="283"/>
              <w:jc w:val="right"/>
              <w:rPr/>
            </w:pPr>
            <w:r>
              <w:rPr/>
              <w:t>75,663</w:t>
            </w:r>
          </w:p>
        </w:tc>
        <w:tc>
          <w:tcPr>
            <w:tcW w:w="256" w:type="dxa"/>
            <w:tcBorders>
              <w:bottom w:val="single" w:sz="6" w:space="0" w:color="7F7F7F"/>
            </w:tcBorders>
            <w:tcMar>
              <w:bottom w:w="80" w:type="dxa"/>
            </w:tcMar>
            <w:vAlign w:val="center"/>
          </w:tcPr>
          <w:p>
            <w:pPr>
              <w:pStyle w:val="TableContents"/>
              <w:bidi w:val="0"/>
              <w:spacing w:before="0" w:after="283"/>
              <w:jc w:val="left"/>
              <w:rPr/>
            </w:pPr>
            <w:r>
              <w:rPr/>
              <w:t>(2)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55" w:type="dxa"/>
            <w:tcBorders>
              <w:bottom w:val="single" w:sz="6" w:space="0" w:color="7F7F7F"/>
            </w:tcBorders>
            <w:tcMar>
              <w:bottom w:w="80" w:type="dxa"/>
            </w:tcMar>
            <w:vAlign w:val="center"/>
          </w:tcPr>
          <w:p>
            <w:pPr>
              <w:pStyle w:val="TableContents"/>
              <w:bidi w:val="0"/>
              <w:spacing w:before="0" w:after="283"/>
              <w:jc w:val="center"/>
              <w:rPr/>
            </w:pPr>
            <w:r>
              <w:rPr/>
              <w: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317" w:type="dxa"/>
            <w:tcBorders>
              <w:bottom w:val="single" w:sz="6" w:space="0" w:color="7F7F7F"/>
            </w:tcBorders>
            <w:tcMar>
              <w:bottom w:w="80" w:type="dxa"/>
            </w:tcMar>
            <w:vAlign w:val="center"/>
          </w:tcPr>
          <w:p>
            <w:pPr>
              <w:pStyle w:val="TableContents"/>
              <w:bidi w:val="0"/>
              <w:spacing w:before="0" w:after="283"/>
              <w:jc w:val="left"/>
              <w:rPr/>
            </w:pPr>
            <w:r>
              <w:rPr/>
              <w:t> </w:t>
            </w:r>
          </w:p>
        </w:tc>
        <w:tc>
          <w:tcPr>
            <w:tcW w:w="2013" w:type="dxa"/>
            <w:tcBorders>
              <w:bottom w:val="single" w:sz="6" w:space="0" w:color="7F7F7F"/>
            </w:tcBorders>
            <w:tcMar>
              <w:bottom w:w="80" w:type="dxa"/>
            </w:tcMar>
            <w:vAlign w:val="center"/>
          </w:tcPr>
          <w:p>
            <w:pPr>
              <w:pStyle w:val="TableContents"/>
              <w:bidi w:val="0"/>
              <w:spacing w:before="0" w:after="283"/>
              <w:jc w:val="right"/>
              <w:rPr/>
            </w:pPr>
            <w:r>
              <w:rPr/>
              <w:t>100</w:t>
            </w:r>
          </w:p>
        </w:tc>
        <w:tc>
          <w:tcPr>
            <w:tcW w:w="68" w:type="dxa"/>
            <w:tcBorders>
              <w:bottom w:val="single" w:sz="6" w:space="0" w:color="7F7F7F"/>
            </w:tcBorders>
            <w:tcMar>
              <w:bottom w:w="80" w:type="dxa"/>
            </w:tcMar>
            <w:vAlign w:val="center"/>
          </w:tcPr>
          <w:p>
            <w:pPr>
              <w:pStyle w:val="TableContents"/>
              <w:bidi w:val="0"/>
              <w:spacing w:before="0" w:after="283"/>
              <w:jc w:val="left"/>
              <w:rPr/>
            </w:pPr>
            <w:r>
              <w:rPr/>
              <w:t> </w:t>
            </w:r>
          </w:p>
        </w:tc>
        <w:tc>
          <w:tcPr>
            <w:tcW w:w="136" w:type="dxa"/>
            <w:tcBorders>
              <w:bottom w:val="single" w:sz="6" w:space="0" w:color="7F7F7F"/>
            </w:tcBorders>
            <w:tcMar>
              <w:bottom w:w="28" w:type="dxa"/>
            </w:tcMar>
            <w:vAlign w:val="center"/>
          </w:tcPr>
          <w:p>
            <w:pPr>
              <w:pStyle w:val="TableContents"/>
              <w:bidi w:val="0"/>
              <w:spacing w:before="0" w:after="283"/>
              <w:jc w:val="left"/>
              <w:rPr/>
            </w:pPr>
            <w:r>
              <w:rPr/>
              <w:t>  </w:t>
            </w:r>
          </w:p>
        </w:tc>
        <w:tc>
          <w:tcPr>
            <w:tcW w:w="1218" w:type="dxa"/>
            <w:tcBorders>
              <w:bottom w:val="single" w:sz="6" w:space="0" w:color="7F7F7F"/>
            </w:tcBorders>
            <w:tcMar>
              <w:bottom w:w="80" w:type="dxa"/>
            </w:tcMar>
            <w:vAlign w:val="center"/>
          </w:tcPr>
          <w:p>
            <w:pPr>
              <w:pStyle w:val="TableContents"/>
              <w:bidi w:val="0"/>
              <w:spacing w:before="0" w:after="283"/>
              <w:jc w:val="center"/>
              <w:rPr/>
            </w:pPr>
            <w:r>
              <w:rPr/>
              <w:t>*</w:t>
            </w:r>
          </w:p>
        </w:tc>
      </w:tr>
      <w:tr>
        <w:trPr/>
        <w:tc>
          <w:tcPr>
            <w:tcW w:w="2452" w:type="dxa"/>
            <w:tcBorders/>
            <w:vAlign w:val="center"/>
          </w:tcPr>
          <w:p>
            <w:pPr>
              <w:pStyle w:val="TableContents"/>
              <w:bidi w:val="0"/>
              <w:spacing w:before="0" w:after="283"/>
              <w:jc w:val="left"/>
              <w:rPr>
                <w:sz w:val="4"/>
                <w:szCs w:val="4"/>
              </w:rPr>
            </w:pPr>
            <w:r>
              <w:rPr>
                <w:sz w:val="4"/>
                <w:szCs w:val="4"/>
              </w:rPr>
            </w:r>
          </w:p>
        </w:tc>
        <w:tc>
          <w:tcPr>
            <w:tcW w:w="2706" w:type="dxa"/>
            <w:gridSpan w:val="4"/>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2518" w:type="dxa"/>
            <w:gridSpan w:val="4"/>
            <w:tcBorders/>
            <w:vAlign w:val="center"/>
          </w:tcPr>
          <w:p>
            <w:pPr>
              <w:pStyle w:val="TableContents"/>
              <w:bidi w:val="0"/>
              <w:spacing w:before="0" w:after="283"/>
              <w:jc w:val="left"/>
              <w:rPr>
                <w:sz w:val="4"/>
                <w:szCs w:val="4"/>
              </w:rPr>
            </w:pPr>
            <w:r>
              <w:rPr>
                <w:sz w:val="4"/>
                <w:szCs w:val="4"/>
              </w:rPr>
            </w:r>
          </w:p>
        </w:tc>
        <w:tc>
          <w:tcPr>
            <w:tcW w:w="1354" w:type="dxa"/>
            <w:gridSpan w:val="2"/>
            <w:tcBorders/>
            <w:vAlign w:val="center"/>
          </w:tcPr>
          <w:p>
            <w:pPr>
              <w:pStyle w:val="TableContents"/>
              <w:bidi w:val="0"/>
              <w:spacing w:before="0" w:after="283"/>
              <w:jc w:val="left"/>
              <w:rPr>
                <w:sz w:val="4"/>
                <w:szCs w:val="4"/>
              </w:rPr>
            </w:pPr>
            <w:r>
              <w:rPr>
                <w:sz w:val="4"/>
                <w:szCs w:val="4"/>
              </w:rPr>
            </w:r>
          </w:p>
        </w:tc>
      </w:tr>
      <w:tr>
        <w:trPr/>
        <w:tc>
          <w:tcPr>
            <w:tcW w:w="2452"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Amala Duggirala</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2196" w:type="dxa"/>
            <w:tcBorders>
              <w:bottom w:val="single" w:sz="6" w:space="0" w:color="7F7F7F"/>
            </w:tcBorders>
            <w:tcMar>
              <w:bottom w:w="80" w:type="dxa"/>
            </w:tcMar>
            <w:vAlign w:val="center"/>
          </w:tcPr>
          <w:p>
            <w:pPr>
              <w:pStyle w:val="TableContents"/>
              <w:bidi w:val="0"/>
              <w:spacing w:before="0" w:after="283"/>
              <w:jc w:val="right"/>
              <w:rPr/>
            </w:pPr>
            <w:r>
              <w:rPr/>
              <w:t>38,757</w:t>
            </w:r>
          </w:p>
        </w:tc>
        <w:tc>
          <w:tcPr>
            <w:tcW w:w="256" w:type="dxa"/>
            <w:tcBorders>
              <w:bottom w:val="single" w:sz="6" w:space="0" w:color="7F7F7F"/>
            </w:tcBorders>
            <w:tcMar>
              <w:bottom w:w="80" w:type="dxa"/>
            </w:tcMar>
            <w:vAlign w:val="center"/>
          </w:tcPr>
          <w:p>
            <w:pPr>
              <w:pStyle w:val="TableContents"/>
              <w:bidi w:val="0"/>
              <w:spacing w:before="0" w:after="283"/>
              <w:jc w:val="left"/>
              <w:rPr/>
            </w:pPr>
            <w:r>
              <w:rPr/>
              <w:t>(2)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55" w:type="dxa"/>
            <w:tcBorders>
              <w:bottom w:val="single" w:sz="6" w:space="0" w:color="7F7F7F"/>
            </w:tcBorders>
            <w:tcMar>
              <w:bottom w:w="80" w:type="dxa"/>
            </w:tcMar>
            <w:vAlign w:val="center"/>
          </w:tcPr>
          <w:p>
            <w:pPr>
              <w:pStyle w:val="TableContents"/>
              <w:bidi w:val="0"/>
              <w:spacing w:before="0" w:after="283"/>
              <w:jc w:val="center"/>
              <w:rPr/>
            </w:pPr>
            <w:r>
              <w:rPr/>
              <w: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317" w:type="dxa"/>
            <w:tcBorders>
              <w:bottom w:val="single" w:sz="6" w:space="0" w:color="7F7F7F"/>
            </w:tcBorders>
            <w:tcMar>
              <w:bottom w:w="80" w:type="dxa"/>
            </w:tcMar>
            <w:vAlign w:val="center"/>
          </w:tcPr>
          <w:p>
            <w:pPr>
              <w:pStyle w:val="TableContents"/>
              <w:bidi w:val="0"/>
              <w:spacing w:before="0" w:after="283"/>
              <w:jc w:val="left"/>
              <w:rPr/>
            </w:pPr>
            <w:r>
              <w:rPr/>
              <w:t> </w:t>
            </w:r>
          </w:p>
        </w:tc>
        <w:tc>
          <w:tcPr>
            <w:tcW w:w="2013" w:type="dxa"/>
            <w:tcBorders>
              <w:bottom w:val="single" w:sz="6" w:space="0" w:color="7F7F7F"/>
            </w:tcBorders>
            <w:tcMar>
              <w:bottom w:w="80" w:type="dxa"/>
            </w:tcMar>
            <w:vAlign w:val="center"/>
          </w:tcPr>
          <w:p>
            <w:pPr>
              <w:pStyle w:val="TableContents"/>
              <w:bidi w:val="0"/>
              <w:spacing w:before="0" w:after="283"/>
              <w:jc w:val="right"/>
              <w:rPr/>
            </w:pPr>
            <w:r>
              <w:rPr/>
              <w:t>-</w:t>
            </w:r>
          </w:p>
        </w:tc>
        <w:tc>
          <w:tcPr>
            <w:tcW w:w="68" w:type="dxa"/>
            <w:tcBorders>
              <w:bottom w:val="single" w:sz="6" w:space="0" w:color="7F7F7F"/>
            </w:tcBorders>
            <w:tcMar>
              <w:bottom w:w="80" w:type="dxa"/>
            </w:tcMar>
            <w:vAlign w:val="center"/>
          </w:tcPr>
          <w:p>
            <w:pPr>
              <w:pStyle w:val="TableContents"/>
              <w:bidi w:val="0"/>
              <w:spacing w:before="0" w:after="283"/>
              <w:jc w:val="left"/>
              <w:rPr/>
            </w:pPr>
            <w:r>
              <w:rPr/>
              <w:t> </w:t>
            </w:r>
          </w:p>
        </w:tc>
        <w:tc>
          <w:tcPr>
            <w:tcW w:w="136" w:type="dxa"/>
            <w:tcBorders>
              <w:bottom w:val="single" w:sz="6" w:space="0" w:color="7F7F7F"/>
            </w:tcBorders>
            <w:tcMar>
              <w:bottom w:w="28" w:type="dxa"/>
            </w:tcMar>
            <w:vAlign w:val="center"/>
          </w:tcPr>
          <w:p>
            <w:pPr>
              <w:pStyle w:val="TableContents"/>
              <w:bidi w:val="0"/>
              <w:spacing w:before="0" w:after="283"/>
              <w:jc w:val="left"/>
              <w:rPr/>
            </w:pPr>
            <w:r>
              <w:rPr/>
              <w:t>  </w:t>
            </w:r>
          </w:p>
        </w:tc>
        <w:tc>
          <w:tcPr>
            <w:tcW w:w="1218" w:type="dxa"/>
            <w:tcBorders>
              <w:bottom w:val="single" w:sz="6" w:space="0" w:color="7F7F7F"/>
            </w:tcBorders>
            <w:tcMar>
              <w:bottom w:w="80" w:type="dxa"/>
            </w:tcMar>
            <w:vAlign w:val="center"/>
          </w:tcPr>
          <w:p>
            <w:pPr>
              <w:pStyle w:val="TableContents"/>
              <w:bidi w:val="0"/>
              <w:spacing w:before="0" w:after="283"/>
              <w:jc w:val="center"/>
              <w:rPr/>
            </w:pPr>
            <w:r>
              <w:rPr/>
              <w:t>*</w:t>
            </w:r>
          </w:p>
        </w:tc>
      </w:tr>
      <w:tr>
        <w:trPr/>
        <w:tc>
          <w:tcPr>
            <w:tcW w:w="2452" w:type="dxa"/>
            <w:tcBorders/>
            <w:vAlign w:val="center"/>
          </w:tcPr>
          <w:p>
            <w:pPr>
              <w:pStyle w:val="TableContents"/>
              <w:bidi w:val="0"/>
              <w:spacing w:before="0" w:after="283"/>
              <w:jc w:val="left"/>
              <w:rPr>
                <w:sz w:val="4"/>
                <w:szCs w:val="4"/>
              </w:rPr>
            </w:pPr>
            <w:r>
              <w:rPr>
                <w:sz w:val="4"/>
                <w:szCs w:val="4"/>
              </w:rPr>
            </w:r>
          </w:p>
        </w:tc>
        <w:tc>
          <w:tcPr>
            <w:tcW w:w="2706" w:type="dxa"/>
            <w:gridSpan w:val="4"/>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2518" w:type="dxa"/>
            <w:gridSpan w:val="4"/>
            <w:tcBorders/>
            <w:vAlign w:val="center"/>
          </w:tcPr>
          <w:p>
            <w:pPr>
              <w:pStyle w:val="TableContents"/>
              <w:bidi w:val="0"/>
              <w:spacing w:before="0" w:after="283"/>
              <w:jc w:val="left"/>
              <w:rPr>
                <w:sz w:val="4"/>
                <w:szCs w:val="4"/>
              </w:rPr>
            </w:pPr>
            <w:r>
              <w:rPr>
                <w:sz w:val="4"/>
                <w:szCs w:val="4"/>
              </w:rPr>
            </w:r>
          </w:p>
        </w:tc>
        <w:tc>
          <w:tcPr>
            <w:tcW w:w="1354" w:type="dxa"/>
            <w:gridSpan w:val="2"/>
            <w:tcBorders/>
            <w:vAlign w:val="center"/>
          </w:tcPr>
          <w:p>
            <w:pPr>
              <w:pStyle w:val="TableContents"/>
              <w:bidi w:val="0"/>
              <w:spacing w:before="0" w:after="283"/>
              <w:jc w:val="left"/>
              <w:rPr>
                <w:sz w:val="4"/>
                <w:szCs w:val="4"/>
              </w:rPr>
            </w:pPr>
            <w:r>
              <w:rPr>
                <w:sz w:val="4"/>
                <w:szCs w:val="4"/>
              </w:rPr>
            </w:r>
          </w:p>
        </w:tc>
      </w:tr>
      <w:tr>
        <w:trPr/>
        <w:tc>
          <w:tcPr>
            <w:tcW w:w="2452"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Edward Escudero(3)</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2196" w:type="dxa"/>
            <w:tcBorders>
              <w:bottom w:val="single" w:sz="6" w:space="0" w:color="7F7F7F"/>
            </w:tcBorders>
            <w:tcMar>
              <w:bottom w:w="80" w:type="dxa"/>
            </w:tcMar>
            <w:vAlign w:val="center"/>
          </w:tcPr>
          <w:p>
            <w:pPr>
              <w:pStyle w:val="TableContents"/>
              <w:bidi w:val="0"/>
              <w:spacing w:before="0" w:after="283"/>
              <w:jc w:val="right"/>
              <w:rPr/>
            </w:pPr>
            <w:r>
              <w:rPr/>
              <w:t>6,887</w:t>
            </w:r>
          </w:p>
        </w:tc>
        <w:tc>
          <w:tcPr>
            <w:tcW w:w="256" w:type="dxa"/>
            <w:tcBorders>
              <w:bottom w:val="single" w:sz="6" w:space="0" w:color="7F7F7F"/>
            </w:tcBorders>
            <w:tcMar>
              <w:bottom w:w="8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55" w:type="dxa"/>
            <w:tcBorders>
              <w:bottom w:val="single" w:sz="6" w:space="0" w:color="7F7F7F"/>
            </w:tcBorders>
            <w:tcMar>
              <w:bottom w:w="80" w:type="dxa"/>
            </w:tcMar>
            <w:vAlign w:val="center"/>
          </w:tcPr>
          <w:p>
            <w:pPr>
              <w:pStyle w:val="TableContents"/>
              <w:bidi w:val="0"/>
              <w:spacing w:before="0" w:after="283"/>
              <w:jc w:val="center"/>
              <w:rPr/>
            </w:pPr>
            <w:r>
              <w:rPr/>
              <w: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317" w:type="dxa"/>
            <w:tcBorders>
              <w:bottom w:val="single" w:sz="6" w:space="0" w:color="7F7F7F"/>
            </w:tcBorders>
            <w:tcMar>
              <w:bottom w:w="80" w:type="dxa"/>
            </w:tcMar>
            <w:vAlign w:val="center"/>
          </w:tcPr>
          <w:p>
            <w:pPr>
              <w:pStyle w:val="TableContents"/>
              <w:bidi w:val="0"/>
              <w:spacing w:before="0" w:after="283"/>
              <w:jc w:val="left"/>
              <w:rPr/>
            </w:pPr>
            <w:r>
              <w:rPr/>
              <w:t> </w:t>
            </w:r>
          </w:p>
        </w:tc>
        <w:tc>
          <w:tcPr>
            <w:tcW w:w="2013" w:type="dxa"/>
            <w:tcBorders>
              <w:bottom w:val="single" w:sz="6" w:space="0" w:color="7F7F7F"/>
            </w:tcBorders>
            <w:tcMar>
              <w:bottom w:w="80" w:type="dxa"/>
            </w:tcMar>
            <w:vAlign w:val="center"/>
          </w:tcPr>
          <w:p>
            <w:pPr>
              <w:pStyle w:val="TableContents"/>
              <w:bidi w:val="0"/>
              <w:spacing w:before="0" w:after="283"/>
              <w:jc w:val="right"/>
              <w:rPr/>
            </w:pPr>
            <w:r>
              <w:rPr/>
              <w:t>-</w:t>
            </w:r>
          </w:p>
        </w:tc>
        <w:tc>
          <w:tcPr>
            <w:tcW w:w="68" w:type="dxa"/>
            <w:tcBorders>
              <w:bottom w:val="single" w:sz="6" w:space="0" w:color="7F7F7F"/>
            </w:tcBorders>
            <w:tcMar>
              <w:bottom w:w="80" w:type="dxa"/>
            </w:tcMar>
            <w:vAlign w:val="center"/>
          </w:tcPr>
          <w:p>
            <w:pPr>
              <w:pStyle w:val="TableContents"/>
              <w:bidi w:val="0"/>
              <w:spacing w:before="0" w:after="283"/>
              <w:jc w:val="left"/>
              <w:rPr/>
            </w:pPr>
            <w:r>
              <w:rPr/>
              <w:t> </w:t>
            </w:r>
          </w:p>
        </w:tc>
        <w:tc>
          <w:tcPr>
            <w:tcW w:w="136" w:type="dxa"/>
            <w:tcBorders>
              <w:bottom w:val="single" w:sz="6" w:space="0" w:color="7F7F7F"/>
            </w:tcBorders>
            <w:tcMar>
              <w:bottom w:w="28" w:type="dxa"/>
            </w:tcMar>
            <w:vAlign w:val="center"/>
          </w:tcPr>
          <w:p>
            <w:pPr>
              <w:pStyle w:val="TableContents"/>
              <w:bidi w:val="0"/>
              <w:spacing w:before="0" w:after="283"/>
              <w:jc w:val="left"/>
              <w:rPr/>
            </w:pPr>
            <w:r>
              <w:rPr/>
              <w:t>  </w:t>
            </w:r>
          </w:p>
        </w:tc>
        <w:tc>
          <w:tcPr>
            <w:tcW w:w="1218" w:type="dxa"/>
            <w:tcBorders>
              <w:bottom w:val="single" w:sz="6" w:space="0" w:color="7F7F7F"/>
            </w:tcBorders>
            <w:tcMar>
              <w:bottom w:w="80" w:type="dxa"/>
            </w:tcMar>
            <w:vAlign w:val="center"/>
          </w:tcPr>
          <w:p>
            <w:pPr>
              <w:pStyle w:val="TableContents"/>
              <w:bidi w:val="0"/>
              <w:spacing w:before="0" w:after="283"/>
              <w:jc w:val="center"/>
              <w:rPr/>
            </w:pPr>
            <w:r>
              <w:rPr/>
              <w:t>*</w:t>
            </w:r>
          </w:p>
        </w:tc>
      </w:tr>
      <w:tr>
        <w:trPr/>
        <w:tc>
          <w:tcPr>
            <w:tcW w:w="2452" w:type="dxa"/>
            <w:tcBorders/>
            <w:vAlign w:val="center"/>
          </w:tcPr>
          <w:p>
            <w:pPr>
              <w:pStyle w:val="TableContents"/>
              <w:bidi w:val="0"/>
              <w:spacing w:before="0" w:after="283"/>
              <w:jc w:val="left"/>
              <w:rPr>
                <w:sz w:val="4"/>
                <w:szCs w:val="4"/>
              </w:rPr>
            </w:pPr>
            <w:r>
              <w:rPr>
                <w:sz w:val="4"/>
                <w:szCs w:val="4"/>
              </w:rPr>
            </w:r>
          </w:p>
        </w:tc>
        <w:tc>
          <w:tcPr>
            <w:tcW w:w="2706" w:type="dxa"/>
            <w:gridSpan w:val="4"/>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2518" w:type="dxa"/>
            <w:gridSpan w:val="4"/>
            <w:tcBorders/>
            <w:vAlign w:val="center"/>
          </w:tcPr>
          <w:p>
            <w:pPr>
              <w:pStyle w:val="TableContents"/>
              <w:bidi w:val="0"/>
              <w:spacing w:before="0" w:after="283"/>
              <w:jc w:val="left"/>
              <w:rPr>
                <w:sz w:val="4"/>
                <w:szCs w:val="4"/>
              </w:rPr>
            </w:pPr>
            <w:r>
              <w:rPr>
                <w:sz w:val="4"/>
                <w:szCs w:val="4"/>
              </w:rPr>
            </w:r>
          </w:p>
        </w:tc>
        <w:tc>
          <w:tcPr>
            <w:tcW w:w="1354" w:type="dxa"/>
            <w:gridSpan w:val="2"/>
            <w:tcBorders/>
            <w:vAlign w:val="center"/>
          </w:tcPr>
          <w:p>
            <w:pPr>
              <w:pStyle w:val="TableContents"/>
              <w:bidi w:val="0"/>
              <w:spacing w:before="0" w:after="283"/>
              <w:jc w:val="left"/>
              <w:rPr>
                <w:sz w:val="4"/>
                <w:szCs w:val="4"/>
              </w:rPr>
            </w:pPr>
            <w:r>
              <w:rPr>
                <w:sz w:val="4"/>
                <w:szCs w:val="4"/>
              </w:rPr>
            </w:r>
          </w:p>
        </w:tc>
      </w:tr>
      <w:tr>
        <w:trPr/>
        <w:tc>
          <w:tcPr>
            <w:tcW w:w="2452"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James Chrisotpher Hunt(3)</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2196" w:type="dxa"/>
            <w:tcBorders>
              <w:bottom w:val="single" w:sz="6" w:space="0" w:color="7F7F7F"/>
            </w:tcBorders>
            <w:tcMar>
              <w:bottom w:w="80" w:type="dxa"/>
            </w:tcMar>
            <w:vAlign w:val="center"/>
          </w:tcPr>
          <w:p>
            <w:pPr>
              <w:pStyle w:val="TableContents"/>
              <w:bidi w:val="0"/>
              <w:spacing w:before="0" w:after="283"/>
              <w:jc w:val="right"/>
              <w:rPr/>
            </w:pPr>
            <w:r>
              <w:rPr/>
              <w:t>35,181</w:t>
            </w:r>
          </w:p>
        </w:tc>
        <w:tc>
          <w:tcPr>
            <w:tcW w:w="256" w:type="dxa"/>
            <w:tcBorders>
              <w:bottom w:val="single" w:sz="6" w:space="0" w:color="7F7F7F"/>
            </w:tcBorders>
            <w:tcMar>
              <w:bottom w:w="8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55" w:type="dxa"/>
            <w:tcBorders>
              <w:bottom w:val="single" w:sz="6" w:space="0" w:color="7F7F7F"/>
            </w:tcBorders>
            <w:tcMar>
              <w:bottom w:w="80" w:type="dxa"/>
            </w:tcMar>
            <w:vAlign w:val="center"/>
          </w:tcPr>
          <w:p>
            <w:pPr>
              <w:pStyle w:val="TableContents"/>
              <w:bidi w:val="0"/>
              <w:spacing w:before="0" w:after="283"/>
              <w:jc w:val="center"/>
              <w:rPr/>
            </w:pPr>
            <w:r>
              <w:rPr/>
              <w: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317" w:type="dxa"/>
            <w:tcBorders>
              <w:bottom w:val="single" w:sz="6" w:space="0" w:color="7F7F7F"/>
            </w:tcBorders>
            <w:tcMar>
              <w:bottom w:w="80" w:type="dxa"/>
            </w:tcMar>
            <w:vAlign w:val="center"/>
          </w:tcPr>
          <w:p>
            <w:pPr>
              <w:pStyle w:val="TableContents"/>
              <w:bidi w:val="0"/>
              <w:spacing w:before="0" w:after="283"/>
              <w:jc w:val="left"/>
              <w:rPr/>
            </w:pPr>
            <w:r>
              <w:rPr/>
              <w:t> </w:t>
            </w:r>
          </w:p>
        </w:tc>
        <w:tc>
          <w:tcPr>
            <w:tcW w:w="2013" w:type="dxa"/>
            <w:tcBorders>
              <w:bottom w:val="single" w:sz="6" w:space="0" w:color="7F7F7F"/>
            </w:tcBorders>
            <w:tcMar>
              <w:bottom w:w="80" w:type="dxa"/>
            </w:tcMar>
            <w:vAlign w:val="center"/>
          </w:tcPr>
          <w:p>
            <w:pPr>
              <w:pStyle w:val="TableContents"/>
              <w:bidi w:val="0"/>
              <w:spacing w:before="0" w:after="283"/>
              <w:jc w:val="right"/>
              <w:rPr/>
            </w:pPr>
            <w:r>
              <w:rPr/>
              <w:t>100</w:t>
            </w:r>
          </w:p>
        </w:tc>
        <w:tc>
          <w:tcPr>
            <w:tcW w:w="68" w:type="dxa"/>
            <w:tcBorders>
              <w:bottom w:val="single" w:sz="6" w:space="0" w:color="7F7F7F"/>
            </w:tcBorders>
            <w:tcMar>
              <w:bottom w:w="80" w:type="dxa"/>
            </w:tcMar>
            <w:vAlign w:val="center"/>
          </w:tcPr>
          <w:p>
            <w:pPr>
              <w:pStyle w:val="TableContents"/>
              <w:bidi w:val="0"/>
              <w:spacing w:before="0" w:after="283"/>
              <w:jc w:val="left"/>
              <w:rPr/>
            </w:pPr>
            <w:r>
              <w:rPr/>
              <w:t> </w:t>
            </w:r>
          </w:p>
        </w:tc>
        <w:tc>
          <w:tcPr>
            <w:tcW w:w="136" w:type="dxa"/>
            <w:tcBorders>
              <w:bottom w:val="single" w:sz="6" w:space="0" w:color="7F7F7F"/>
            </w:tcBorders>
            <w:tcMar>
              <w:bottom w:w="28" w:type="dxa"/>
            </w:tcMar>
            <w:vAlign w:val="center"/>
          </w:tcPr>
          <w:p>
            <w:pPr>
              <w:pStyle w:val="TableContents"/>
              <w:bidi w:val="0"/>
              <w:spacing w:before="0" w:after="283"/>
              <w:jc w:val="left"/>
              <w:rPr/>
            </w:pPr>
            <w:r>
              <w:rPr/>
              <w:t>  </w:t>
            </w:r>
          </w:p>
        </w:tc>
        <w:tc>
          <w:tcPr>
            <w:tcW w:w="1218" w:type="dxa"/>
            <w:tcBorders>
              <w:bottom w:val="single" w:sz="6" w:space="0" w:color="7F7F7F"/>
            </w:tcBorders>
            <w:tcMar>
              <w:bottom w:w="80" w:type="dxa"/>
            </w:tcMar>
            <w:vAlign w:val="center"/>
          </w:tcPr>
          <w:p>
            <w:pPr>
              <w:pStyle w:val="TableContents"/>
              <w:bidi w:val="0"/>
              <w:spacing w:before="0" w:after="283"/>
              <w:jc w:val="center"/>
              <w:rPr/>
            </w:pPr>
            <w:r>
              <w:rPr/>
              <w:t>*</w:t>
            </w:r>
          </w:p>
        </w:tc>
      </w:tr>
      <w:tr>
        <w:trPr/>
        <w:tc>
          <w:tcPr>
            <w:tcW w:w="2452" w:type="dxa"/>
            <w:tcBorders/>
            <w:vAlign w:val="center"/>
          </w:tcPr>
          <w:p>
            <w:pPr>
              <w:pStyle w:val="TableContents"/>
              <w:bidi w:val="0"/>
              <w:spacing w:before="0" w:after="283"/>
              <w:jc w:val="left"/>
              <w:rPr>
                <w:sz w:val="4"/>
                <w:szCs w:val="4"/>
              </w:rPr>
            </w:pPr>
            <w:r>
              <w:rPr>
                <w:sz w:val="4"/>
                <w:szCs w:val="4"/>
              </w:rPr>
            </w:r>
          </w:p>
        </w:tc>
        <w:tc>
          <w:tcPr>
            <w:tcW w:w="2706" w:type="dxa"/>
            <w:gridSpan w:val="4"/>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2518" w:type="dxa"/>
            <w:gridSpan w:val="4"/>
            <w:tcBorders/>
            <w:vAlign w:val="center"/>
          </w:tcPr>
          <w:p>
            <w:pPr>
              <w:pStyle w:val="TableContents"/>
              <w:bidi w:val="0"/>
              <w:spacing w:before="0" w:after="283"/>
              <w:jc w:val="left"/>
              <w:rPr>
                <w:sz w:val="4"/>
                <w:szCs w:val="4"/>
              </w:rPr>
            </w:pPr>
            <w:r>
              <w:rPr>
                <w:sz w:val="4"/>
                <w:szCs w:val="4"/>
              </w:rPr>
            </w:r>
          </w:p>
        </w:tc>
        <w:tc>
          <w:tcPr>
            <w:tcW w:w="1354" w:type="dxa"/>
            <w:gridSpan w:val="2"/>
            <w:tcBorders/>
            <w:vAlign w:val="center"/>
          </w:tcPr>
          <w:p>
            <w:pPr>
              <w:pStyle w:val="TableContents"/>
              <w:bidi w:val="0"/>
              <w:spacing w:before="0" w:after="283"/>
              <w:jc w:val="left"/>
              <w:rPr>
                <w:sz w:val="4"/>
                <w:szCs w:val="4"/>
              </w:rPr>
            </w:pPr>
            <w:r>
              <w:rPr>
                <w:sz w:val="4"/>
                <w:szCs w:val="4"/>
              </w:rPr>
            </w:r>
          </w:p>
        </w:tc>
      </w:tr>
      <w:tr>
        <w:trPr/>
        <w:tc>
          <w:tcPr>
            <w:tcW w:w="2452"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James K. Hunt(3)</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2196" w:type="dxa"/>
            <w:tcBorders>
              <w:bottom w:val="single" w:sz="6" w:space="0" w:color="7F7F7F"/>
            </w:tcBorders>
            <w:tcMar>
              <w:bottom w:w="80" w:type="dxa"/>
            </w:tcMar>
            <w:vAlign w:val="center"/>
          </w:tcPr>
          <w:p>
            <w:pPr>
              <w:pStyle w:val="TableContents"/>
              <w:bidi w:val="0"/>
              <w:spacing w:before="0" w:after="283"/>
              <w:jc w:val="right"/>
              <w:rPr/>
            </w:pPr>
            <w:r>
              <w:rPr/>
              <w:t>3,732</w:t>
            </w:r>
          </w:p>
        </w:tc>
        <w:tc>
          <w:tcPr>
            <w:tcW w:w="256" w:type="dxa"/>
            <w:tcBorders>
              <w:bottom w:val="single" w:sz="6" w:space="0" w:color="7F7F7F"/>
            </w:tcBorders>
            <w:tcMar>
              <w:bottom w:w="8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55" w:type="dxa"/>
            <w:tcBorders>
              <w:bottom w:val="single" w:sz="6" w:space="0" w:color="7F7F7F"/>
            </w:tcBorders>
            <w:tcMar>
              <w:bottom w:w="80" w:type="dxa"/>
            </w:tcMar>
            <w:vAlign w:val="center"/>
          </w:tcPr>
          <w:p>
            <w:pPr>
              <w:pStyle w:val="TableContents"/>
              <w:bidi w:val="0"/>
              <w:spacing w:before="0" w:after="283"/>
              <w:jc w:val="center"/>
              <w:rPr/>
            </w:pPr>
            <w:r>
              <w:rPr/>
              <w: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317" w:type="dxa"/>
            <w:tcBorders>
              <w:bottom w:val="single" w:sz="6" w:space="0" w:color="7F7F7F"/>
            </w:tcBorders>
            <w:tcMar>
              <w:bottom w:w="80" w:type="dxa"/>
            </w:tcMar>
            <w:vAlign w:val="center"/>
          </w:tcPr>
          <w:p>
            <w:pPr>
              <w:pStyle w:val="TableContents"/>
              <w:bidi w:val="0"/>
              <w:spacing w:before="0" w:after="283"/>
              <w:jc w:val="left"/>
              <w:rPr/>
            </w:pPr>
            <w:r>
              <w:rPr/>
              <w:t> </w:t>
            </w:r>
          </w:p>
        </w:tc>
        <w:tc>
          <w:tcPr>
            <w:tcW w:w="2013" w:type="dxa"/>
            <w:tcBorders>
              <w:bottom w:val="single" w:sz="6" w:space="0" w:color="7F7F7F"/>
            </w:tcBorders>
            <w:tcMar>
              <w:bottom w:w="80" w:type="dxa"/>
            </w:tcMar>
            <w:vAlign w:val="center"/>
          </w:tcPr>
          <w:p>
            <w:pPr>
              <w:pStyle w:val="TableContents"/>
              <w:bidi w:val="0"/>
              <w:spacing w:before="0" w:after="283"/>
              <w:jc w:val="right"/>
              <w:rPr/>
            </w:pPr>
            <w:r>
              <w:rPr/>
              <w:t>-</w:t>
            </w:r>
          </w:p>
        </w:tc>
        <w:tc>
          <w:tcPr>
            <w:tcW w:w="68" w:type="dxa"/>
            <w:tcBorders>
              <w:bottom w:val="single" w:sz="6" w:space="0" w:color="7F7F7F"/>
            </w:tcBorders>
            <w:tcMar>
              <w:bottom w:w="80" w:type="dxa"/>
            </w:tcMar>
            <w:vAlign w:val="center"/>
          </w:tcPr>
          <w:p>
            <w:pPr>
              <w:pStyle w:val="TableContents"/>
              <w:bidi w:val="0"/>
              <w:spacing w:before="0" w:after="283"/>
              <w:jc w:val="left"/>
              <w:rPr/>
            </w:pPr>
            <w:r>
              <w:rPr/>
              <w:t> </w:t>
            </w:r>
          </w:p>
        </w:tc>
        <w:tc>
          <w:tcPr>
            <w:tcW w:w="136" w:type="dxa"/>
            <w:tcBorders>
              <w:bottom w:val="single" w:sz="6" w:space="0" w:color="7F7F7F"/>
            </w:tcBorders>
            <w:tcMar>
              <w:bottom w:w="28" w:type="dxa"/>
            </w:tcMar>
            <w:vAlign w:val="center"/>
          </w:tcPr>
          <w:p>
            <w:pPr>
              <w:pStyle w:val="TableContents"/>
              <w:bidi w:val="0"/>
              <w:spacing w:before="0" w:after="283"/>
              <w:jc w:val="left"/>
              <w:rPr/>
            </w:pPr>
            <w:r>
              <w:rPr/>
              <w:t>  </w:t>
            </w:r>
          </w:p>
        </w:tc>
        <w:tc>
          <w:tcPr>
            <w:tcW w:w="1218" w:type="dxa"/>
            <w:tcBorders>
              <w:bottom w:val="single" w:sz="6" w:space="0" w:color="7F7F7F"/>
            </w:tcBorders>
            <w:tcMar>
              <w:bottom w:w="80" w:type="dxa"/>
            </w:tcMar>
            <w:vAlign w:val="center"/>
          </w:tcPr>
          <w:p>
            <w:pPr>
              <w:pStyle w:val="TableContents"/>
              <w:bidi w:val="0"/>
              <w:spacing w:before="0" w:after="283"/>
              <w:jc w:val="center"/>
              <w:rPr/>
            </w:pPr>
            <w:r>
              <w:rPr/>
              <w:t>*</w:t>
            </w:r>
          </w:p>
        </w:tc>
      </w:tr>
      <w:tr>
        <w:trPr/>
        <w:tc>
          <w:tcPr>
            <w:tcW w:w="2452" w:type="dxa"/>
            <w:tcBorders/>
            <w:vAlign w:val="center"/>
          </w:tcPr>
          <w:p>
            <w:pPr>
              <w:pStyle w:val="TableContents"/>
              <w:bidi w:val="0"/>
              <w:spacing w:before="0" w:after="283"/>
              <w:jc w:val="left"/>
              <w:rPr>
                <w:sz w:val="4"/>
                <w:szCs w:val="4"/>
              </w:rPr>
            </w:pPr>
            <w:r>
              <w:rPr>
                <w:sz w:val="4"/>
                <w:szCs w:val="4"/>
              </w:rPr>
            </w:r>
          </w:p>
        </w:tc>
        <w:tc>
          <w:tcPr>
            <w:tcW w:w="2706" w:type="dxa"/>
            <w:gridSpan w:val="4"/>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2518" w:type="dxa"/>
            <w:gridSpan w:val="4"/>
            <w:tcBorders/>
            <w:vAlign w:val="center"/>
          </w:tcPr>
          <w:p>
            <w:pPr>
              <w:pStyle w:val="TableContents"/>
              <w:bidi w:val="0"/>
              <w:spacing w:before="0" w:after="283"/>
              <w:jc w:val="left"/>
              <w:rPr>
                <w:sz w:val="4"/>
                <w:szCs w:val="4"/>
              </w:rPr>
            </w:pPr>
            <w:r>
              <w:rPr>
                <w:sz w:val="4"/>
                <w:szCs w:val="4"/>
              </w:rPr>
            </w:r>
          </w:p>
        </w:tc>
        <w:tc>
          <w:tcPr>
            <w:tcW w:w="1354" w:type="dxa"/>
            <w:gridSpan w:val="2"/>
            <w:tcBorders/>
            <w:vAlign w:val="center"/>
          </w:tcPr>
          <w:p>
            <w:pPr>
              <w:pStyle w:val="TableContents"/>
              <w:bidi w:val="0"/>
              <w:spacing w:before="0" w:after="283"/>
              <w:jc w:val="left"/>
              <w:rPr>
                <w:sz w:val="4"/>
                <w:szCs w:val="4"/>
              </w:rPr>
            </w:pPr>
            <w:r>
              <w:rPr>
                <w:sz w:val="4"/>
                <w:szCs w:val="4"/>
              </w:rPr>
            </w:r>
          </w:p>
        </w:tc>
      </w:tr>
      <w:tr>
        <w:trPr/>
        <w:tc>
          <w:tcPr>
            <w:tcW w:w="2452"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Leslie A. Murphy</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2196" w:type="dxa"/>
            <w:tcBorders>
              <w:bottom w:val="single" w:sz="6" w:space="0" w:color="7F7F7F"/>
            </w:tcBorders>
            <w:tcMar>
              <w:bottom w:w="80" w:type="dxa"/>
            </w:tcMar>
            <w:vAlign w:val="center"/>
          </w:tcPr>
          <w:p>
            <w:pPr>
              <w:pStyle w:val="TableContents"/>
              <w:bidi w:val="0"/>
              <w:spacing w:before="0" w:after="283"/>
              <w:jc w:val="right"/>
              <w:rPr/>
            </w:pPr>
            <w:r>
              <w:rPr/>
              <w:t>68,781</w:t>
            </w:r>
          </w:p>
        </w:tc>
        <w:tc>
          <w:tcPr>
            <w:tcW w:w="256" w:type="dxa"/>
            <w:tcBorders>
              <w:bottom w:val="single" w:sz="6" w:space="0" w:color="7F7F7F"/>
            </w:tcBorders>
            <w:tcMar>
              <w:bottom w:w="80" w:type="dxa"/>
            </w:tcMar>
            <w:vAlign w:val="center"/>
          </w:tcPr>
          <w:p>
            <w:pPr>
              <w:pStyle w:val="TableContents"/>
              <w:bidi w:val="0"/>
              <w:spacing w:before="0" w:after="283"/>
              <w:jc w:val="left"/>
              <w:rPr/>
            </w:pPr>
            <w:r>
              <w:rPr/>
              <w:t>(2)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55" w:type="dxa"/>
            <w:tcBorders>
              <w:bottom w:val="single" w:sz="6" w:space="0" w:color="7F7F7F"/>
            </w:tcBorders>
            <w:tcMar>
              <w:bottom w:w="80" w:type="dxa"/>
            </w:tcMar>
            <w:vAlign w:val="center"/>
          </w:tcPr>
          <w:p>
            <w:pPr>
              <w:pStyle w:val="TableContents"/>
              <w:bidi w:val="0"/>
              <w:spacing w:before="0" w:after="283"/>
              <w:jc w:val="center"/>
              <w:rPr/>
            </w:pPr>
            <w:r>
              <w:rPr/>
              <w: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317" w:type="dxa"/>
            <w:tcBorders>
              <w:bottom w:val="single" w:sz="6" w:space="0" w:color="7F7F7F"/>
            </w:tcBorders>
            <w:tcMar>
              <w:bottom w:w="80" w:type="dxa"/>
            </w:tcMar>
            <w:vAlign w:val="center"/>
          </w:tcPr>
          <w:p>
            <w:pPr>
              <w:pStyle w:val="TableContents"/>
              <w:bidi w:val="0"/>
              <w:spacing w:before="0" w:after="283"/>
              <w:jc w:val="left"/>
              <w:rPr/>
            </w:pPr>
            <w:r>
              <w:rPr/>
              <w:t> </w:t>
            </w:r>
          </w:p>
        </w:tc>
        <w:tc>
          <w:tcPr>
            <w:tcW w:w="2013" w:type="dxa"/>
            <w:tcBorders>
              <w:bottom w:val="single" w:sz="6" w:space="0" w:color="7F7F7F"/>
            </w:tcBorders>
            <w:tcMar>
              <w:bottom w:w="80" w:type="dxa"/>
            </w:tcMar>
            <w:vAlign w:val="center"/>
          </w:tcPr>
          <w:p>
            <w:pPr>
              <w:pStyle w:val="TableContents"/>
              <w:bidi w:val="0"/>
              <w:spacing w:before="0" w:after="283"/>
              <w:jc w:val="right"/>
              <w:rPr/>
            </w:pPr>
            <w:r>
              <w:rPr/>
              <w:t>100</w:t>
            </w:r>
          </w:p>
        </w:tc>
        <w:tc>
          <w:tcPr>
            <w:tcW w:w="68" w:type="dxa"/>
            <w:tcBorders>
              <w:bottom w:val="single" w:sz="6" w:space="0" w:color="7F7F7F"/>
            </w:tcBorders>
            <w:tcMar>
              <w:bottom w:w="80" w:type="dxa"/>
            </w:tcMar>
            <w:vAlign w:val="center"/>
          </w:tcPr>
          <w:p>
            <w:pPr>
              <w:pStyle w:val="TableContents"/>
              <w:bidi w:val="0"/>
              <w:spacing w:before="0" w:after="283"/>
              <w:jc w:val="left"/>
              <w:rPr/>
            </w:pPr>
            <w:r>
              <w:rPr/>
              <w:t> </w:t>
            </w:r>
          </w:p>
        </w:tc>
        <w:tc>
          <w:tcPr>
            <w:tcW w:w="136" w:type="dxa"/>
            <w:tcBorders>
              <w:bottom w:val="single" w:sz="6" w:space="0" w:color="7F7F7F"/>
            </w:tcBorders>
            <w:tcMar>
              <w:bottom w:w="28" w:type="dxa"/>
            </w:tcMar>
            <w:vAlign w:val="center"/>
          </w:tcPr>
          <w:p>
            <w:pPr>
              <w:pStyle w:val="TableContents"/>
              <w:bidi w:val="0"/>
              <w:spacing w:before="0" w:after="283"/>
              <w:jc w:val="left"/>
              <w:rPr/>
            </w:pPr>
            <w:r>
              <w:rPr/>
              <w:t>  </w:t>
            </w:r>
          </w:p>
        </w:tc>
        <w:tc>
          <w:tcPr>
            <w:tcW w:w="1218" w:type="dxa"/>
            <w:tcBorders>
              <w:bottom w:val="single" w:sz="6" w:space="0" w:color="7F7F7F"/>
            </w:tcBorders>
            <w:tcMar>
              <w:bottom w:w="80" w:type="dxa"/>
            </w:tcMar>
            <w:vAlign w:val="center"/>
          </w:tcPr>
          <w:p>
            <w:pPr>
              <w:pStyle w:val="TableContents"/>
              <w:bidi w:val="0"/>
              <w:spacing w:before="0" w:after="283"/>
              <w:jc w:val="center"/>
              <w:rPr/>
            </w:pPr>
            <w:r>
              <w:rPr/>
              <w:t>*</w:t>
            </w:r>
          </w:p>
        </w:tc>
      </w:tr>
      <w:tr>
        <w:trPr/>
        <w:tc>
          <w:tcPr>
            <w:tcW w:w="2452" w:type="dxa"/>
            <w:tcBorders/>
            <w:vAlign w:val="center"/>
          </w:tcPr>
          <w:p>
            <w:pPr>
              <w:pStyle w:val="TableContents"/>
              <w:bidi w:val="0"/>
              <w:spacing w:before="0" w:after="283"/>
              <w:jc w:val="left"/>
              <w:rPr>
                <w:sz w:val="4"/>
                <w:szCs w:val="4"/>
              </w:rPr>
            </w:pPr>
            <w:r>
              <w:rPr>
                <w:sz w:val="4"/>
                <w:szCs w:val="4"/>
              </w:rPr>
            </w:r>
          </w:p>
        </w:tc>
        <w:tc>
          <w:tcPr>
            <w:tcW w:w="2706" w:type="dxa"/>
            <w:gridSpan w:val="4"/>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2518" w:type="dxa"/>
            <w:gridSpan w:val="4"/>
            <w:tcBorders/>
            <w:vAlign w:val="center"/>
          </w:tcPr>
          <w:p>
            <w:pPr>
              <w:pStyle w:val="TableContents"/>
              <w:bidi w:val="0"/>
              <w:spacing w:before="0" w:after="283"/>
              <w:jc w:val="left"/>
              <w:rPr>
                <w:sz w:val="4"/>
                <w:szCs w:val="4"/>
              </w:rPr>
            </w:pPr>
            <w:r>
              <w:rPr>
                <w:sz w:val="4"/>
                <w:szCs w:val="4"/>
              </w:rPr>
            </w:r>
          </w:p>
        </w:tc>
        <w:tc>
          <w:tcPr>
            <w:tcW w:w="1354" w:type="dxa"/>
            <w:gridSpan w:val="2"/>
            <w:tcBorders/>
            <w:vAlign w:val="center"/>
          </w:tcPr>
          <w:p>
            <w:pPr>
              <w:pStyle w:val="TableContents"/>
              <w:bidi w:val="0"/>
              <w:spacing w:before="0" w:after="283"/>
              <w:jc w:val="left"/>
              <w:rPr>
                <w:sz w:val="4"/>
                <w:szCs w:val="4"/>
              </w:rPr>
            </w:pPr>
            <w:r>
              <w:rPr>
                <w:sz w:val="4"/>
                <w:szCs w:val="4"/>
              </w:rPr>
            </w:r>
          </w:p>
        </w:tc>
      </w:tr>
      <w:tr>
        <w:trPr/>
        <w:tc>
          <w:tcPr>
            <w:tcW w:w="2452"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Ryan B. McCrory</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 w:type="dxa"/>
            <w:tcBorders>
              <w:bottom w:val="single" w:sz="6" w:space="0" w:color="7F7F7F"/>
            </w:tcBorders>
            <w:tcMar>
              <w:bottom w:w="28" w:type="dxa"/>
            </w:tcMar>
            <w:vAlign w:val="center"/>
          </w:tcPr>
          <w:p>
            <w:pPr>
              <w:pStyle w:val="TableContents"/>
              <w:bidi w:val="0"/>
              <w:spacing w:before="0" w:after="283"/>
              <w:jc w:val="left"/>
              <w:rPr/>
            </w:pPr>
            <w:r>
              <w:rPr/>
              <w:t> </w:t>
            </w:r>
          </w:p>
        </w:tc>
        <w:tc>
          <w:tcPr>
            <w:tcW w:w="2196" w:type="dxa"/>
            <w:tcBorders>
              <w:bottom w:val="single" w:sz="6" w:space="0" w:color="7F7F7F"/>
            </w:tcBorders>
            <w:tcMar>
              <w:bottom w:w="28" w:type="dxa"/>
            </w:tcMar>
            <w:vAlign w:val="center"/>
          </w:tcPr>
          <w:p>
            <w:pPr>
              <w:pStyle w:val="TableContents"/>
              <w:bidi w:val="0"/>
              <w:spacing w:before="0" w:after="283"/>
              <w:jc w:val="left"/>
              <w:rPr/>
            </w:pPr>
            <w:r>
              <w:rPr/>
              <w:t> </w:t>
            </w:r>
          </w:p>
        </w:tc>
        <w:tc>
          <w:tcPr>
            <w:tcW w:w="256"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55" w:type="dxa"/>
            <w:tcBorders>
              <w:bottom w:val="single" w:sz="6" w:space="0" w:color="7F7F7F"/>
            </w:tcBorders>
            <w:tcMar>
              <w:bottom w:w="80" w:type="dxa"/>
            </w:tcMar>
            <w:vAlign w:val="center"/>
          </w:tcPr>
          <w:p>
            <w:pPr>
              <w:pStyle w:val="TableContents"/>
              <w:bidi w:val="0"/>
              <w:spacing w:before="0" w:after="283"/>
              <w:jc w:val="center"/>
              <w:rPr/>
            </w:pPr>
            <w:r>
              <w:rPr/>
              <w: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317" w:type="dxa"/>
            <w:tcBorders>
              <w:bottom w:val="single" w:sz="6" w:space="0" w:color="7F7F7F"/>
            </w:tcBorders>
            <w:tcMar>
              <w:bottom w:w="80" w:type="dxa"/>
            </w:tcMar>
            <w:vAlign w:val="center"/>
          </w:tcPr>
          <w:p>
            <w:pPr>
              <w:pStyle w:val="TableContents"/>
              <w:bidi w:val="0"/>
              <w:spacing w:before="0" w:after="283"/>
              <w:jc w:val="left"/>
              <w:rPr/>
            </w:pPr>
            <w:r>
              <w:rPr/>
              <w:t> </w:t>
            </w:r>
          </w:p>
        </w:tc>
        <w:tc>
          <w:tcPr>
            <w:tcW w:w="2013" w:type="dxa"/>
            <w:tcBorders>
              <w:bottom w:val="single" w:sz="6" w:space="0" w:color="7F7F7F"/>
            </w:tcBorders>
            <w:tcMar>
              <w:bottom w:w="80" w:type="dxa"/>
            </w:tcMar>
            <w:vAlign w:val="center"/>
          </w:tcPr>
          <w:p>
            <w:pPr>
              <w:pStyle w:val="TableContents"/>
              <w:bidi w:val="0"/>
              <w:spacing w:before="0" w:after="283"/>
              <w:jc w:val="right"/>
              <w:rPr/>
            </w:pPr>
            <w:r>
              <w:rPr/>
              <w:t>-</w:t>
            </w:r>
          </w:p>
        </w:tc>
        <w:tc>
          <w:tcPr>
            <w:tcW w:w="68" w:type="dxa"/>
            <w:tcBorders>
              <w:bottom w:val="single" w:sz="6" w:space="0" w:color="7F7F7F"/>
            </w:tcBorders>
            <w:tcMar>
              <w:bottom w:w="80" w:type="dxa"/>
            </w:tcMar>
            <w:vAlign w:val="center"/>
          </w:tcPr>
          <w:p>
            <w:pPr>
              <w:pStyle w:val="TableContents"/>
              <w:bidi w:val="0"/>
              <w:spacing w:before="0" w:after="283"/>
              <w:jc w:val="left"/>
              <w:rPr/>
            </w:pPr>
            <w:r>
              <w:rPr/>
              <w:t> </w:t>
            </w:r>
          </w:p>
        </w:tc>
        <w:tc>
          <w:tcPr>
            <w:tcW w:w="136" w:type="dxa"/>
            <w:tcBorders>
              <w:bottom w:val="single" w:sz="6" w:space="0" w:color="7F7F7F"/>
            </w:tcBorders>
            <w:tcMar>
              <w:bottom w:w="28" w:type="dxa"/>
            </w:tcMar>
            <w:vAlign w:val="center"/>
          </w:tcPr>
          <w:p>
            <w:pPr>
              <w:pStyle w:val="TableContents"/>
              <w:bidi w:val="0"/>
              <w:spacing w:before="0" w:after="283"/>
              <w:jc w:val="left"/>
              <w:rPr/>
            </w:pPr>
            <w:r>
              <w:rPr/>
              <w:t>  </w:t>
            </w:r>
          </w:p>
        </w:tc>
        <w:tc>
          <w:tcPr>
            <w:tcW w:w="1218" w:type="dxa"/>
            <w:tcBorders>
              <w:bottom w:val="single" w:sz="6" w:space="0" w:color="7F7F7F"/>
            </w:tcBorders>
            <w:tcMar>
              <w:bottom w:w="80" w:type="dxa"/>
            </w:tcMar>
            <w:vAlign w:val="center"/>
          </w:tcPr>
          <w:p>
            <w:pPr>
              <w:pStyle w:val="TableContents"/>
              <w:bidi w:val="0"/>
              <w:spacing w:before="0" w:after="283"/>
              <w:jc w:val="center"/>
              <w:rPr/>
            </w:pPr>
            <w:r>
              <w:rPr/>
              <w:t>*</w:t>
            </w:r>
          </w:p>
        </w:tc>
      </w:tr>
      <w:tr>
        <w:trPr/>
        <w:tc>
          <w:tcPr>
            <w:tcW w:w="2452" w:type="dxa"/>
            <w:tcBorders/>
            <w:vAlign w:val="center"/>
          </w:tcPr>
          <w:p>
            <w:pPr>
              <w:pStyle w:val="TableContents"/>
              <w:bidi w:val="0"/>
              <w:spacing w:before="0" w:after="283"/>
              <w:jc w:val="left"/>
              <w:rPr>
                <w:sz w:val="4"/>
                <w:szCs w:val="4"/>
              </w:rPr>
            </w:pPr>
            <w:r>
              <w:rPr>
                <w:sz w:val="4"/>
                <w:szCs w:val="4"/>
              </w:rPr>
            </w:r>
          </w:p>
        </w:tc>
        <w:tc>
          <w:tcPr>
            <w:tcW w:w="2706" w:type="dxa"/>
            <w:gridSpan w:val="4"/>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2518" w:type="dxa"/>
            <w:gridSpan w:val="4"/>
            <w:tcBorders/>
            <w:vAlign w:val="center"/>
          </w:tcPr>
          <w:p>
            <w:pPr>
              <w:pStyle w:val="TableContents"/>
              <w:bidi w:val="0"/>
              <w:spacing w:before="0" w:after="283"/>
              <w:jc w:val="left"/>
              <w:rPr>
                <w:sz w:val="4"/>
                <w:szCs w:val="4"/>
              </w:rPr>
            </w:pPr>
            <w:r>
              <w:rPr>
                <w:sz w:val="4"/>
                <w:szCs w:val="4"/>
              </w:rPr>
            </w:r>
          </w:p>
        </w:tc>
        <w:tc>
          <w:tcPr>
            <w:tcW w:w="1354" w:type="dxa"/>
            <w:gridSpan w:val="2"/>
            <w:tcBorders/>
            <w:vAlign w:val="center"/>
          </w:tcPr>
          <w:p>
            <w:pPr>
              <w:pStyle w:val="TableContents"/>
              <w:bidi w:val="0"/>
              <w:spacing w:before="0" w:after="283"/>
              <w:jc w:val="left"/>
              <w:rPr>
                <w:sz w:val="4"/>
                <w:szCs w:val="4"/>
              </w:rPr>
            </w:pPr>
            <w:r>
              <w:rPr>
                <w:sz w:val="4"/>
                <w:szCs w:val="4"/>
              </w:rPr>
            </w:r>
          </w:p>
        </w:tc>
      </w:tr>
      <w:tr>
        <w:trPr/>
        <w:tc>
          <w:tcPr>
            <w:tcW w:w="2452"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Michael J. Wartell</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 w:type="dxa"/>
            <w:tcBorders>
              <w:bottom w:val="single" w:sz="6" w:space="0" w:color="7F7F7F"/>
            </w:tcBorders>
            <w:tcMar>
              <w:bottom w:w="28" w:type="dxa"/>
            </w:tcMar>
            <w:vAlign w:val="center"/>
          </w:tcPr>
          <w:p>
            <w:pPr>
              <w:pStyle w:val="TableContents"/>
              <w:bidi w:val="0"/>
              <w:spacing w:before="0" w:after="283"/>
              <w:jc w:val="left"/>
              <w:rPr/>
            </w:pPr>
            <w:r>
              <w:rPr/>
              <w:t> </w:t>
            </w:r>
          </w:p>
        </w:tc>
        <w:tc>
          <w:tcPr>
            <w:tcW w:w="2196" w:type="dxa"/>
            <w:tcBorders>
              <w:bottom w:val="single" w:sz="6" w:space="0" w:color="7F7F7F"/>
            </w:tcBorders>
            <w:tcMar>
              <w:bottom w:w="28" w:type="dxa"/>
            </w:tcMar>
            <w:vAlign w:val="center"/>
          </w:tcPr>
          <w:p>
            <w:pPr>
              <w:pStyle w:val="TableContents"/>
              <w:bidi w:val="0"/>
              <w:spacing w:before="0" w:after="283"/>
              <w:jc w:val="left"/>
              <w:rPr/>
            </w:pPr>
            <w:r>
              <w:rPr/>
              <w:t> </w:t>
            </w:r>
          </w:p>
        </w:tc>
        <w:tc>
          <w:tcPr>
            <w:tcW w:w="256"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55" w:type="dxa"/>
            <w:tcBorders>
              <w:bottom w:val="single" w:sz="6" w:space="0" w:color="7F7F7F"/>
            </w:tcBorders>
            <w:tcMar>
              <w:bottom w:w="80" w:type="dxa"/>
            </w:tcMar>
            <w:vAlign w:val="center"/>
          </w:tcPr>
          <w:p>
            <w:pPr>
              <w:pStyle w:val="TableContents"/>
              <w:bidi w:val="0"/>
              <w:spacing w:before="0" w:after="283"/>
              <w:jc w:val="center"/>
              <w:rPr/>
            </w:pPr>
            <w:r>
              <w:rPr/>
              <w: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317" w:type="dxa"/>
            <w:tcBorders>
              <w:bottom w:val="single" w:sz="6" w:space="0" w:color="7F7F7F"/>
            </w:tcBorders>
            <w:tcMar>
              <w:bottom w:w="80" w:type="dxa"/>
            </w:tcMar>
            <w:vAlign w:val="center"/>
          </w:tcPr>
          <w:p>
            <w:pPr>
              <w:pStyle w:val="TableContents"/>
              <w:bidi w:val="0"/>
              <w:spacing w:before="0" w:after="283"/>
              <w:jc w:val="left"/>
              <w:rPr/>
            </w:pPr>
            <w:r>
              <w:rPr/>
              <w:t> </w:t>
            </w:r>
          </w:p>
        </w:tc>
        <w:tc>
          <w:tcPr>
            <w:tcW w:w="2013" w:type="dxa"/>
            <w:tcBorders>
              <w:bottom w:val="single" w:sz="6" w:space="0" w:color="7F7F7F"/>
            </w:tcBorders>
            <w:tcMar>
              <w:bottom w:w="80" w:type="dxa"/>
            </w:tcMar>
            <w:vAlign w:val="center"/>
          </w:tcPr>
          <w:p>
            <w:pPr>
              <w:pStyle w:val="TableContents"/>
              <w:bidi w:val="0"/>
              <w:spacing w:before="0" w:after="283"/>
              <w:jc w:val="right"/>
              <w:rPr/>
            </w:pPr>
            <w:r>
              <w:rPr/>
              <w:t>-</w:t>
            </w:r>
          </w:p>
        </w:tc>
        <w:tc>
          <w:tcPr>
            <w:tcW w:w="68" w:type="dxa"/>
            <w:tcBorders>
              <w:bottom w:val="single" w:sz="6" w:space="0" w:color="7F7F7F"/>
            </w:tcBorders>
            <w:tcMar>
              <w:bottom w:w="80" w:type="dxa"/>
            </w:tcMar>
            <w:vAlign w:val="center"/>
          </w:tcPr>
          <w:p>
            <w:pPr>
              <w:pStyle w:val="TableContents"/>
              <w:bidi w:val="0"/>
              <w:spacing w:before="0" w:after="283"/>
              <w:jc w:val="left"/>
              <w:rPr/>
            </w:pPr>
            <w:r>
              <w:rPr/>
              <w:t> </w:t>
            </w:r>
          </w:p>
        </w:tc>
        <w:tc>
          <w:tcPr>
            <w:tcW w:w="136" w:type="dxa"/>
            <w:tcBorders>
              <w:bottom w:val="single" w:sz="6" w:space="0" w:color="7F7F7F"/>
            </w:tcBorders>
            <w:tcMar>
              <w:bottom w:w="28" w:type="dxa"/>
            </w:tcMar>
            <w:vAlign w:val="center"/>
          </w:tcPr>
          <w:p>
            <w:pPr>
              <w:pStyle w:val="TableContents"/>
              <w:bidi w:val="0"/>
              <w:spacing w:before="0" w:after="283"/>
              <w:jc w:val="left"/>
              <w:rPr/>
            </w:pPr>
            <w:r>
              <w:rPr/>
              <w:t>  </w:t>
            </w:r>
          </w:p>
        </w:tc>
        <w:tc>
          <w:tcPr>
            <w:tcW w:w="1218" w:type="dxa"/>
            <w:tcBorders>
              <w:bottom w:val="single" w:sz="6" w:space="0" w:color="7F7F7F"/>
            </w:tcBorders>
            <w:tcMar>
              <w:bottom w:w="80" w:type="dxa"/>
            </w:tcMar>
            <w:vAlign w:val="center"/>
          </w:tcPr>
          <w:p>
            <w:pPr>
              <w:pStyle w:val="TableContents"/>
              <w:bidi w:val="0"/>
              <w:spacing w:before="0" w:after="283"/>
              <w:jc w:val="center"/>
              <w:rPr/>
            </w:pPr>
            <w:r>
              <w:rPr/>
              <w:t>*</w:t>
            </w:r>
          </w:p>
        </w:tc>
      </w:tr>
      <w:tr>
        <w:trPr/>
        <w:tc>
          <w:tcPr>
            <w:tcW w:w="2452" w:type="dxa"/>
            <w:tcBorders/>
            <w:vAlign w:val="center"/>
          </w:tcPr>
          <w:p>
            <w:pPr>
              <w:pStyle w:val="TableContents"/>
              <w:bidi w:val="0"/>
              <w:spacing w:before="0" w:after="283"/>
              <w:jc w:val="left"/>
              <w:rPr>
                <w:sz w:val="4"/>
                <w:szCs w:val="4"/>
              </w:rPr>
            </w:pPr>
            <w:r>
              <w:rPr>
                <w:sz w:val="4"/>
                <w:szCs w:val="4"/>
              </w:rPr>
            </w:r>
          </w:p>
        </w:tc>
        <w:tc>
          <w:tcPr>
            <w:tcW w:w="2706" w:type="dxa"/>
            <w:gridSpan w:val="4"/>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2518" w:type="dxa"/>
            <w:gridSpan w:val="4"/>
            <w:tcBorders/>
            <w:vAlign w:val="center"/>
          </w:tcPr>
          <w:p>
            <w:pPr>
              <w:pStyle w:val="TableContents"/>
              <w:bidi w:val="0"/>
              <w:spacing w:before="0" w:after="283"/>
              <w:jc w:val="left"/>
              <w:rPr>
                <w:sz w:val="4"/>
                <w:szCs w:val="4"/>
              </w:rPr>
            </w:pPr>
            <w:r>
              <w:rPr>
                <w:sz w:val="4"/>
                <w:szCs w:val="4"/>
              </w:rPr>
            </w:r>
          </w:p>
        </w:tc>
        <w:tc>
          <w:tcPr>
            <w:tcW w:w="1354" w:type="dxa"/>
            <w:gridSpan w:val="2"/>
            <w:tcBorders/>
            <w:vAlign w:val="center"/>
          </w:tcPr>
          <w:p>
            <w:pPr>
              <w:pStyle w:val="TableContents"/>
              <w:bidi w:val="0"/>
              <w:spacing w:before="0" w:after="283"/>
              <w:jc w:val="left"/>
              <w:rPr>
                <w:sz w:val="4"/>
                <w:szCs w:val="4"/>
              </w:rPr>
            </w:pPr>
            <w:r>
              <w:rPr>
                <w:sz w:val="4"/>
                <w:szCs w:val="4"/>
              </w:rPr>
            </w:r>
          </w:p>
        </w:tc>
      </w:tr>
      <w:tr>
        <w:trPr/>
        <w:tc>
          <w:tcPr>
            <w:tcW w:w="2452"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George H. Young III</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 w:type="dxa"/>
            <w:tcBorders>
              <w:bottom w:val="single" w:sz="6" w:space="0" w:color="7F7F7F"/>
            </w:tcBorders>
            <w:tcMar>
              <w:bottom w:w="28" w:type="dxa"/>
            </w:tcMar>
            <w:vAlign w:val="center"/>
          </w:tcPr>
          <w:p>
            <w:pPr>
              <w:pStyle w:val="TableContents"/>
              <w:bidi w:val="0"/>
              <w:spacing w:before="0" w:after="283"/>
              <w:jc w:val="left"/>
              <w:rPr/>
            </w:pPr>
            <w:r>
              <w:rPr/>
              <w:t> </w:t>
            </w:r>
          </w:p>
        </w:tc>
        <w:tc>
          <w:tcPr>
            <w:tcW w:w="2196" w:type="dxa"/>
            <w:tcBorders>
              <w:bottom w:val="single" w:sz="6" w:space="0" w:color="7F7F7F"/>
            </w:tcBorders>
            <w:tcMar>
              <w:bottom w:w="28" w:type="dxa"/>
            </w:tcMar>
            <w:vAlign w:val="center"/>
          </w:tcPr>
          <w:p>
            <w:pPr>
              <w:pStyle w:val="TableContents"/>
              <w:bidi w:val="0"/>
              <w:spacing w:before="0" w:after="283"/>
              <w:jc w:val="left"/>
              <w:rPr/>
            </w:pPr>
            <w:r>
              <w:rPr/>
              <w:t> </w:t>
            </w:r>
          </w:p>
        </w:tc>
        <w:tc>
          <w:tcPr>
            <w:tcW w:w="256"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55" w:type="dxa"/>
            <w:tcBorders>
              <w:bottom w:val="single" w:sz="6" w:space="0" w:color="7F7F7F"/>
            </w:tcBorders>
            <w:tcMar>
              <w:bottom w:w="80" w:type="dxa"/>
            </w:tcMar>
            <w:vAlign w:val="center"/>
          </w:tcPr>
          <w:p>
            <w:pPr>
              <w:pStyle w:val="TableContents"/>
              <w:bidi w:val="0"/>
              <w:spacing w:before="0" w:after="283"/>
              <w:jc w:val="center"/>
              <w:rPr/>
            </w:pPr>
            <w:r>
              <w:rPr/>
              <w: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317" w:type="dxa"/>
            <w:tcBorders>
              <w:bottom w:val="single" w:sz="6" w:space="0" w:color="7F7F7F"/>
            </w:tcBorders>
            <w:tcMar>
              <w:bottom w:w="80" w:type="dxa"/>
            </w:tcMar>
            <w:vAlign w:val="center"/>
          </w:tcPr>
          <w:p>
            <w:pPr>
              <w:pStyle w:val="TableContents"/>
              <w:bidi w:val="0"/>
              <w:spacing w:before="0" w:after="283"/>
              <w:jc w:val="left"/>
              <w:rPr/>
            </w:pPr>
            <w:r>
              <w:rPr/>
              <w:t> </w:t>
            </w:r>
          </w:p>
        </w:tc>
        <w:tc>
          <w:tcPr>
            <w:tcW w:w="2013" w:type="dxa"/>
            <w:tcBorders>
              <w:bottom w:val="single" w:sz="6" w:space="0" w:color="7F7F7F"/>
            </w:tcBorders>
            <w:tcMar>
              <w:bottom w:w="80" w:type="dxa"/>
            </w:tcMar>
            <w:vAlign w:val="center"/>
          </w:tcPr>
          <w:p>
            <w:pPr>
              <w:pStyle w:val="TableContents"/>
              <w:bidi w:val="0"/>
              <w:spacing w:before="0" w:after="283"/>
              <w:jc w:val="right"/>
              <w:rPr/>
            </w:pPr>
            <w:r>
              <w:rPr/>
              <w:t>-</w:t>
            </w:r>
          </w:p>
        </w:tc>
        <w:tc>
          <w:tcPr>
            <w:tcW w:w="68" w:type="dxa"/>
            <w:tcBorders>
              <w:bottom w:val="single" w:sz="6" w:space="0" w:color="7F7F7F"/>
            </w:tcBorders>
            <w:tcMar>
              <w:bottom w:w="80" w:type="dxa"/>
            </w:tcMar>
            <w:vAlign w:val="center"/>
          </w:tcPr>
          <w:p>
            <w:pPr>
              <w:pStyle w:val="TableContents"/>
              <w:bidi w:val="0"/>
              <w:spacing w:before="0" w:after="283"/>
              <w:jc w:val="left"/>
              <w:rPr/>
            </w:pPr>
            <w:r>
              <w:rPr/>
              <w:t> </w:t>
            </w:r>
          </w:p>
        </w:tc>
        <w:tc>
          <w:tcPr>
            <w:tcW w:w="136" w:type="dxa"/>
            <w:tcBorders>
              <w:bottom w:val="single" w:sz="6" w:space="0" w:color="7F7F7F"/>
            </w:tcBorders>
            <w:tcMar>
              <w:bottom w:w="28" w:type="dxa"/>
            </w:tcMar>
            <w:vAlign w:val="center"/>
          </w:tcPr>
          <w:p>
            <w:pPr>
              <w:pStyle w:val="TableContents"/>
              <w:bidi w:val="0"/>
              <w:spacing w:before="0" w:after="283"/>
              <w:jc w:val="left"/>
              <w:rPr/>
            </w:pPr>
            <w:r>
              <w:rPr/>
              <w:t>  </w:t>
            </w:r>
          </w:p>
        </w:tc>
        <w:tc>
          <w:tcPr>
            <w:tcW w:w="1218" w:type="dxa"/>
            <w:tcBorders>
              <w:bottom w:val="single" w:sz="6" w:space="0" w:color="7F7F7F"/>
            </w:tcBorders>
            <w:tcMar>
              <w:bottom w:w="80" w:type="dxa"/>
            </w:tcMar>
            <w:vAlign w:val="center"/>
          </w:tcPr>
          <w:p>
            <w:pPr>
              <w:pStyle w:val="TableContents"/>
              <w:bidi w:val="0"/>
              <w:spacing w:before="0" w:after="283"/>
              <w:jc w:val="center"/>
              <w:rPr/>
            </w:pPr>
            <w:r>
              <w:rPr/>
              <w:t>*</w:t>
            </w:r>
          </w:p>
        </w:tc>
      </w:tr>
      <w:tr>
        <w:trPr/>
        <w:tc>
          <w:tcPr>
            <w:tcW w:w="2452" w:type="dxa"/>
            <w:tcBorders/>
            <w:vAlign w:val="center"/>
          </w:tcPr>
          <w:p>
            <w:pPr>
              <w:pStyle w:val="TableContents"/>
              <w:bidi w:val="0"/>
              <w:spacing w:before="0" w:after="283"/>
              <w:jc w:val="left"/>
              <w:rPr>
                <w:sz w:val="4"/>
                <w:szCs w:val="4"/>
              </w:rPr>
            </w:pPr>
            <w:r>
              <w:rPr>
                <w:sz w:val="4"/>
                <w:szCs w:val="4"/>
              </w:rPr>
            </w:r>
          </w:p>
        </w:tc>
        <w:tc>
          <w:tcPr>
            <w:tcW w:w="2706" w:type="dxa"/>
            <w:gridSpan w:val="4"/>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2518" w:type="dxa"/>
            <w:gridSpan w:val="4"/>
            <w:tcBorders/>
            <w:vAlign w:val="center"/>
          </w:tcPr>
          <w:p>
            <w:pPr>
              <w:pStyle w:val="TableContents"/>
              <w:bidi w:val="0"/>
              <w:spacing w:before="0" w:after="283"/>
              <w:jc w:val="left"/>
              <w:rPr>
                <w:sz w:val="4"/>
                <w:szCs w:val="4"/>
              </w:rPr>
            </w:pPr>
            <w:r>
              <w:rPr>
                <w:sz w:val="4"/>
                <w:szCs w:val="4"/>
              </w:rPr>
            </w:r>
          </w:p>
        </w:tc>
        <w:tc>
          <w:tcPr>
            <w:tcW w:w="1354" w:type="dxa"/>
            <w:gridSpan w:val="2"/>
            <w:tcBorders/>
            <w:vAlign w:val="center"/>
          </w:tcPr>
          <w:p>
            <w:pPr>
              <w:pStyle w:val="TableContents"/>
              <w:bidi w:val="0"/>
              <w:spacing w:before="0" w:after="283"/>
              <w:jc w:val="left"/>
              <w:rPr>
                <w:sz w:val="4"/>
                <w:szCs w:val="4"/>
              </w:rPr>
            </w:pPr>
            <w:r>
              <w:rPr>
                <w:sz w:val="4"/>
                <w:szCs w:val="4"/>
              </w:rPr>
            </w:r>
          </w:p>
        </w:tc>
      </w:tr>
      <w:tr>
        <w:trPr/>
        <w:tc>
          <w:tcPr>
            <w:tcW w:w="2452"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Named Executive Officers: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 w:type="dxa"/>
            <w:tcBorders>
              <w:bottom w:val="single" w:sz="6" w:space="0" w:color="7F7F7F"/>
            </w:tcBorders>
            <w:tcMar>
              <w:bottom w:w="28" w:type="dxa"/>
            </w:tcMar>
            <w:vAlign w:val="center"/>
          </w:tcPr>
          <w:p>
            <w:pPr>
              <w:pStyle w:val="TableContents"/>
              <w:bidi w:val="0"/>
              <w:spacing w:before="0" w:after="283"/>
              <w:jc w:val="left"/>
              <w:rPr/>
            </w:pPr>
            <w:r>
              <w:rPr/>
              <w:t> </w:t>
            </w:r>
          </w:p>
        </w:tc>
        <w:tc>
          <w:tcPr>
            <w:tcW w:w="2196" w:type="dxa"/>
            <w:tcBorders>
              <w:bottom w:val="single" w:sz="6" w:space="0" w:color="7F7F7F"/>
            </w:tcBorders>
            <w:tcMar>
              <w:bottom w:w="28" w:type="dxa"/>
            </w:tcMar>
            <w:vAlign w:val="center"/>
          </w:tcPr>
          <w:p>
            <w:pPr>
              <w:pStyle w:val="TableContents"/>
              <w:bidi w:val="0"/>
              <w:spacing w:before="0" w:after="283"/>
              <w:jc w:val="left"/>
              <w:rPr/>
            </w:pPr>
            <w:r>
              <w:rPr/>
              <w:t> </w:t>
            </w:r>
          </w:p>
        </w:tc>
        <w:tc>
          <w:tcPr>
            <w:tcW w:w="256"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55"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317" w:type="dxa"/>
            <w:tcBorders>
              <w:bottom w:val="single" w:sz="6" w:space="0" w:color="7F7F7F"/>
            </w:tcBorders>
            <w:tcMar>
              <w:bottom w:w="28" w:type="dxa"/>
            </w:tcMar>
            <w:vAlign w:val="center"/>
          </w:tcPr>
          <w:p>
            <w:pPr>
              <w:pStyle w:val="TableContents"/>
              <w:bidi w:val="0"/>
              <w:spacing w:before="0" w:after="283"/>
              <w:jc w:val="left"/>
              <w:rPr/>
            </w:pPr>
            <w:r>
              <w:rPr/>
              <w:t> </w:t>
            </w:r>
          </w:p>
        </w:tc>
        <w:tc>
          <w:tcPr>
            <w:tcW w:w="2013" w:type="dxa"/>
            <w:tcBorders>
              <w:bottom w:val="single" w:sz="6" w:space="0" w:color="7F7F7F"/>
            </w:tcBorders>
            <w:tcMar>
              <w:bottom w:w="28" w:type="dxa"/>
            </w:tcMar>
            <w:vAlign w:val="center"/>
          </w:tcPr>
          <w:p>
            <w:pPr>
              <w:pStyle w:val="TableContents"/>
              <w:bidi w:val="0"/>
              <w:spacing w:before="0" w:after="283"/>
              <w:jc w:val="left"/>
              <w:rPr/>
            </w:pPr>
            <w:r>
              <w:rPr/>
              <w:t> </w:t>
            </w:r>
          </w:p>
        </w:tc>
        <w:tc>
          <w:tcPr>
            <w:tcW w:w="68" w:type="dxa"/>
            <w:tcBorders>
              <w:bottom w:val="single" w:sz="6" w:space="0" w:color="7F7F7F"/>
            </w:tcBorders>
            <w:tcMar>
              <w:bottom w:w="28" w:type="dxa"/>
            </w:tcMar>
            <w:vAlign w:val="center"/>
          </w:tcPr>
          <w:p>
            <w:pPr>
              <w:pStyle w:val="TableContents"/>
              <w:bidi w:val="0"/>
              <w:spacing w:before="0" w:after="283"/>
              <w:jc w:val="left"/>
              <w:rPr/>
            </w:pPr>
            <w:r>
              <w:rPr/>
              <w:t> </w:t>
            </w:r>
          </w:p>
        </w:tc>
        <w:tc>
          <w:tcPr>
            <w:tcW w:w="136" w:type="dxa"/>
            <w:tcBorders>
              <w:bottom w:val="single" w:sz="6" w:space="0" w:color="7F7F7F"/>
            </w:tcBorders>
            <w:tcMar>
              <w:bottom w:w="28" w:type="dxa"/>
            </w:tcMar>
            <w:vAlign w:val="center"/>
          </w:tcPr>
          <w:p>
            <w:pPr>
              <w:pStyle w:val="TableContents"/>
              <w:bidi w:val="0"/>
              <w:spacing w:before="0" w:after="283"/>
              <w:jc w:val="left"/>
              <w:rPr/>
            </w:pPr>
            <w:r>
              <w:rPr/>
              <w:t>  </w:t>
            </w:r>
          </w:p>
        </w:tc>
        <w:tc>
          <w:tcPr>
            <w:tcW w:w="1218" w:type="dxa"/>
            <w:tcBorders>
              <w:bottom w:val="single" w:sz="6" w:space="0" w:color="7F7F7F"/>
            </w:tcBorders>
            <w:tcMar>
              <w:bottom w:w="28" w:type="dxa"/>
            </w:tcMar>
            <w:vAlign w:val="center"/>
          </w:tcPr>
          <w:p>
            <w:pPr>
              <w:pStyle w:val="TableContents"/>
              <w:bidi w:val="0"/>
              <w:spacing w:before="0" w:after="283"/>
              <w:jc w:val="left"/>
              <w:rPr/>
            </w:pPr>
            <w:r>
              <w:rPr/>
              <w:t> </w:t>
            </w:r>
          </w:p>
        </w:tc>
      </w:tr>
      <w:tr>
        <w:trPr/>
        <w:tc>
          <w:tcPr>
            <w:tcW w:w="2452" w:type="dxa"/>
            <w:tcBorders/>
            <w:vAlign w:val="center"/>
          </w:tcPr>
          <w:p>
            <w:pPr>
              <w:pStyle w:val="TableContents"/>
              <w:bidi w:val="0"/>
              <w:spacing w:before="0" w:after="283"/>
              <w:jc w:val="left"/>
              <w:rPr>
                <w:sz w:val="4"/>
                <w:szCs w:val="4"/>
              </w:rPr>
            </w:pPr>
            <w:r>
              <w:rPr>
                <w:sz w:val="4"/>
                <w:szCs w:val="4"/>
              </w:rPr>
            </w:r>
          </w:p>
        </w:tc>
        <w:tc>
          <w:tcPr>
            <w:tcW w:w="2706" w:type="dxa"/>
            <w:gridSpan w:val="4"/>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2518" w:type="dxa"/>
            <w:gridSpan w:val="4"/>
            <w:tcBorders/>
            <w:vAlign w:val="center"/>
          </w:tcPr>
          <w:p>
            <w:pPr>
              <w:pStyle w:val="TableContents"/>
              <w:bidi w:val="0"/>
              <w:spacing w:before="0" w:after="283"/>
              <w:jc w:val="left"/>
              <w:rPr>
                <w:sz w:val="4"/>
                <w:szCs w:val="4"/>
              </w:rPr>
            </w:pPr>
            <w:r>
              <w:rPr>
                <w:sz w:val="4"/>
                <w:szCs w:val="4"/>
              </w:rPr>
            </w:r>
          </w:p>
        </w:tc>
        <w:tc>
          <w:tcPr>
            <w:tcW w:w="1354" w:type="dxa"/>
            <w:gridSpan w:val="2"/>
            <w:tcBorders/>
            <w:vAlign w:val="center"/>
          </w:tcPr>
          <w:p>
            <w:pPr>
              <w:pStyle w:val="TableContents"/>
              <w:bidi w:val="0"/>
              <w:spacing w:before="0" w:after="283"/>
              <w:jc w:val="left"/>
              <w:rPr>
                <w:sz w:val="4"/>
                <w:szCs w:val="4"/>
              </w:rPr>
            </w:pPr>
            <w:r>
              <w:rPr>
                <w:sz w:val="4"/>
                <w:szCs w:val="4"/>
              </w:rPr>
            </w:r>
          </w:p>
        </w:tc>
      </w:tr>
      <w:tr>
        <w:trPr/>
        <w:tc>
          <w:tcPr>
            <w:tcW w:w="2452"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Christopher D. Layden (also a director)</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2196" w:type="dxa"/>
            <w:tcBorders>
              <w:bottom w:val="single" w:sz="6" w:space="0" w:color="7F7F7F"/>
            </w:tcBorders>
            <w:tcMar>
              <w:bottom w:w="80" w:type="dxa"/>
            </w:tcMar>
            <w:vAlign w:val="center"/>
          </w:tcPr>
          <w:p>
            <w:pPr>
              <w:pStyle w:val="TableContents"/>
              <w:bidi w:val="0"/>
              <w:spacing w:before="0" w:after="283"/>
              <w:jc w:val="right"/>
              <w:rPr/>
            </w:pPr>
            <w:r>
              <w:rPr/>
              <w:t>372,513</w:t>
            </w:r>
          </w:p>
        </w:tc>
        <w:tc>
          <w:tcPr>
            <w:tcW w:w="256" w:type="dxa"/>
            <w:tcBorders>
              <w:bottom w:val="single" w:sz="6" w:space="0" w:color="7F7F7F"/>
            </w:tcBorders>
            <w:tcMar>
              <w:bottom w:w="8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55" w:type="dxa"/>
            <w:tcBorders>
              <w:bottom w:val="single" w:sz="6" w:space="0" w:color="7F7F7F"/>
            </w:tcBorders>
            <w:tcMar>
              <w:bottom w:w="80" w:type="dxa"/>
            </w:tcMar>
            <w:vAlign w:val="center"/>
          </w:tcPr>
          <w:p>
            <w:pPr>
              <w:pStyle w:val="TableContents"/>
              <w:bidi w:val="0"/>
              <w:spacing w:before="0" w:after="283"/>
              <w:jc w:val="center"/>
              <w:rPr/>
            </w:pPr>
            <w:r>
              <w:rPr/>
              <w: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317" w:type="dxa"/>
            <w:tcBorders>
              <w:bottom w:val="single" w:sz="6" w:space="0" w:color="7F7F7F"/>
            </w:tcBorders>
            <w:tcMar>
              <w:bottom w:w="80" w:type="dxa"/>
            </w:tcMar>
            <w:vAlign w:val="center"/>
          </w:tcPr>
          <w:p>
            <w:pPr>
              <w:pStyle w:val="TableContents"/>
              <w:bidi w:val="0"/>
              <w:spacing w:before="0" w:after="283"/>
              <w:jc w:val="left"/>
              <w:rPr/>
            </w:pPr>
            <w:r>
              <w:rPr/>
              <w:t> </w:t>
            </w:r>
          </w:p>
        </w:tc>
        <w:tc>
          <w:tcPr>
            <w:tcW w:w="2013" w:type="dxa"/>
            <w:tcBorders>
              <w:bottom w:val="single" w:sz="6" w:space="0" w:color="7F7F7F"/>
            </w:tcBorders>
            <w:tcMar>
              <w:bottom w:w="80" w:type="dxa"/>
            </w:tcMar>
            <w:vAlign w:val="center"/>
          </w:tcPr>
          <w:p>
            <w:pPr>
              <w:pStyle w:val="TableContents"/>
              <w:bidi w:val="0"/>
              <w:spacing w:before="0" w:after="283"/>
              <w:jc w:val="right"/>
              <w:rPr/>
            </w:pPr>
            <w:r>
              <w:rPr/>
              <w:t>-</w:t>
            </w:r>
          </w:p>
        </w:tc>
        <w:tc>
          <w:tcPr>
            <w:tcW w:w="68" w:type="dxa"/>
            <w:tcBorders>
              <w:bottom w:val="single" w:sz="6" w:space="0" w:color="7F7F7F"/>
            </w:tcBorders>
            <w:tcMar>
              <w:bottom w:w="80" w:type="dxa"/>
            </w:tcMar>
            <w:vAlign w:val="center"/>
          </w:tcPr>
          <w:p>
            <w:pPr>
              <w:pStyle w:val="TableContents"/>
              <w:bidi w:val="0"/>
              <w:spacing w:before="0" w:after="283"/>
              <w:jc w:val="left"/>
              <w:rPr/>
            </w:pPr>
            <w:r>
              <w:rPr/>
              <w:t> </w:t>
            </w:r>
          </w:p>
        </w:tc>
        <w:tc>
          <w:tcPr>
            <w:tcW w:w="136" w:type="dxa"/>
            <w:tcBorders>
              <w:bottom w:val="single" w:sz="6" w:space="0" w:color="7F7F7F"/>
            </w:tcBorders>
            <w:tcMar>
              <w:bottom w:w="28" w:type="dxa"/>
            </w:tcMar>
            <w:vAlign w:val="center"/>
          </w:tcPr>
          <w:p>
            <w:pPr>
              <w:pStyle w:val="TableContents"/>
              <w:bidi w:val="0"/>
              <w:spacing w:before="0" w:after="283"/>
              <w:jc w:val="left"/>
              <w:rPr/>
            </w:pPr>
            <w:r>
              <w:rPr/>
              <w:t>  </w:t>
            </w:r>
          </w:p>
        </w:tc>
        <w:tc>
          <w:tcPr>
            <w:tcW w:w="1218" w:type="dxa"/>
            <w:tcBorders>
              <w:bottom w:val="single" w:sz="6" w:space="0" w:color="7F7F7F"/>
            </w:tcBorders>
            <w:tcMar>
              <w:bottom w:w="80" w:type="dxa"/>
            </w:tcMar>
            <w:vAlign w:val="center"/>
          </w:tcPr>
          <w:p>
            <w:pPr>
              <w:pStyle w:val="TableContents"/>
              <w:bidi w:val="0"/>
              <w:spacing w:before="0" w:after="283"/>
              <w:jc w:val="center"/>
              <w:rPr/>
            </w:pPr>
            <w:r>
              <w:rPr/>
              <w:t>*</w:t>
            </w:r>
          </w:p>
        </w:tc>
      </w:tr>
      <w:tr>
        <w:trPr/>
        <w:tc>
          <w:tcPr>
            <w:tcW w:w="2452" w:type="dxa"/>
            <w:tcBorders/>
            <w:vAlign w:val="center"/>
          </w:tcPr>
          <w:p>
            <w:pPr>
              <w:pStyle w:val="TableContents"/>
              <w:bidi w:val="0"/>
              <w:spacing w:before="0" w:after="283"/>
              <w:jc w:val="left"/>
              <w:rPr>
                <w:sz w:val="4"/>
                <w:szCs w:val="4"/>
              </w:rPr>
            </w:pPr>
            <w:r>
              <w:rPr>
                <w:sz w:val="4"/>
                <w:szCs w:val="4"/>
              </w:rPr>
            </w:r>
          </w:p>
        </w:tc>
        <w:tc>
          <w:tcPr>
            <w:tcW w:w="2706" w:type="dxa"/>
            <w:gridSpan w:val="4"/>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2518" w:type="dxa"/>
            <w:gridSpan w:val="4"/>
            <w:tcBorders/>
            <w:vAlign w:val="center"/>
          </w:tcPr>
          <w:p>
            <w:pPr>
              <w:pStyle w:val="TableContents"/>
              <w:bidi w:val="0"/>
              <w:spacing w:before="0" w:after="283"/>
              <w:jc w:val="left"/>
              <w:rPr>
                <w:sz w:val="4"/>
                <w:szCs w:val="4"/>
              </w:rPr>
            </w:pPr>
            <w:r>
              <w:rPr>
                <w:sz w:val="4"/>
                <w:szCs w:val="4"/>
              </w:rPr>
            </w:r>
          </w:p>
        </w:tc>
        <w:tc>
          <w:tcPr>
            <w:tcW w:w="1354" w:type="dxa"/>
            <w:gridSpan w:val="2"/>
            <w:tcBorders/>
            <w:vAlign w:val="center"/>
          </w:tcPr>
          <w:p>
            <w:pPr>
              <w:pStyle w:val="TableContents"/>
              <w:bidi w:val="0"/>
              <w:spacing w:before="0" w:after="283"/>
              <w:jc w:val="left"/>
              <w:rPr>
                <w:sz w:val="4"/>
                <w:szCs w:val="4"/>
              </w:rPr>
            </w:pPr>
            <w:r>
              <w:rPr>
                <w:sz w:val="4"/>
                <w:szCs w:val="4"/>
              </w:rPr>
            </w:r>
          </w:p>
        </w:tc>
      </w:tr>
      <w:tr>
        <w:trPr/>
        <w:tc>
          <w:tcPr>
            <w:tcW w:w="2452"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Troy R. Anderson</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2196" w:type="dxa"/>
            <w:tcBorders>
              <w:bottom w:val="single" w:sz="6" w:space="0" w:color="7F7F7F"/>
            </w:tcBorders>
            <w:tcMar>
              <w:bottom w:w="80" w:type="dxa"/>
            </w:tcMar>
            <w:vAlign w:val="center"/>
          </w:tcPr>
          <w:p>
            <w:pPr>
              <w:pStyle w:val="TableContents"/>
              <w:bidi w:val="0"/>
              <w:spacing w:before="0" w:after="283"/>
              <w:jc w:val="right"/>
              <w:rPr/>
            </w:pPr>
            <w:r>
              <w:rPr/>
              <w:t>229,486</w:t>
            </w:r>
          </w:p>
        </w:tc>
        <w:tc>
          <w:tcPr>
            <w:tcW w:w="256" w:type="dxa"/>
            <w:tcBorders>
              <w:bottom w:val="single" w:sz="6" w:space="0" w:color="7F7F7F"/>
            </w:tcBorders>
            <w:tcMar>
              <w:bottom w:w="8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55" w:type="dxa"/>
            <w:tcBorders>
              <w:bottom w:val="single" w:sz="6" w:space="0" w:color="7F7F7F"/>
            </w:tcBorders>
            <w:tcMar>
              <w:bottom w:w="80" w:type="dxa"/>
            </w:tcMar>
            <w:vAlign w:val="center"/>
          </w:tcPr>
          <w:p>
            <w:pPr>
              <w:pStyle w:val="TableContents"/>
              <w:bidi w:val="0"/>
              <w:spacing w:before="0" w:after="283"/>
              <w:jc w:val="center"/>
              <w:rPr/>
            </w:pPr>
            <w:r>
              <w:rPr/>
              <w: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317" w:type="dxa"/>
            <w:tcBorders>
              <w:bottom w:val="single" w:sz="6" w:space="0" w:color="7F7F7F"/>
            </w:tcBorders>
            <w:tcMar>
              <w:bottom w:w="80" w:type="dxa"/>
            </w:tcMar>
            <w:vAlign w:val="center"/>
          </w:tcPr>
          <w:p>
            <w:pPr>
              <w:pStyle w:val="TableContents"/>
              <w:bidi w:val="0"/>
              <w:spacing w:before="0" w:after="283"/>
              <w:jc w:val="left"/>
              <w:rPr/>
            </w:pPr>
            <w:r>
              <w:rPr/>
              <w:t> </w:t>
            </w:r>
          </w:p>
        </w:tc>
        <w:tc>
          <w:tcPr>
            <w:tcW w:w="2013" w:type="dxa"/>
            <w:tcBorders>
              <w:bottom w:val="single" w:sz="6" w:space="0" w:color="7F7F7F"/>
            </w:tcBorders>
            <w:tcMar>
              <w:bottom w:w="80" w:type="dxa"/>
            </w:tcMar>
            <w:vAlign w:val="center"/>
          </w:tcPr>
          <w:p>
            <w:pPr>
              <w:pStyle w:val="TableContents"/>
              <w:bidi w:val="0"/>
              <w:spacing w:before="0" w:after="283"/>
              <w:jc w:val="right"/>
              <w:rPr/>
            </w:pPr>
            <w:r>
              <w:rPr/>
              <w:t>100</w:t>
            </w:r>
          </w:p>
        </w:tc>
        <w:tc>
          <w:tcPr>
            <w:tcW w:w="68" w:type="dxa"/>
            <w:tcBorders>
              <w:bottom w:val="single" w:sz="6" w:space="0" w:color="7F7F7F"/>
            </w:tcBorders>
            <w:tcMar>
              <w:bottom w:w="80" w:type="dxa"/>
            </w:tcMar>
            <w:vAlign w:val="center"/>
          </w:tcPr>
          <w:p>
            <w:pPr>
              <w:pStyle w:val="TableContents"/>
              <w:bidi w:val="0"/>
              <w:spacing w:before="0" w:after="283"/>
              <w:jc w:val="left"/>
              <w:rPr/>
            </w:pPr>
            <w:r>
              <w:rPr/>
              <w:t> </w:t>
            </w:r>
          </w:p>
        </w:tc>
        <w:tc>
          <w:tcPr>
            <w:tcW w:w="136" w:type="dxa"/>
            <w:tcBorders>
              <w:bottom w:val="single" w:sz="6" w:space="0" w:color="7F7F7F"/>
            </w:tcBorders>
            <w:tcMar>
              <w:bottom w:w="28" w:type="dxa"/>
            </w:tcMar>
            <w:vAlign w:val="center"/>
          </w:tcPr>
          <w:p>
            <w:pPr>
              <w:pStyle w:val="TableContents"/>
              <w:bidi w:val="0"/>
              <w:spacing w:before="0" w:after="283"/>
              <w:jc w:val="left"/>
              <w:rPr/>
            </w:pPr>
            <w:r>
              <w:rPr/>
              <w:t>  </w:t>
            </w:r>
          </w:p>
        </w:tc>
        <w:tc>
          <w:tcPr>
            <w:tcW w:w="1218" w:type="dxa"/>
            <w:tcBorders>
              <w:bottom w:val="single" w:sz="6" w:space="0" w:color="7F7F7F"/>
            </w:tcBorders>
            <w:tcMar>
              <w:bottom w:w="80" w:type="dxa"/>
            </w:tcMar>
            <w:vAlign w:val="center"/>
          </w:tcPr>
          <w:p>
            <w:pPr>
              <w:pStyle w:val="TableContents"/>
              <w:bidi w:val="0"/>
              <w:spacing w:before="0" w:after="283"/>
              <w:jc w:val="center"/>
              <w:rPr/>
            </w:pPr>
            <w:r>
              <w:rPr/>
              <w:t>*</w:t>
            </w:r>
          </w:p>
        </w:tc>
      </w:tr>
      <w:tr>
        <w:trPr/>
        <w:tc>
          <w:tcPr>
            <w:tcW w:w="2452" w:type="dxa"/>
            <w:tcBorders/>
            <w:vAlign w:val="center"/>
          </w:tcPr>
          <w:p>
            <w:pPr>
              <w:pStyle w:val="TableContents"/>
              <w:bidi w:val="0"/>
              <w:spacing w:before="0" w:after="283"/>
              <w:jc w:val="left"/>
              <w:rPr>
                <w:sz w:val="4"/>
                <w:szCs w:val="4"/>
              </w:rPr>
            </w:pPr>
            <w:r>
              <w:rPr>
                <w:sz w:val="4"/>
                <w:szCs w:val="4"/>
              </w:rPr>
            </w:r>
          </w:p>
        </w:tc>
        <w:tc>
          <w:tcPr>
            <w:tcW w:w="2706" w:type="dxa"/>
            <w:gridSpan w:val="4"/>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2518" w:type="dxa"/>
            <w:gridSpan w:val="4"/>
            <w:tcBorders/>
            <w:vAlign w:val="center"/>
          </w:tcPr>
          <w:p>
            <w:pPr>
              <w:pStyle w:val="TableContents"/>
              <w:bidi w:val="0"/>
              <w:spacing w:before="0" w:after="283"/>
              <w:jc w:val="left"/>
              <w:rPr>
                <w:sz w:val="4"/>
                <w:szCs w:val="4"/>
              </w:rPr>
            </w:pPr>
            <w:r>
              <w:rPr>
                <w:sz w:val="4"/>
                <w:szCs w:val="4"/>
              </w:rPr>
            </w:r>
          </w:p>
        </w:tc>
        <w:tc>
          <w:tcPr>
            <w:tcW w:w="1354" w:type="dxa"/>
            <w:gridSpan w:val="2"/>
            <w:tcBorders/>
            <w:vAlign w:val="center"/>
          </w:tcPr>
          <w:p>
            <w:pPr>
              <w:pStyle w:val="TableContents"/>
              <w:bidi w:val="0"/>
              <w:spacing w:before="0" w:after="283"/>
              <w:jc w:val="left"/>
              <w:rPr>
                <w:sz w:val="4"/>
                <w:szCs w:val="4"/>
              </w:rPr>
            </w:pPr>
            <w:r>
              <w:rPr>
                <w:sz w:val="4"/>
                <w:szCs w:val="4"/>
              </w:rPr>
            </w:r>
          </w:p>
        </w:tc>
      </w:tr>
      <w:tr>
        <w:trPr/>
        <w:tc>
          <w:tcPr>
            <w:tcW w:w="2452"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Tammy L. Browning (4)</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2196" w:type="dxa"/>
            <w:tcBorders>
              <w:bottom w:val="single" w:sz="6" w:space="0" w:color="7F7F7F"/>
            </w:tcBorders>
            <w:tcMar>
              <w:bottom w:w="80" w:type="dxa"/>
            </w:tcMar>
            <w:vAlign w:val="center"/>
          </w:tcPr>
          <w:p>
            <w:pPr>
              <w:pStyle w:val="TableContents"/>
              <w:bidi w:val="0"/>
              <w:spacing w:before="0" w:after="283"/>
              <w:jc w:val="right"/>
              <w:rPr/>
            </w:pPr>
            <w:r>
              <w:rPr/>
              <w:t>110,830</w:t>
            </w:r>
          </w:p>
        </w:tc>
        <w:tc>
          <w:tcPr>
            <w:tcW w:w="256" w:type="dxa"/>
            <w:tcBorders>
              <w:bottom w:val="single" w:sz="6" w:space="0" w:color="7F7F7F"/>
            </w:tcBorders>
            <w:tcMar>
              <w:bottom w:w="8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55" w:type="dxa"/>
            <w:tcBorders>
              <w:bottom w:val="single" w:sz="6" w:space="0" w:color="7F7F7F"/>
            </w:tcBorders>
            <w:tcMar>
              <w:bottom w:w="80" w:type="dxa"/>
            </w:tcMar>
            <w:vAlign w:val="center"/>
          </w:tcPr>
          <w:p>
            <w:pPr>
              <w:pStyle w:val="TableContents"/>
              <w:bidi w:val="0"/>
              <w:spacing w:before="0" w:after="283"/>
              <w:jc w:val="center"/>
              <w:rPr/>
            </w:pPr>
            <w:r>
              <w:rPr/>
              <w: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317" w:type="dxa"/>
            <w:tcBorders>
              <w:bottom w:val="single" w:sz="6" w:space="0" w:color="7F7F7F"/>
            </w:tcBorders>
            <w:tcMar>
              <w:bottom w:w="80" w:type="dxa"/>
            </w:tcMar>
            <w:vAlign w:val="center"/>
          </w:tcPr>
          <w:p>
            <w:pPr>
              <w:pStyle w:val="TableContents"/>
              <w:bidi w:val="0"/>
              <w:spacing w:before="0" w:after="283"/>
              <w:jc w:val="left"/>
              <w:rPr/>
            </w:pPr>
            <w:r>
              <w:rPr/>
              <w:t> </w:t>
            </w:r>
          </w:p>
        </w:tc>
        <w:tc>
          <w:tcPr>
            <w:tcW w:w="2013" w:type="dxa"/>
            <w:tcBorders>
              <w:bottom w:val="single" w:sz="6" w:space="0" w:color="7F7F7F"/>
            </w:tcBorders>
            <w:tcMar>
              <w:bottom w:w="80" w:type="dxa"/>
            </w:tcMar>
            <w:vAlign w:val="center"/>
          </w:tcPr>
          <w:p>
            <w:pPr>
              <w:pStyle w:val="TableContents"/>
              <w:bidi w:val="0"/>
              <w:spacing w:before="0" w:after="283"/>
              <w:jc w:val="right"/>
              <w:rPr/>
            </w:pPr>
            <w:r>
              <w:rPr/>
              <w:t>-</w:t>
            </w:r>
          </w:p>
        </w:tc>
        <w:tc>
          <w:tcPr>
            <w:tcW w:w="68" w:type="dxa"/>
            <w:tcBorders>
              <w:bottom w:val="single" w:sz="6" w:space="0" w:color="7F7F7F"/>
            </w:tcBorders>
            <w:tcMar>
              <w:bottom w:w="80" w:type="dxa"/>
            </w:tcMar>
            <w:vAlign w:val="center"/>
          </w:tcPr>
          <w:p>
            <w:pPr>
              <w:pStyle w:val="TableContents"/>
              <w:bidi w:val="0"/>
              <w:spacing w:before="0" w:after="283"/>
              <w:jc w:val="left"/>
              <w:rPr/>
            </w:pPr>
            <w:r>
              <w:rPr/>
              <w:t> </w:t>
            </w:r>
          </w:p>
        </w:tc>
        <w:tc>
          <w:tcPr>
            <w:tcW w:w="136" w:type="dxa"/>
            <w:tcBorders>
              <w:bottom w:val="single" w:sz="6" w:space="0" w:color="7F7F7F"/>
            </w:tcBorders>
            <w:tcMar>
              <w:bottom w:w="28" w:type="dxa"/>
            </w:tcMar>
            <w:vAlign w:val="center"/>
          </w:tcPr>
          <w:p>
            <w:pPr>
              <w:pStyle w:val="TableContents"/>
              <w:bidi w:val="0"/>
              <w:spacing w:before="0" w:after="283"/>
              <w:jc w:val="left"/>
              <w:rPr/>
            </w:pPr>
            <w:r>
              <w:rPr/>
              <w:t>  </w:t>
            </w:r>
          </w:p>
        </w:tc>
        <w:tc>
          <w:tcPr>
            <w:tcW w:w="1218" w:type="dxa"/>
            <w:tcBorders>
              <w:bottom w:val="single" w:sz="6" w:space="0" w:color="7F7F7F"/>
            </w:tcBorders>
            <w:tcMar>
              <w:bottom w:w="80" w:type="dxa"/>
            </w:tcMar>
            <w:vAlign w:val="center"/>
          </w:tcPr>
          <w:p>
            <w:pPr>
              <w:pStyle w:val="TableContents"/>
              <w:bidi w:val="0"/>
              <w:spacing w:before="0" w:after="283"/>
              <w:jc w:val="center"/>
              <w:rPr/>
            </w:pPr>
            <w:r>
              <w:rPr/>
              <w:t>*</w:t>
            </w:r>
          </w:p>
        </w:tc>
      </w:tr>
      <w:tr>
        <w:trPr/>
        <w:tc>
          <w:tcPr>
            <w:tcW w:w="2452" w:type="dxa"/>
            <w:tcBorders/>
            <w:vAlign w:val="center"/>
          </w:tcPr>
          <w:p>
            <w:pPr>
              <w:pStyle w:val="TableContents"/>
              <w:bidi w:val="0"/>
              <w:spacing w:before="0" w:after="283"/>
              <w:jc w:val="left"/>
              <w:rPr>
                <w:sz w:val="4"/>
                <w:szCs w:val="4"/>
              </w:rPr>
            </w:pPr>
            <w:r>
              <w:rPr>
                <w:sz w:val="4"/>
                <w:szCs w:val="4"/>
              </w:rPr>
            </w:r>
          </w:p>
        </w:tc>
        <w:tc>
          <w:tcPr>
            <w:tcW w:w="2706" w:type="dxa"/>
            <w:gridSpan w:val="4"/>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2518" w:type="dxa"/>
            <w:gridSpan w:val="4"/>
            <w:tcBorders/>
            <w:vAlign w:val="center"/>
          </w:tcPr>
          <w:p>
            <w:pPr>
              <w:pStyle w:val="TableContents"/>
              <w:bidi w:val="0"/>
              <w:spacing w:before="0" w:after="283"/>
              <w:jc w:val="left"/>
              <w:rPr>
                <w:sz w:val="4"/>
                <w:szCs w:val="4"/>
              </w:rPr>
            </w:pPr>
            <w:r>
              <w:rPr>
                <w:sz w:val="4"/>
                <w:szCs w:val="4"/>
              </w:rPr>
            </w:r>
          </w:p>
        </w:tc>
        <w:tc>
          <w:tcPr>
            <w:tcW w:w="1354" w:type="dxa"/>
            <w:gridSpan w:val="2"/>
            <w:tcBorders/>
            <w:vAlign w:val="center"/>
          </w:tcPr>
          <w:p>
            <w:pPr>
              <w:pStyle w:val="TableContents"/>
              <w:bidi w:val="0"/>
              <w:spacing w:before="0" w:after="283"/>
              <w:jc w:val="left"/>
              <w:rPr>
                <w:sz w:val="4"/>
                <w:szCs w:val="4"/>
              </w:rPr>
            </w:pPr>
            <w:r>
              <w:rPr>
                <w:sz w:val="4"/>
                <w:szCs w:val="4"/>
              </w:rPr>
            </w:r>
          </w:p>
        </w:tc>
      </w:tr>
      <w:tr>
        <w:trPr/>
        <w:tc>
          <w:tcPr>
            <w:tcW w:w="2452"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Vanessa P. Williams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2196" w:type="dxa"/>
            <w:tcBorders>
              <w:bottom w:val="single" w:sz="6" w:space="0" w:color="7F7F7F"/>
            </w:tcBorders>
            <w:tcMar>
              <w:bottom w:w="80" w:type="dxa"/>
            </w:tcMar>
            <w:vAlign w:val="center"/>
          </w:tcPr>
          <w:p>
            <w:pPr>
              <w:pStyle w:val="TableContents"/>
              <w:bidi w:val="0"/>
              <w:spacing w:before="0" w:after="283"/>
              <w:jc w:val="right"/>
              <w:rPr/>
            </w:pPr>
            <w:r>
              <w:rPr/>
              <w:t>113,340</w:t>
            </w:r>
          </w:p>
        </w:tc>
        <w:tc>
          <w:tcPr>
            <w:tcW w:w="256" w:type="dxa"/>
            <w:tcBorders>
              <w:bottom w:val="single" w:sz="6" w:space="0" w:color="7F7F7F"/>
            </w:tcBorders>
            <w:tcMar>
              <w:bottom w:w="8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55" w:type="dxa"/>
            <w:tcBorders>
              <w:bottom w:val="single" w:sz="6" w:space="0" w:color="7F7F7F"/>
            </w:tcBorders>
            <w:tcMar>
              <w:bottom w:w="80" w:type="dxa"/>
            </w:tcMar>
            <w:vAlign w:val="center"/>
          </w:tcPr>
          <w:p>
            <w:pPr>
              <w:pStyle w:val="TableContents"/>
              <w:bidi w:val="0"/>
              <w:spacing w:before="0" w:after="283"/>
              <w:jc w:val="center"/>
              <w:rPr/>
            </w:pPr>
            <w:r>
              <w:rPr/>
              <w: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317" w:type="dxa"/>
            <w:tcBorders>
              <w:bottom w:val="single" w:sz="6" w:space="0" w:color="7F7F7F"/>
            </w:tcBorders>
            <w:tcMar>
              <w:bottom w:w="80" w:type="dxa"/>
            </w:tcMar>
            <w:vAlign w:val="center"/>
          </w:tcPr>
          <w:p>
            <w:pPr>
              <w:pStyle w:val="TableContents"/>
              <w:bidi w:val="0"/>
              <w:spacing w:before="0" w:after="283"/>
              <w:jc w:val="left"/>
              <w:rPr/>
            </w:pPr>
            <w:r>
              <w:rPr/>
              <w:t> </w:t>
            </w:r>
          </w:p>
        </w:tc>
        <w:tc>
          <w:tcPr>
            <w:tcW w:w="2013" w:type="dxa"/>
            <w:tcBorders>
              <w:bottom w:val="single" w:sz="6" w:space="0" w:color="7F7F7F"/>
            </w:tcBorders>
            <w:tcMar>
              <w:bottom w:w="80" w:type="dxa"/>
            </w:tcMar>
            <w:vAlign w:val="center"/>
          </w:tcPr>
          <w:p>
            <w:pPr>
              <w:pStyle w:val="TableContents"/>
              <w:bidi w:val="0"/>
              <w:spacing w:before="0" w:after="283"/>
              <w:jc w:val="right"/>
              <w:rPr/>
            </w:pPr>
            <w:r>
              <w:rPr/>
              <w:t>100</w:t>
            </w:r>
          </w:p>
        </w:tc>
        <w:tc>
          <w:tcPr>
            <w:tcW w:w="68" w:type="dxa"/>
            <w:tcBorders>
              <w:bottom w:val="single" w:sz="6" w:space="0" w:color="7F7F7F"/>
            </w:tcBorders>
            <w:tcMar>
              <w:bottom w:w="80" w:type="dxa"/>
            </w:tcMar>
            <w:vAlign w:val="center"/>
          </w:tcPr>
          <w:p>
            <w:pPr>
              <w:pStyle w:val="TableContents"/>
              <w:bidi w:val="0"/>
              <w:spacing w:before="0" w:after="283"/>
              <w:jc w:val="left"/>
              <w:rPr/>
            </w:pPr>
            <w:r>
              <w:rPr/>
              <w:t> </w:t>
            </w:r>
          </w:p>
        </w:tc>
        <w:tc>
          <w:tcPr>
            <w:tcW w:w="136" w:type="dxa"/>
            <w:tcBorders>
              <w:bottom w:val="single" w:sz="6" w:space="0" w:color="7F7F7F"/>
            </w:tcBorders>
            <w:tcMar>
              <w:bottom w:w="28" w:type="dxa"/>
            </w:tcMar>
            <w:vAlign w:val="center"/>
          </w:tcPr>
          <w:p>
            <w:pPr>
              <w:pStyle w:val="TableContents"/>
              <w:bidi w:val="0"/>
              <w:spacing w:before="0" w:after="283"/>
              <w:jc w:val="left"/>
              <w:rPr/>
            </w:pPr>
            <w:r>
              <w:rPr/>
              <w:t>  </w:t>
            </w:r>
          </w:p>
        </w:tc>
        <w:tc>
          <w:tcPr>
            <w:tcW w:w="1218" w:type="dxa"/>
            <w:tcBorders>
              <w:bottom w:val="single" w:sz="6" w:space="0" w:color="7F7F7F"/>
            </w:tcBorders>
            <w:tcMar>
              <w:bottom w:w="80" w:type="dxa"/>
            </w:tcMar>
            <w:vAlign w:val="center"/>
          </w:tcPr>
          <w:p>
            <w:pPr>
              <w:pStyle w:val="TableContents"/>
              <w:bidi w:val="0"/>
              <w:spacing w:before="0" w:after="283"/>
              <w:jc w:val="center"/>
              <w:rPr/>
            </w:pPr>
            <w:r>
              <w:rPr/>
              <w:t>*</w:t>
            </w:r>
          </w:p>
        </w:tc>
      </w:tr>
      <w:tr>
        <w:trPr/>
        <w:tc>
          <w:tcPr>
            <w:tcW w:w="2452" w:type="dxa"/>
            <w:tcBorders/>
            <w:vAlign w:val="center"/>
          </w:tcPr>
          <w:p>
            <w:pPr>
              <w:pStyle w:val="TableContents"/>
              <w:bidi w:val="0"/>
              <w:spacing w:before="0" w:after="283"/>
              <w:jc w:val="left"/>
              <w:rPr>
                <w:sz w:val="4"/>
                <w:szCs w:val="4"/>
              </w:rPr>
            </w:pPr>
            <w:r>
              <w:rPr>
                <w:sz w:val="4"/>
                <w:szCs w:val="4"/>
              </w:rPr>
            </w:r>
          </w:p>
        </w:tc>
        <w:tc>
          <w:tcPr>
            <w:tcW w:w="2706" w:type="dxa"/>
            <w:gridSpan w:val="4"/>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2518" w:type="dxa"/>
            <w:gridSpan w:val="4"/>
            <w:tcBorders/>
            <w:vAlign w:val="center"/>
          </w:tcPr>
          <w:p>
            <w:pPr>
              <w:pStyle w:val="TableContents"/>
              <w:bidi w:val="0"/>
              <w:spacing w:before="0" w:after="283"/>
              <w:jc w:val="left"/>
              <w:rPr>
                <w:sz w:val="4"/>
                <w:szCs w:val="4"/>
              </w:rPr>
            </w:pPr>
            <w:r>
              <w:rPr>
                <w:sz w:val="4"/>
                <w:szCs w:val="4"/>
              </w:rPr>
            </w:r>
          </w:p>
        </w:tc>
        <w:tc>
          <w:tcPr>
            <w:tcW w:w="1354" w:type="dxa"/>
            <w:gridSpan w:val="2"/>
            <w:tcBorders/>
            <w:vAlign w:val="center"/>
          </w:tcPr>
          <w:p>
            <w:pPr>
              <w:pStyle w:val="TableContents"/>
              <w:bidi w:val="0"/>
              <w:spacing w:before="0" w:after="283"/>
              <w:jc w:val="left"/>
              <w:rPr>
                <w:sz w:val="4"/>
                <w:szCs w:val="4"/>
              </w:rPr>
            </w:pPr>
            <w:r>
              <w:rPr>
                <w:sz w:val="4"/>
                <w:szCs w:val="4"/>
              </w:rPr>
            </w:r>
          </w:p>
        </w:tc>
      </w:tr>
      <w:tr>
        <w:trPr/>
        <w:tc>
          <w:tcPr>
            <w:tcW w:w="2452"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Nicola M. Soares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2196" w:type="dxa"/>
            <w:tcBorders>
              <w:bottom w:val="single" w:sz="6" w:space="0" w:color="7F7F7F"/>
            </w:tcBorders>
            <w:tcMar>
              <w:bottom w:w="80" w:type="dxa"/>
            </w:tcMar>
            <w:vAlign w:val="center"/>
          </w:tcPr>
          <w:p>
            <w:pPr>
              <w:pStyle w:val="TableContents"/>
              <w:bidi w:val="0"/>
              <w:spacing w:before="0" w:after="283"/>
              <w:jc w:val="right"/>
              <w:rPr/>
            </w:pPr>
            <w:r>
              <w:rPr/>
              <w:t>76,992</w:t>
            </w:r>
          </w:p>
        </w:tc>
        <w:tc>
          <w:tcPr>
            <w:tcW w:w="256" w:type="dxa"/>
            <w:tcBorders>
              <w:bottom w:val="single" w:sz="6" w:space="0" w:color="7F7F7F"/>
            </w:tcBorders>
            <w:tcMar>
              <w:bottom w:w="8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55" w:type="dxa"/>
            <w:tcBorders>
              <w:bottom w:val="single" w:sz="6" w:space="0" w:color="7F7F7F"/>
            </w:tcBorders>
            <w:tcMar>
              <w:bottom w:w="80" w:type="dxa"/>
            </w:tcMar>
            <w:vAlign w:val="center"/>
          </w:tcPr>
          <w:p>
            <w:pPr>
              <w:pStyle w:val="TableContents"/>
              <w:bidi w:val="0"/>
              <w:spacing w:before="0" w:after="283"/>
              <w:jc w:val="center"/>
              <w:rPr/>
            </w:pPr>
            <w:r>
              <w:rPr/>
              <w: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317" w:type="dxa"/>
            <w:tcBorders>
              <w:bottom w:val="single" w:sz="6" w:space="0" w:color="7F7F7F"/>
            </w:tcBorders>
            <w:tcMar>
              <w:bottom w:w="80" w:type="dxa"/>
            </w:tcMar>
            <w:vAlign w:val="center"/>
          </w:tcPr>
          <w:p>
            <w:pPr>
              <w:pStyle w:val="TableContents"/>
              <w:bidi w:val="0"/>
              <w:spacing w:before="0" w:after="283"/>
              <w:jc w:val="left"/>
              <w:rPr/>
            </w:pPr>
            <w:r>
              <w:rPr/>
              <w:t> </w:t>
            </w:r>
          </w:p>
        </w:tc>
        <w:tc>
          <w:tcPr>
            <w:tcW w:w="2013" w:type="dxa"/>
            <w:tcBorders>
              <w:bottom w:val="single" w:sz="6" w:space="0" w:color="7F7F7F"/>
            </w:tcBorders>
            <w:tcMar>
              <w:bottom w:w="80" w:type="dxa"/>
            </w:tcMar>
            <w:vAlign w:val="center"/>
          </w:tcPr>
          <w:p>
            <w:pPr>
              <w:pStyle w:val="TableContents"/>
              <w:bidi w:val="0"/>
              <w:spacing w:before="0" w:after="283"/>
              <w:jc w:val="right"/>
              <w:rPr/>
            </w:pPr>
            <w:r>
              <w:rPr/>
              <w:t>-</w:t>
            </w:r>
          </w:p>
        </w:tc>
        <w:tc>
          <w:tcPr>
            <w:tcW w:w="68" w:type="dxa"/>
            <w:tcBorders>
              <w:bottom w:val="single" w:sz="6" w:space="0" w:color="7F7F7F"/>
            </w:tcBorders>
            <w:tcMar>
              <w:bottom w:w="80" w:type="dxa"/>
            </w:tcMar>
            <w:vAlign w:val="center"/>
          </w:tcPr>
          <w:p>
            <w:pPr>
              <w:pStyle w:val="TableContents"/>
              <w:bidi w:val="0"/>
              <w:spacing w:before="0" w:after="283"/>
              <w:jc w:val="left"/>
              <w:rPr/>
            </w:pPr>
            <w:r>
              <w:rPr/>
              <w:t> </w:t>
            </w:r>
          </w:p>
        </w:tc>
        <w:tc>
          <w:tcPr>
            <w:tcW w:w="136" w:type="dxa"/>
            <w:tcBorders>
              <w:bottom w:val="single" w:sz="6" w:space="0" w:color="7F7F7F"/>
            </w:tcBorders>
            <w:tcMar>
              <w:bottom w:w="28" w:type="dxa"/>
            </w:tcMar>
            <w:vAlign w:val="center"/>
          </w:tcPr>
          <w:p>
            <w:pPr>
              <w:pStyle w:val="TableContents"/>
              <w:bidi w:val="0"/>
              <w:spacing w:before="0" w:after="283"/>
              <w:jc w:val="left"/>
              <w:rPr/>
            </w:pPr>
            <w:r>
              <w:rPr/>
              <w:t>  </w:t>
            </w:r>
          </w:p>
        </w:tc>
        <w:tc>
          <w:tcPr>
            <w:tcW w:w="1218" w:type="dxa"/>
            <w:tcBorders>
              <w:bottom w:val="single" w:sz="6" w:space="0" w:color="7F7F7F"/>
            </w:tcBorders>
            <w:tcMar>
              <w:bottom w:w="80" w:type="dxa"/>
            </w:tcMar>
            <w:vAlign w:val="center"/>
          </w:tcPr>
          <w:p>
            <w:pPr>
              <w:pStyle w:val="TableContents"/>
              <w:bidi w:val="0"/>
              <w:spacing w:before="0" w:after="283"/>
              <w:jc w:val="center"/>
              <w:rPr/>
            </w:pPr>
            <w:r>
              <w:rPr/>
              <w:t>*</w:t>
            </w:r>
          </w:p>
        </w:tc>
      </w:tr>
      <w:tr>
        <w:trPr/>
        <w:tc>
          <w:tcPr>
            <w:tcW w:w="2452" w:type="dxa"/>
            <w:tcBorders/>
            <w:vAlign w:val="center"/>
          </w:tcPr>
          <w:p>
            <w:pPr>
              <w:pStyle w:val="TableContents"/>
              <w:bidi w:val="0"/>
              <w:spacing w:before="0" w:after="283"/>
              <w:jc w:val="left"/>
              <w:rPr>
                <w:sz w:val="4"/>
                <w:szCs w:val="4"/>
              </w:rPr>
            </w:pPr>
            <w:r>
              <w:rPr>
                <w:sz w:val="4"/>
                <w:szCs w:val="4"/>
              </w:rPr>
            </w:r>
          </w:p>
        </w:tc>
        <w:tc>
          <w:tcPr>
            <w:tcW w:w="2706" w:type="dxa"/>
            <w:gridSpan w:val="4"/>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2518" w:type="dxa"/>
            <w:gridSpan w:val="4"/>
            <w:tcBorders/>
            <w:vAlign w:val="center"/>
          </w:tcPr>
          <w:p>
            <w:pPr>
              <w:pStyle w:val="TableContents"/>
              <w:bidi w:val="0"/>
              <w:spacing w:before="0" w:after="283"/>
              <w:jc w:val="left"/>
              <w:rPr>
                <w:sz w:val="4"/>
                <w:szCs w:val="4"/>
              </w:rPr>
            </w:pPr>
            <w:r>
              <w:rPr>
                <w:sz w:val="4"/>
                <w:szCs w:val="4"/>
              </w:rPr>
            </w:r>
          </w:p>
        </w:tc>
        <w:tc>
          <w:tcPr>
            <w:tcW w:w="1354" w:type="dxa"/>
            <w:gridSpan w:val="2"/>
            <w:tcBorders/>
            <w:vAlign w:val="center"/>
          </w:tcPr>
          <w:p>
            <w:pPr>
              <w:pStyle w:val="TableContents"/>
              <w:bidi w:val="0"/>
              <w:spacing w:before="0" w:after="283"/>
              <w:jc w:val="left"/>
              <w:rPr>
                <w:sz w:val="4"/>
                <w:szCs w:val="4"/>
              </w:rPr>
            </w:pPr>
            <w:r>
              <w:rPr>
                <w:sz w:val="4"/>
                <w:szCs w:val="4"/>
              </w:rPr>
            </w:r>
          </w:p>
        </w:tc>
      </w:tr>
      <w:tr>
        <w:trPr/>
        <w:tc>
          <w:tcPr>
            <w:tcW w:w="2452" w:type="dxa"/>
            <w:tcBorders>
              <w:bottom w:val="single" w:sz="6" w:space="0" w:color="7F7F7F"/>
            </w:tcBorders>
            <w:tcMar>
              <w:bottom w:w="80" w:type="dxa"/>
            </w:tcMar>
            <w:vAlign w:val="center"/>
          </w:tcPr>
          <w:p>
            <w:pPr>
              <w:pStyle w:val="TableContents"/>
              <w:bidi w:val="0"/>
              <w:spacing w:before="0" w:after="0"/>
              <w:jc w:val="left"/>
              <w:rPr>
                <w:rFonts w:ascii="arial" w:hAnsi="arial"/>
                <w:sz w:val="16"/>
                <w:u w:val="single"/>
              </w:rPr>
            </w:pPr>
            <w:r>
              <w:rPr>
                <w:rFonts w:ascii="arial" w:hAnsi="arial"/>
                <w:sz w:val="16"/>
                <w:u w:val="single"/>
              </w:rPr>
              <w:t>Former Executives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 w:type="dxa"/>
            <w:tcBorders>
              <w:bottom w:val="single" w:sz="6" w:space="0" w:color="7F7F7F"/>
            </w:tcBorders>
            <w:tcMar>
              <w:bottom w:w="28" w:type="dxa"/>
            </w:tcMar>
            <w:vAlign w:val="center"/>
          </w:tcPr>
          <w:p>
            <w:pPr>
              <w:pStyle w:val="TableContents"/>
              <w:bidi w:val="0"/>
              <w:spacing w:before="0" w:after="283"/>
              <w:jc w:val="left"/>
              <w:rPr/>
            </w:pPr>
            <w:r>
              <w:rPr/>
              <w:t> </w:t>
            </w:r>
          </w:p>
        </w:tc>
        <w:tc>
          <w:tcPr>
            <w:tcW w:w="2196" w:type="dxa"/>
            <w:tcBorders>
              <w:bottom w:val="single" w:sz="6" w:space="0" w:color="7F7F7F"/>
            </w:tcBorders>
            <w:tcMar>
              <w:bottom w:w="28" w:type="dxa"/>
            </w:tcMar>
            <w:vAlign w:val="center"/>
          </w:tcPr>
          <w:p>
            <w:pPr>
              <w:pStyle w:val="TableContents"/>
              <w:bidi w:val="0"/>
              <w:spacing w:before="0" w:after="283"/>
              <w:jc w:val="left"/>
              <w:rPr/>
            </w:pPr>
            <w:r>
              <w:rPr/>
              <w:t> </w:t>
            </w:r>
          </w:p>
        </w:tc>
        <w:tc>
          <w:tcPr>
            <w:tcW w:w="256"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55"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317" w:type="dxa"/>
            <w:tcBorders>
              <w:bottom w:val="single" w:sz="6" w:space="0" w:color="7F7F7F"/>
            </w:tcBorders>
            <w:tcMar>
              <w:bottom w:w="28" w:type="dxa"/>
            </w:tcMar>
            <w:vAlign w:val="center"/>
          </w:tcPr>
          <w:p>
            <w:pPr>
              <w:pStyle w:val="TableContents"/>
              <w:bidi w:val="0"/>
              <w:spacing w:before="0" w:after="283"/>
              <w:jc w:val="left"/>
              <w:rPr/>
            </w:pPr>
            <w:r>
              <w:rPr/>
              <w:t> </w:t>
            </w:r>
          </w:p>
        </w:tc>
        <w:tc>
          <w:tcPr>
            <w:tcW w:w="2013" w:type="dxa"/>
            <w:tcBorders>
              <w:bottom w:val="single" w:sz="6" w:space="0" w:color="7F7F7F"/>
            </w:tcBorders>
            <w:tcMar>
              <w:bottom w:w="28" w:type="dxa"/>
            </w:tcMar>
            <w:vAlign w:val="center"/>
          </w:tcPr>
          <w:p>
            <w:pPr>
              <w:pStyle w:val="TableContents"/>
              <w:bidi w:val="0"/>
              <w:spacing w:before="0" w:after="283"/>
              <w:jc w:val="left"/>
              <w:rPr/>
            </w:pPr>
            <w:r>
              <w:rPr/>
              <w:t> </w:t>
            </w:r>
          </w:p>
        </w:tc>
        <w:tc>
          <w:tcPr>
            <w:tcW w:w="68" w:type="dxa"/>
            <w:tcBorders>
              <w:bottom w:val="single" w:sz="6" w:space="0" w:color="7F7F7F"/>
            </w:tcBorders>
            <w:tcMar>
              <w:bottom w:w="28" w:type="dxa"/>
            </w:tcMar>
            <w:vAlign w:val="center"/>
          </w:tcPr>
          <w:p>
            <w:pPr>
              <w:pStyle w:val="TableContents"/>
              <w:bidi w:val="0"/>
              <w:spacing w:before="0" w:after="283"/>
              <w:jc w:val="left"/>
              <w:rPr/>
            </w:pPr>
            <w:r>
              <w:rPr/>
              <w:t> </w:t>
            </w:r>
          </w:p>
        </w:tc>
        <w:tc>
          <w:tcPr>
            <w:tcW w:w="136" w:type="dxa"/>
            <w:tcBorders>
              <w:bottom w:val="single" w:sz="6" w:space="0" w:color="7F7F7F"/>
            </w:tcBorders>
            <w:tcMar>
              <w:bottom w:w="28" w:type="dxa"/>
            </w:tcMar>
            <w:vAlign w:val="center"/>
          </w:tcPr>
          <w:p>
            <w:pPr>
              <w:pStyle w:val="TableContents"/>
              <w:bidi w:val="0"/>
              <w:spacing w:before="0" w:after="283"/>
              <w:jc w:val="left"/>
              <w:rPr/>
            </w:pPr>
            <w:r>
              <w:rPr/>
              <w:t>  </w:t>
            </w:r>
          </w:p>
        </w:tc>
        <w:tc>
          <w:tcPr>
            <w:tcW w:w="1218" w:type="dxa"/>
            <w:tcBorders>
              <w:bottom w:val="single" w:sz="6" w:space="0" w:color="7F7F7F"/>
            </w:tcBorders>
            <w:tcMar>
              <w:bottom w:w="28" w:type="dxa"/>
            </w:tcMar>
            <w:vAlign w:val="center"/>
          </w:tcPr>
          <w:p>
            <w:pPr>
              <w:pStyle w:val="TableContents"/>
              <w:bidi w:val="0"/>
              <w:spacing w:before="0" w:after="283"/>
              <w:jc w:val="left"/>
              <w:rPr/>
            </w:pPr>
            <w:r>
              <w:rPr/>
              <w:t> </w:t>
            </w:r>
          </w:p>
        </w:tc>
      </w:tr>
      <w:tr>
        <w:trPr/>
        <w:tc>
          <w:tcPr>
            <w:tcW w:w="2452" w:type="dxa"/>
            <w:tcBorders/>
            <w:vAlign w:val="center"/>
          </w:tcPr>
          <w:p>
            <w:pPr>
              <w:pStyle w:val="TableContents"/>
              <w:bidi w:val="0"/>
              <w:spacing w:before="0" w:after="283"/>
              <w:jc w:val="left"/>
              <w:rPr>
                <w:sz w:val="4"/>
                <w:szCs w:val="4"/>
              </w:rPr>
            </w:pPr>
            <w:r>
              <w:rPr>
                <w:sz w:val="4"/>
                <w:szCs w:val="4"/>
              </w:rPr>
            </w:r>
          </w:p>
        </w:tc>
        <w:tc>
          <w:tcPr>
            <w:tcW w:w="2706" w:type="dxa"/>
            <w:gridSpan w:val="4"/>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2518" w:type="dxa"/>
            <w:gridSpan w:val="4"/>
            <w:tcBorders/>
            <w:vAlign w:val="center"/>
          </w:tcPr>
          <w:p>
            <w:pPr>
              <w:pStyle w:val="TableContents"/>
              <w:bidi w:val="0"/>
              <w:spacing w:before="0" w:after="283"/>
              <w:jc w:val="left"/>
              <w:rPr>
                <w:sz w:val="4"/>
                <w:szCs w:val="4"/>
              </w:rPr>
            </w:pPr>
            <w:r>
              <w:rPr>
                <w:sz w:val="4"/>
                <w:szCs w:val="4"/>
              </w:rPr>
            </w:r>
          </w:p>
        </w:tc>
        <w:tc>
          <w:tcPr>
            <w:tcW w:w="1354" w:type="dxa"/>
            <w:gridSpan w:val="2"/>
            <w:tcBorders/>
            <w:vAlign w:val="center"/>
          </w:tcPr>
          <w:p>
            <w:pPr>
              <w:pStyle w:val="TableContents"/>
              <w:bidi w:val="0"/>
              <w:spacing w:before="0" w:after="283"/>
              <w:jc w:val="left"/>
              <w:rPr>
                <w:sz w:val="4"/>
                <w:szCs w:val="4"/>
              </w:rPr>
            </w:pPr>
            <w:r>
              <w:rPr>
                <w:sz w:val="4"/>
                <w:szCs w:val="4"/>
              </w:rPr>
            </w:r>
          </w:p>
        </w:tc>
      </w:tr>
      <w:tr>
        <w:trPr/>
        <w:tc>
          <w:tcPr>
            <w:tcW w:w="2452"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Peter W. Quigley</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2196" w:type="dxa"/>
            <w:tcBorders>
              <w:bottom w:val="single" w:sz="6" w:space="0" w:color="7F7F7F"/>
            </w:tcBorders>
            <w:tcMar>
              <w:bottom w:w="80" w:type="dxa"/>
            </w:tcMar>
            <w:vAlign w:val="center"/>
          </w:tcPr>
          <w:p>
            <w:pPr>
              <w:pStyle w:val="TableContents"/>
              <w:bidi w:val="0"/>
              <w:spacing w:before="0" w:after="283"/>
              <w:jc w:val="right"/>
              <w:rPr/>
            </w:pPr>
            <w:r>
              <w:rPr/>
              <w:t>465,176</w:t>
            </w:r>
          </w:p>
        </w:tc>
        <w:tc>
          <w:tcPr>
            <w:tcW w:w="256" w:type="dxa"/>
            <w:tcBorders>
              <w:bottom w:val="single" w:sz="6" w:space="0" w:color="7F7F7F"/>
            </w:tcBorders>
            <w:tcMar>
              <w:bottom w:w="8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55" w:type="dxa"/>
            <w:tcBorders>
              <w:bottom w:val="single" w:sz="6" w:space="0" w:color="7F7F7F"/>
            </w:tcBorders>
            <w:tcMar>
              <w:bottom w:w="80" w:type="dxa"/>
            </w:tcMar>
            <w:vAlign w:val="center"/>
          </w:tcPr>
          <w:p>
            <w:pPr>
              <w:pStyle w:val="TableContents"/>
              <w:bidi w:val="0"/>
              <w:spacing w:before="0" w:after="283"/>
              <w:jc w:val="center"/>
              <w:rPr/>
            </w:pPr>
            <w:r>
              <w:rPr/>
              <w: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317" w:type="dxa"/>
            <w:tcBorders>
              <w:bottom w:val="single" w:sz="6" w:space="0" w:color="7F7F7F"/>
            </w:tcBorders>
            <w:tcMar>
              <w:bottom w:w="80" w:type="dxa"/>
            </w:tcMar>
            <w:vAlign w:val="center"/>
          </w:tcPr>
          <w:p>
            <w:pPr>
              <w:pStyle w:val="TableContents"/>
              <w:bidi w:val="0"/>
              <w:spacing w:before="0" w:after="283"/>
              <w:jc w:val="left"/>
              <w:rPr/>
            </w:pPr>
            <w:r>
              <w:rPr/>
              <w:t> </w:t>
            </w:r>
          </w:p>
        </w:tc>
        <w:tc>
          <w:tcPr>
            <w:tcW w:w="2013" w:type="dxa"/>
            <w:tcBorders>
              <w:bottom w:val="single" w:sz="6" w:space="0" w:color="7F7F7F"/>
            </w:tcBorders>
            <w:tcMar>
              <w:bottom w:w="80" w:type="dxa"/>
            </w:tcMar>
            <w:vAlign w:val="center"/>
          </w:tcPr>
          <w:p>
            <w:pPr>
              <w:pStyle w:val="TableContents"/>
              <w:bidi w:val="0"/>
              <w:spacing w:before="0" w:after="283"/>
              <w:jc w:val="right"/>
              <w:rPr/>
            </w:pPr>
            <w:r>
              <w:rPr/>
              <w:t>100</w:t>
            </w:r>
          </w:p>
        </w:tc>
        <w:tc>
          <w:tcPr>
            <w:tcW w:w="68" w:type="dxa"/>
            <w:tcBorders>
              <w:bottom w:val="single" w:sz="6" w:space="0" w:color="7F7F7F"/>
            </w:tcBorders>
            <w:tcMar>
              <w:bottom w:w="80" w:type="dxa"/>
            </w:tcMar>
            <w:vAlign w:val="center"/>
          </w:tcPr>
          <w:p>
            <w:pPr>
              <w:pStyle w:val="TableContents"/>
              <w:bidi w:val="0"/>
              <w:spacing w:before="0" w:after="283"/>
              <w:jc w:val="left"/>
              <w:rPr/>
            </w:pPr>
            <w:r>
              <w:rPr/>
              <w:t> </w:t>
            </w:r>
          </w:p>
        </w:tc>
        <w:tc>
          <w:tcPr>
            <w:tcW w:w="136" w:type="dxa"/>
            <w:tcBorders>
              <w:bottom w:val="single" w:sz="6" w:space="0" w:color="7F7F7F"/>
            </w:tcBorders>
            <w:tcMar>
              <w:bottom w:w="28" w:type="dxa"/>
            </w:tcMar>
            <w:vAlign w:val="center"/>
          </w:tcPr>
          <w:p>
            <w:pPr>
              <w:pStyle w:val="TableContents"/>
              <w:bidi w:val="0"/>
              <w:spacing w:before="0" w:after="283"/>
              <w:jc w:val="left"/>
              <w:rPr/>
            </w:pPr>
            <w:r>
              <w:rPr/>
              <w:t>  </w:t>
            </w:r>
          </w:p>
        </w:tc>
        <w:tc>
          <w:tcPr>
            <w:tcW w:w="1218" w:type="dxa"/>
            <w:tcBorders>
              <w:bottom w:val="single" w:sz="6" w:space="0" w:color="7F7F7F"/>
            </w:tcBorders>
            <w:tcMar>
              <w:bottom w:w="80" w:type="dxa"/>
            </w:tcMar>
            <w:vAlign w:val="center"/>
          </w:tcPr>
          <w:p>
            <w:pPr>
              <w:pStyle w:val="TableContents"/>
              <w:bidi w:val="0"/>
              <w:spacing w:before="0" w:after="283"/>
              <w:jc w:val="center"/>
              <w:rPr/>
            </w:pPr>
            <w:r>
              <w:rPr/>
              <w:t>*</w:t>
            </w:r>
          </w:p>
        </w:tc>
      </w:tr>
      <w:tr>
        <w:trPr/>
        <w:tc>
          <w:tcPr>
            <w:tcW w:w="2452" w:type="dxa"/>
            <w:tcBorders/>
            <w:vAlign w:val="center"/>
          </w:tcPr>
          <w:p>
            <w:pPr>
              <w:pStyle w:val="TableContents"/>
              <w:bidi w:val="0"/>
              <w:spacing w:before="0" w:after="283"/>
              <w:jc w:val="left"/>
              <w:rPr>
                <w:sz w:val="4"/>
                <w:szCs w:val="4"/>
              </w:rPr>
            </w:pPr>
            <w:r>
              <w:rPr>
                <w:sz w:val="4"/>
                <w:szCs w:val="4"/>
              </w:rPr>
            </w:r>
          </w:p>
        </w:tc>
        <w:tc>
          <w:tcPr>
            <w:tcW w:w="2706" w:type="dxa"/>
            <w:gridSpan w:val="4"/>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2518" w:type="dxa"/>
            <w:gridSpan w:val="4"/>
            <w:tcBorders/>
            <w:vAlign w:val="center"/>
          </w:tcPr>
          <w:p>
            <w:pPr>
              <w:pStyle w:val="TableContents"/>
              <w:bidi w:val="0"/>
              <w:spacing w:before="0" w:after="283"/>
              <w:jc w:val="left"/>
              <w:rPr>
                <w:sz w:val="4"/>
                <w:szCs w:val="4"/>
              </w:rPr>
            </w:pPr>
            <w:r>
              <w:rPr>
                <w:sz w:val="4"/>
                <w:szCs w:val="4"/>
              </w:rPr>
            </w:r>
          </w:p>
        </w:tc>
        <w:tc>
          <w:tcPr>
            <w:tcW w:w="1354" w:type="dxa"/>
            <w:gridSpan w:val="2"/>
            <w:tcBorders/>
            <w:vAlign w:val="center"/>
          </w:tcPr>
          <w:p>
            <w:pPr>
              <w:pStyle w:val="TableContents"/>
              <w:bidi w:val="0"/>
              <w:spacing w:before="0" w:after="283"/>
              <w:jc w:val="left"/>
              <w:rPr>
                <w:sz w:val="4"/>
                <w:szCs w:val="4"/>
              </w:rPr>
            </w:pPr>
            <w:r>
              <w:rPr>
                <w:sz w:val="4"/>
                <w:szCs w:val="4"/>
              </w:rPr>
            </w:r>
          </w:p>
        </w:tc>
      </w:tr>
      <w:tr>
        <w:trPr/>
        <w:tc>
          <w:tcPr>
            <w:tcW w:w="2452"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All directors, director nominees, and executive</w:t>
              <w:br/>
              <w:t>officers as a Group (20 persons)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 w:type="dxa"/>
            <w:tcBorders>
              <w:bottom w:val="single" w:sz="6" w:space="0" w:color="7F7F7F"/>
            </w:tcBorders>
            <w:tcMar>
              <w:bottom w:w="80" w:type="dxa"/>
            </w:tcMar>
            <w:vAlign w:val="center"/>
          </w:tcPr>
          <w:p>
            <w:pPr>
              <w:pStyle w:val="TableContents"/>
              <w:bidi w:val="0"/>
              <w:spacing w:before="0" w:after="283"/>
              <w:jc w:val="left"/>
              <w:rPr/>
            </w:pPr>
            <w:r>
              <w:rPr/>
              <w:t> </w:t>
            </w:r>
          </w:p>
        </w:tc>
        <w:tc>
          <w:tcPr>
            <w:tcW w:w="2196" w:type="dxa"/>
            <w:tcBorders>
              <w:bottom w:val="single" w:sz="6" w:space="0" w:color="7F7F7F"/>
            </w:tcBorders>
            <w:tcMar>
              <w:bottom w:w="80" w:type="dxa"/>
            </w:tcMar>
            <w:vAlign w:val="center"/>
          </w:tcPr>
          <w:p>
            <w:pPr>
              <w:pStyle w:val="TableContents"/>
              <w:bidi w:val="0"/>
              <w:spacing w:before="0" w:after="283"/>
              <w:jc w:val="right"/>
              <w:rPr/>
            </w:pPr>
            <w:r>
              <w:rPr/>
              <w:t>1,805,710</w:t>
            </w:r>
          </w:p>
        </w:tc>
        <w:tc>
          <w:tcPr>
            <w:tcW w:w="256" w:type="dxa"/>
            <w:tcBorders>
              <w:bottom w:val="single" w:sz="6" w:space="0" w:color="7F7F7F"/>
            </w:tcBorders>
            <w:tcMar>
              <w:bottom w:w="8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55" w:type="dxa"/>
            <w:tcBorders>
              <w:bottom w:val="single" w:sz="6" w:space="0" w:color="7F7F7F"/>
            </w:tcBorders>
            <w:tcMar>
              <w:bottom w:w="80" w:type="dxa"/>
            </w:tcMar>
            <w:vAlign w:val="center"/>
          </w:tcPr>
          <w:p>
            <w:pPr>
              <w:pStyle w:val="TableContents"/>
              <w:bidi w:val="0"/>
              <w:spacing w:before="0" w:after="283"/>
              <w:jc w:val="center"/>
              <w:rPr/>
            </w:pPr>
            <w:r>
              <w:rPr/>
              <w:t>5.4</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317" w:type="dxa"/>
            <w:tcBorders>
              <w:bottom w:val="single" w:sz="6" w:space="0" w:color="7F7F7F"/>
            </w:tcBorders>
            <w:tcMar>
              <w:bottom w:w="80" w:type="dxa"/>
            </w:tcMar>
            <w:vAlign w:val="center"/>
          </w:tcPr>
          <w:p>
            <w:pPr>
              <w:pStyle w:val="TableContents"/>
              <w:bidi w:val="0"/>
              <w:spacing w:before="0" w:after="283"/>
              <w:jc w:val="left"/>
              <w:rPr/>
            </w:pPr>
            <w:r>
              <w:rPr/>
              <w:t> </w:t>
            </w:r>
          </w:p>
        </w:tc>
        <w:tc>
          <w:tcPr>
            <w:tcW w:w="2013" w:type="dxa"/>
            <w:tcBorders>
              <w:bottom w:val="single" w:sz="6" w:space="0" w:color="7F7F7F"/>
            </w:tcBorders>
            <w:tcMar>
              <w:bottom w:w="80" w:type="dxa"/>
            </w:tcMar>
            <w:vAlign w:val="center"/>
          </w:tcPr>
          <w:p>
            <w:pPr>
              <w:pStyle w:val="TableContents"/>
              <w:bidi w:val="0"/>
              <w:spacing w:before="0" w:after="283"/>
              <w:jc w:val="right"/>
              <w:rPr/>
            </w:pPr>
            <w:r>
              <w:rPr/>
              <w:t>700</w:t>
            </w:r>
          </w:p>
        </w:tc>
        <w:tc>
          <w:tcPr>
            <w:tcW w:w="68" w:type="dxa"/>
            <w:tcBorders>
              <w:bottom w:val="single" w:sz="6" w:space="0" w:color="7F7F7F"/>
            </w:tcBorders>
            <w:tcMar>
              <w:bottom w:w="80" w:type="dxa"/>
            </w:tcMar>
            <w:vAlign w:val="center"/>
          </w:tcPr>
          <w:p>
            <w:pPr>
              <w:pStyle w:val="TableContents"/>
              <w:bidi w:val="0"/>
              <w:spacing w:before="0" w:after="283"/>
              <w:jc w:val="left"/>
              <w:rPr/>
            </w:pPr>
            <w:r>
              <w:rPr/>
              <w:t> </w:t>
            </w:r>
          </w:p>
        </w:tc>
        <w:tc>
          <w:tcPr>
            <w:tcW w:w="136" w:type="dxa"/>
            <w:tcBorders>
              <w:bottom w:val="single" w:sz="6" w:space="0" w:color="7F7F7F"/>
            </w:tcBorders>
            <w:tcMar>
              <w:bottom w:w="28" w:type="dxa"/>
            </w:tcMar>
            <w:vAlign w:val="center"/>
          </w:tcPr>
          <w:p>
            <w:pPr>
              <w:pStyle w:val="TableContents"/>
              <w:bidi w:val="0"/>
              <w:spacing w:before="0" w:after="283"/>
              <w:jc w:val="left"/>
              <w:rPr/>
            </w:pPr>
            <w:r>
              <w:rPr/>
              <w:t>  </w:t>
            </w:r>
          </w:p>
        </w:tc>
        <w:tc>
          <w:tcPr>
            <w:tcW w:w="1218" w:type="dxa"/>
            <w:tcBorders>
              <w:bottom w:val="single" w:sz="6" w:space="0" w:color="7F7F7F"/>
            </w:tcBorders>
            <w:tcMar>
              <w:bottom w:w="80" w:type="dxa"/>
            </w:tcMar>
            <w:vAlign w:val="center"/>
          </w:tcPr>
          <w:p>
            <w:pPr>
              <w:pStyle w:val="TableContents"/>
              <w:bidi w:val="0"/>
              <w:spacing w:before="0" w:after="283"/>
              <w:jc w:val="center"/>
              <w:rPr/>
            </w:pPr>
            <w:r>
              <w:rPr/>
              <w:t>0.0</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(1)</w:t>
            </w:r>
          </w:p>
        </w:tc>
        <w:tc>
          <w:tcPr>
            <w:tcW w:w="9967" w:type="dxa"/>
            <w:tcBorders/>
            <w:vAlign w:val="center"/>
          </w:tcPr>
          <w:p>
            <w:pPr>
              <w:pStyle w:val="TableContents"/>
              <w:bidi w:val="0"/>
              <w:spacing w:before="0" w:after="0"/>
              <w:jc w:val="left"/>
              <w:rPr>
                <w:rFonts w:ascii="arial" w:hAnsi="arial"/>
                <w:sz w:val="14"/>
              </w:rPr>
            </w:pPr>
            <w:r>
              <w:rPr>
                <w:rFonts w:ascii="arial" w:hAnsi="arial"/>
                <w:sz w:val="14"/>
              </w:rPr>
              <w:t xml:space="preserve">This information is based on the Schedule 13D/A filed with the SEC on January 30, 2026, on behalf of the Terence E. Adderley Revocable Trust K (“Trust K”) and the three co-trustees of Trust K. On January 9, 2026, Trust K entered into a Share Purchase Agreement with Hunt, pursuant to which Trust K agreed to sell to Hunt 3,039,940 shares of Class B Stock (representing all of the shares of Class B Stock beneficially owned by Trust K). The Share Sale closed on January 30, 2026, resulting in Hunt becoming the controlling shareholder of Kelly with 92.2% of the Class B Common Stock (see also the Schedule 13D filed with the SEC on January 30, 2026, on behalf of Hunt). As a result of the sale, Trust K, and Trustees, Mr. Larsen and Mr. Parfet no longer beneficially own any shares of Class B Stock. After completion of the Share Sale, Trustee Mr. Curoe no longer is deemed the beneficial owner of Trust K’s shares of Class B Stock, but he may continue to be deemed the beneficial owner of an additional 42,825 shares of Class B Stock held by trusts other than Trust K where Mr. Curoe acts as trustee or co-trustee, including ten trusts holding 100 shares of Class B Stock each, and one trust holding 41,825 shares of Class B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(2)</w:t>
            </w:r>
          </w:p>
        </w:tc>
        <w:tc>
          <w:tcPr>
            <w:tcW w:w="9915" w:type="dxa"/>
            <w:tcBorders/>
            <w:vAlign w:val="center"/>
          </w:tcPr>
          <w:p>
            <w:pPr>
              <w:pStyle w:val="TableContents"/>
              <w:bidi w:val="0"/>
              <w:spacing w:before="0" w:after="0"/>
              <w:jc w:val="left"/>
              <w:rPr>
                <w:rFonts w:ascii="arial" w:hAnsi="arial"/>
                <w:sz w:val="14"/>
              </w:rPr>
            </w:pPr>
            <w:r>
              <w:rPr>
                <w:rFonts w:ascii="arial" w:hAnsi="arial"/>
                <w:sz w:val="14"/>
              </w:rPr>
              <w:t xml:space="preserve">Includes 64,833 shares for Mr. Cubbin, 38,757 shares for Ms. Duggirala, and 37,304 shares for Ms. Murphy indirectly held in the Company’s Non-Employee Directors Deferred Compensation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(3)</w:t>
            </w:r>
          </w:p>
        </w:tc>
        <w:tc>
          <w:tcPr>
            <w:tcW w:w="9913" w:type="dxa"/>
            <w:tcBorders/>
            <w:vAlign w:val="center"/>
          </w:tcPr>
          <w:p>
            <w:pPr>
              <w:pStyle w:val="TableContents"/>
              <w:bidi w:val="0"/>
              <w:spacing w:before="0" w:after="0"/>
              <w:jc w:val="left"/>
              <w:rPr>
                <w:rFonts w:ascii="arial" w:hAnsi="arial"/>
                <w:sz w:val="14"/>
              </w:rPr>
            </w:pPr>
            <w:r>
              <w:rPr>
                <w:rFonts w:ascii="arial" w:hAnsi="arial"/>
                <w:sz w:val="14"/>
              </w:rPr>
              <w:t xml:space="preserve">Messrs. James Christopher Hunt, James K. Hunt and Edward Escudero, and Ms. Angela Brock-Kyle were appointed to the Company’s Board of Directors effective as of January 30, 2026. </w:t>
            </w:r>
          </w:p>
        </w:tc>
      </w:tr>
    </w:tbl>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305"/>
        <w:gridCol w:w="4640"/>
      </w:tblGrid>
      <w:tr>
        <w:trPr/>
        <w:tc>
          <w:tcPr>
            <w:tcW w:w="305" w:type="dxa"/>
            <w:tcBorders/>
            <w:vAlign w:val="center"/>
          </w:tcPr>
          <w:p>
            <w:pPr>
              <w:pStyle w:val="TableContents"/>
              <w:bidi w:val="0"/>
              <w:spacing w:before="0" w:after="283"/>
              <w:jc w:val="left"/>
              <w:rPr/>
            </w:pPr>
            <w:r>
              <w:rPr/>
              <w:t>(4)</w:t>
            </w:r>
          </w:p>
        </w:tc>
        <w:tc>
          <w:tcPr>
            <w:tcW w:w="4640" w:type="dxa"/>
            <w:tcBorders/>
            <w:vAlign w:val="center"/>
          </w:tcPr>
          <w:p>
            <w:pPr>
              <w:pStyle w:val="TableContents"/>
              <w:bidi w:val="0"/>
              <w:spacing w:before="0" w:after="0"/>
              <w:jc w:val="left"/>
              <w:rPr>
                <w:rFonts w:ascii="arial" w:hAnsi="arial"/>
                <w:sz w:val="14"/>
              </w:rPr>
            </w:pPr>
            <w:r>
              <w:rPr>
                <w:rFonts w:ascii="arial" w:hAnsi="arial"/>
                <w:sz w:val="14"/>
              </w:rPr>
              <w:t xml:space="preserve">Ms. Browning separated from the company effective as of March 6, 2026. </w:t>
            </w:r>
          </w:p>
        </w:tc>
      </w:tr>
    </w:tbl>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172"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56" descr=""/>
                          <pic:cNvPicPr>
                            <a:picLocks noChangeAspect="1" noChangeArrowheads="1"/>
                          </pic:cNvPicPr>
                        </pic:nvPicPr>
                        <pic:blipFill>
                          <a:blip r:embed="rId163"/>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sz w:val="36"/>
        </w:rPr>
      </w:pPr>
      <w:bookmarkStart w:id="39" w:name="toc37355_40"/>
      <w:bookmarkEnd w:id="39"/>
      <w:r>
        <w:rPr>
          <w:rFonts w:ascii="arial" w:hAnsi="arial"/>
          <w:b/>
          <w:sz w:val="36"/>
        </w:rPr>
        <w:t xml:space="preserve">Proposal 2 – Advisory Vote to Approve the Company’s Executive Compensation </w:t>
      </w:r>
    </w:p>
    <w:p>
      <w:pPr>
        <w:pStyle w:val="TextBody"/>
        <w:bidi w:val="0"/>
        <w:spacing w:before="360" w:after="0"/>
        <w:jc w:val="left"/>
        <w:rPr>
          <w:rFonts w:ascii="arial" w:hAnsi="arial"/>
          <w:sz w:val="18"/>
        </w:rPr>
      </w:pPr>
      <w:r>
        <w:rPr>
          <w:rFonts w:ascii="arial" w:hAnsi="arial"/>
          <w:sz w:val="18"/>
        </w:rPr>
        <w:t xml:space="preserve">As described in the following Compensation Discussion and Analysis, our executive compensation programs are designed to align the interests of our executive officers with those of our shareholders by tying a significant portion of the compensation they receive to Company performance, and by providing a competitive level of compensation in order to attract, retain, and reward executive officers who are critical to the long-term success of our business. Under these programs, our named executive officers are rewarded for the Company’s financial performance, individual performance, and long-term value creation, as well as to facilitate retention, and reflect market realities. Please read the Compensation Discussion and Analysis for additional details about our executive compensation programs, including information about the fiscal year 2025 compensation of our named executive officers. </w:t>
      </w:r>
    </w:p>
    <w:p>
      <w:pPr>
        <w:pStyle w:val="TextBody"/>
        <w:bidi w:val="0"/>
        <w:spacing w:before="80" w:after="0"/>
        <w:jc w:val="left"/>
        <w:rPr>
          <w:rFonts w:ascii="arial" w:hAnsi="arial"/>
          <w:sz w:val="18"/>
        </w:rPr>
      </w:pPr>
      <w:r>
        <w:rPr>
          <w:rFonts w:ascii="arial" w:hAnsi="arial"/>
          <w:sz w:val="18"/>
        </w:rPr>
        <w:t xml:space="preserve">As required by Section 14A of the Exchange Act, this proposal, commonly referred to as a “say-on-pay” proposal, seeks a shareholder advisory vote on our named executive officers’ compensation, as disclosed in this Proxy Statement pursuant to Item 402 of Regulation S-K and in the Compensation Discussion and Analysis, through the following resolution: </w:t>
      </w:r>
    </w:p>
    <w:p>
      <w:pPr>
        <w:pStyle w:val="TextBody"/>
        <w:bidi w:val="0"/>
        <w:spacing w:before="80" w:after="0"/>
        <w:jc w:val="left"/>
        <w:rPr/>
      </w:pPr>
      <w:r>
        <w:rPr/>
        <w:t>“</w:t>
      </w:r>
      <w:r>
        <w:rPr>
          <w:rFonts w:ascii="arial" w:hAnsi="arial"/>
          <w:sz w:val="18"/>
        </w:rPr>
        <w:t xml:space="preserve">RESOLVED, that the Company’s shareholders approve, on an advisory basis, the compensation of the named executive officers, as disclosed in the Company’s Proxy Statement for the 2026 Annual Meeting of Shareholders pursuant to the compensation disclosure rules of the SEC, including the Compensation Discussion and Analysis, the 2025 Summary Compensation Table, and the other related tables and disclosure.” </w:t>
      </w:r>
    </w:p>
    <w:p>
      <w:pPr>
        <w:pStyle w:val="TextBody"/>
        <w:bidi w:val="0"/>
        <w:spacing w:before="80" w:after="0"/>
        <w:jc w:val="left"/>
        <w:rPr>
          <w:rFonts w:ascii="arial" w:hAnsi="arial"/>
          <w:sz w:val="18"/>
        </w:rPr>
      </w:pPr>
      <w:r>
        <w:rPr>
          <w:rFonts w:ascii="arial" w:hAnsi="arial"/>
          <w:sz w:val="18"/>
        </w:rPr>
        <w:t xml:space="preserve">The say-on-pay vote is advisory and, therefore, not binding on the Company. Our Board of Directors and our Compensation and Talent Management Committee value the opinions of our shareholders and consider the result of the advisory vote in designing and evaluating our executive compensation programs. </w:t>
      </w:r>
    </w:p>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44 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173"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57" descr=""/>
                          <pic:cNvPicPr>
                            <a:picLocks noChangeAspect="1" noChangeArrowheads="1"/>
                          </pic:cNvPicPr>
                        </pic:nvPicPr>
                        <pic:blipFill>
                          <a:blip r:embed="rId164"/>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sz w:val="36"/>
        </w:rPr>
      </w:pPr>
      <w:bookmarkStart w:id="40" w:name="toc37355_41"/>
      <w:bookmarkEnd w:id="40"/>
      <w:r>
        <w:rPr>
          <w:rFonts w:ascii="arial" w:hAnsi="arial"/>
          <w:b/>
          <w:sz w:val="36"/>
        </w:rPr>
        <w:t xml:space="preserve">Compensation Discussion and Analysis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3110230" cy="9972040"/>
                <wp:effectExtent l="0" t="0" r="0" b="0"/>
                <wp:wrapSquare wrapText="right"/>
                <wp:docPr id="174" name="Frame1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p>
                            <w:pPr>
                              <w:pStyle w:val="TextBody"/>
                              <w:bidi w:val="0"/>
                              <w:spacing w:before="0" w:after="0"/>
                              <w:jc w:val="left"/>
                              <w:rPr>
                                <w:rFonts w:ascii="arial" w:hAnsi="arial"/>
                                <w:sz w:val="18"/>
                              </w:rPr>
                            </w:pPr>
                            <w:r>
                              <w:rPr>
                                <w:rFonts w:ascii="arial" w:hAnsi="arial"/>
                                <w:sz w:val="18"/>
                              </w:rPr>
                              <w:t xml:space="preserve">The Compensation Discussion and Analysis section of this Proxy Statement provides an overview of our executive compensation philosophy and objectives. This section describes the material elements of our executive compensation programs, the compensation decisions the Compensation and Talent Management Committee (the “Committee”) made under those programs, key factors considered, and details of the compensation paid to our named executive officers. </w:t>
                            </w:r>
                          </w:p>
                          <w:p>
                            <w:pPr>
                              <w:pStyle w:val="TextBody"/>
                              <w:bidi w:val="0"/>
                              <w:spacing w:before="0" w:after="0"/>
                              <w:jc w:val="left"/>
                              <w:rPr/>
                            </w:pPr>
                            <w:r>
                              <w:rPr/>
                              <w:t> </w:t>
                            </w:r>
                          </w:p>
                          <w:tbl>
                            <w:tblPr>
                              <w:tblW w:w="8487" w:type="dxa"/>
                              <w:jc w:val="left"/>
                              <w:tblInd w:w="0" w:type="dxa"/>
                              <w:shd w:fill="EDEDED" w:val="clear"/>
                              <w:tblLayout w:type="fixed"/>
                              <w:tblCellMar>
                                <w:top w:w="0" w:type="dxa"/>
                                <w:left w:w="0" w:type="dxa"/>
                                <w:bottom w:w="0" w:type="dxa"/>
                                <w:right w:w="0" w:type="dxa"/>
                              </w:tblCellMar>
                            </w:tblPr>
                            <w:tblGrid>
                              <w:gridCol w:w="275"/>
                              <w:gridCol w:w="60"/>
                              <w:gridCol w:w="1987"/>
                              <w:gridCol w:w="92"/>
                              <w:gridCol w:w="35"/>
                              <w:gridCol w:w="92"/>
                              <w:gridCol w:w="5371"/>
                              <w:gridCol w:w="60"/>
                              <w:gridCol w:w="515"/>
                            </w:tblGrid>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987"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sz w:val="4"/>
                                      <w:szCs w:val="4"/>
                                    </w:rPr>
                                  </w:pPr>
                                  <w:r>
                                    <w:rPr>
                                      <w:sz w:val="4"/>
                                      <w:szCs w:val="4"/>
                                    </w:rPr>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sz w:val="4"/>
                                      <w:szCs w:val="4"/>
                                    </w:rPr>
                                  </w:pPr>
                                  <w:r>
                                    <w:rPr>
                                      <w:sz w:val="4"/>
                                      <w:szCs w:val="4"/>
                                    </w:rPr>
                                  </w:r>
                                </w:p>
                              </w:tc>
                              <w:tc>
                                <w:tcPr>
                                  <w:tcW w:w="5371"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7637" w:type="dxa"/>
                                  <w:gridSpan w:val="6"/>
                                  <w:tcBorders/>
                                  <w:shd w:fill="EDEDED" w:val="clear"/>
                                  <w:vAlign w:val="center"/>
                                </w:tcPr>
                                <w:p>
                                  <w:pPr>
                                    <w:pStyle w:val="TableContents"/>
                                    <w:bidi w:val="0"/>
                                    <w:spacing w:before="0" w:after="283"/>
                                    <w:jc w:val="left"/>
                                    <w:rPr>
                                      <w:sz w:val="4"/>
                                      <w:szCs w:val="4"/>
                                    </w:rPr>
                                  </w:pPr>
                                  <w:r>
                                    <w:rPr>
                                      <w:sz w:val="4"/>
                                      <w:szCs w:val="4"/>
                                    </w:rPr>
                                  </w:r>
                                </w:p>
                              </w:tc>
                              <w:tc>
                                <w:tcPr>
                                  <w:tcW w:w="57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bookmarkStart w:id="41" w:name="toc37355_42"/>
                                  <w:bookmarkEnd w:id="41"/>
                                </w:p>
                              </w:tc>
                              <w:tc>
                                <w:tcPr>
                                  <w:tcW w:w="7577" w:type="dxa"/>
                                  <w:gridSpan w:val="5"/>
                                  <w:tcBorders/>
                                  <w:shd w:fill="EDEDED" w:val="clear"/>
                                  <w:vAlign w:val="center"/>
                                </w:tcPr>
                                <w:p>
                                  <w:pPr>
                                    <w:pStyle w:val="TableContents"/>
                                    <w:bidi w:val="0"/>
                                    <w:spacing w:before="0" w:after="283"/>
                                    <w:jc w:val="left"/>
                                    <w:rPr>
                                      <w:b/>
                                    </w:rPr>
                                  </w:pPr>
                                  <w:bookmarkStart w:id="42" w:name="txa2837686_201"/>
                                  <w:bookmarkEnd w:id="42"/>
                                  <w:r>
                                    <w:rPr>
                                      <w:b/>
                                    </w:rPr>
                                    <w:t>2025 Named Executive Officers</w:t>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pPr>
                                  <w:r>
                                    <w:rPr/>
                                    <w:t>  </w:t>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7637" w:type="dxa"/>
                                  <w:gridSpan w:val="6"/>
                                  <w:tcBorders/>
                                  <w:shd w:fill="EDEDED" w:val="clear"/>
                                  <w:vAlign w:val="center"/>
                                </w:tcPr>
                                <w:p>
                                  <w:pPr>
                                    <w:pStyle w:val="TableContents"/>
                                    <w:bidi w:val="0"/>
                                    <w:spacing w:before="0" w:after="283"/>
                                    <w:jc w:val="left"/>
                                    <w:rPr>
                                      <w:sz w:val="4"/>
                                      <w:szCs w:val="4"/>
                                    </w:rPr>
                                  </w:pPr>
                                  <w:r>
                                    <w:rPr>
                                      <w:sz w:val="4"/>
                                      <w:szCs w:val="4"/>
                                    </w:rPr>
                                  </w:r>
                                </w:p>
                              </w:tc>
                              <w:tc>
                                <w:tcPr>
                                  <w:tcW w:w="57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7577" w:type="dxa"/>
                                  <w:gridSpan w:val="5"/>
                                  <w:tcBorders/>
                                  <w:shd w:fill="EDEDED" w:val="clear"/>
                                  <w:vAlign w:val="center"/>
                                </w:tcPr>
                                <w:p>
                                  <w:pPr>
                                    <w:pStyle w:val="TableContents"/>
                                    <w:bidi w:val="0"/>
                                    <w:spacing w:before="0" w:after="283"/>
                                    <w:jc w:val="left"/>
                                    <w:rPr/>
                                  </w:pPr>
                                  <w:r>
                                    <w:rPr/>
                                    <w:t>Our named executive officers for 2025, as defined by the SEC, were as follows:</w:t>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2047" w:type="dxa"/>
                                  <w:gridSpan w:val="2"/>
                                  <w:tcBorders/>
                                  <w:shd w:fill="EDEDED" w:val="clear"/>
                                  <w:vAlign w:val="center"/>
                                </w:tcPr>
                                <w:p>
                                  <w:pPr>
                                    <w:pStyle w:val="TableContents"/>
                                    <w:bidi w:val="0"/>
                                    <w:spacing w:before="0" w:after="283"/>
                                    <w:jc w:val="left"/>
                                    <w:rPr>
                                      <w:sz w:val="4"/>
                                      <w:szCs w:val="4"/>
                                    </w:rPr>
                                  </w:pPr>
                                  <w:r>
                                    <w:rPr>
                                      <w:sz w:val="4"/>
                                      <w:szCs w:val="4"/>
                                    </w:rPr>
                                  </w:r>
                                </w:p>
                              </w:tc>
                              <w:tc>
                                <w:tcPr>
                                  <w:tcW w:w="127" w:type="dxa"/>
                                  <w:gridSpan w:val="2"/>
                                  <w:tcBorders/>
                                  <w:shd w:fill="EDEDED" w:val="clear"/>
                                  <w:vAlign w:val="center"/>
                                </w:tcPr>
                                <w:p>
                                  <w:pPr>
                                    <w:pStyle w:val="TableContents"/>
                                    <w:bidi w:val="0"/>
                                    <w:spacing w:before="0" w:after="283"/>
                                    <w:jc w:val="left"/>
                                    <w:rPr>
                                      <w:sz w:val="4"/>
                                      <w:szCs w:val="4"/>
                                    </w:rPr>
                                  </w:pPr>
                                  <w:r>
                                    <w:rPr>
                                      <w:sz w:val="4"/>
                                      <w:szCs w:val="4"/>
                                    </w:rPr>
                                  </w:r>
                                </w:p>
                              </w:tc>
                              <w:tc>
                                <w:tcPr>
                                  <w:tcW w:w="5463" w:type="dxa"/>
                                  <w:gridSpan w:val="2"/>
                                  <w:tcBorders/>
                                  <w:shd w:fill="EDEDED" w:val="clear"/>
                                  <w:vAlign w:val="center"/>
                                </w:tcPr>
                                <w:p>
                                  <w:pPr>
                                    <w:pStyle w:val="TableContents"/>
                                    <w:bidi w:val="0"/>
                                    <w:spacing w:before="0" w:after="283"/>
                                    <w:jc w:val="left"/>
                                    <w:rPr>
                                      <w:sz w:val="4"/>
                                      <w:szCs w:val="4"/>
                                    </w:rPr>
                                  </w:pPr>
                                  <w:r>
                                    <w:rPr>
                                      <w:sz w:val="4"/>
                                      <w:szCs w:val="4"/>
                                    </w:rPr>
                                  </w:r>
                                </w:p>
                              </w:tc>
                              <w:tc>
                                <w:tcPr>
                                  <w:tcW w:w="57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pPr>
                                  <w:r>
                                    <w:rPr/>
                                    <w:drawing>
                                      <wp:inline distT="0" distB="0" distL="0" distR="0">
                                        <wp:extent cx="777240" cy="777240"/>
                                        <wp:effectExtent l="0" t="0" r="0" b="0"/>
                                        <wp:docPr id="175"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58" descr=""/>
                                                <pic:cNvPicPr>
                                                  <a:picLocks noChangeAspect="1" noChangeArrowheads="1"/>
                                                </pic:cNvPicPr>
                                              </pic:nvPicPr>
                                              <pic:blipFill>
                                                <a:blip r:embed="rId165"/>
                                                <a:stretch>
                                                  <a:fillRect/>
                                                </a:stretch>
                                              </pic:blipFill>
                                              <pic:spPr bwMode="auto">
                                                <a:xfrm>
                                                  <a:off x="0" y="0"/>
                                                  <a:ext cx="777240" cy="777240"/>
                                                </a:xfrm>
                                                <a:prstGeom prst="rect">
                                                  <a:avLst/>
                                                </a:prstGeom>
                                              </pic:spPr>
                                            </pic:pic>
                                          </a:graphicData>
                                        </a:graphic>
                                      </wp:inline>
                                    </w:drawing>
                                  </w:r>
                                  <w:r>
                                    <w:rPr/>
                                    <w:t xml:space="preserve"> </w:t>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0"/>
                                    <w:jc w:val="left"/>
                                    <w:rPr>
                                      <w:rFonts w:ascii="arial" w:hAnsi="arial"/>
                                      <w:b/>
                                      <w:sz w:val="18"/>
                                    </w:rPr>
                                  </w:pPr>
                                  <w:r>
                                    <w:rPr>
                                      <w:rFonts w:ascii="arial" w:hAnsi="arial"/>
                                      <w:b/>
                                      <w:sz w:val="18"/>
                                    </w:rPr>
                                    <w:t>Christopher D. Layden</w:t>
                                  </w:r>
                                </w:p>
                                <w:p>
                                  <w:pPr>
                                    <w:pStyle w:val="TableContents"/>
                                    <w:bidi w:val="0"/>
                                    <w:spacing w:before="0" w:after="20"/>
                                    <w:jc w:val="left"/>
                                    <w:rPr>
                                      <w:rFonts w:ascii="arial" w:hAnsi="arial"/>
                                      <w:sz w:val="18"/>
                                    </w:rPr>
                                  </w:pPr>
                                  <w:r>
                                    <w:rPr>
                                      <w:rFonts w:ascii="arial" w:hAnsi="arial"/>
                                      <w:sz w:val="18"/>
                                    </w:rPr>
                                    <w:t>President and Chief</w:t>
                                    <w:br/>
                                    <w:t>Executive Officer</w:t>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2047" w:type="dxa"/>
                                  <w:gridSpan w:val="2"/>
                                  <w:tcBorders/>
                                  <w:shd w:fill="EDEDED" w:val="clear"/>
                                  <w:vAlign w:val="center"/>
                                </w:tcPr>
                                <w:p>
                                  <w:pPr>
                                    <w:pStyle w:val="TableContents"/>
                                    <w:bidi w:val="0"/>
                                    <w:spacing w:before="0" w:after="283"/>
                                    <w:jc w:val="left"/>
                                    <w:rPr>
                                      <w:sz w:val="4"/>
                                      <w:szCs w:val="4"/>
                                    </w:rPr>
                                  </w:pPr>
                                  <w:r>
                                    <w:rPr>
                                      <w:sz w:val="4"/>
                                      <w:szCs w:val="4"/>
                                    </w:rPr>
                                  </w:r>
                                </w:p>
                              </w:tc>
                              <w:tc>
                                <w:tcPr>
                                  <w:tcW w:w="127" w:type="dxa"/>
                                  <w:gridSpan w:val="2"/>
                                  <w:tcBorders/>
                                  <w:shd w:fill="EDEDED" w:val="clear"/>
                                  <w:vAlign w:val="center"/>
                                </w:tcPr>
                                <w:p>
                                  <w:pPr>
                                    <w:pStyle w:val="TableContents"/>
                                    <w:bidi w:val="0"/>
                                    <w:spacing w:before="0" w:after="283"/>
                                    <w:jc w:val="left"/>
                                    <w:rPr>
                                      <w:sz w:val="4"/>
                                      <w:szCs w:val="4"/>
                                    </w:rPr>
                                  </w:pPr>
                                  <w:r>
                                    <w:rPr>
                                      <w:sz w:val="4"/>
                                      <w:szCs w:val="4"/>
                                    </w:rPr>
                                  </w:r>
                                </w:p>
                              </w:tc>
                              <w:tc>
                                <w:tcPr>
                                  <w:tcW w:w="5463" w:type="dxa"/>
                                  <w:gridSpan w:val="2"/>
                                  <w:tcBorders/>
                                  <w:shd w:fill="EDEDED" w:val="clear"/>
                                  <w:vAlign w:val="center"/>
                                </w:tcPr>
                                <w:p>
                                  <w:pPr>
                                    <w:pStyle w:val="TableContents"/>
                                    <w:bidi w:val="0"/>
                                    <w:spacing w:before="0" w:after="283"/>
                                    <w:jc w:val="left"/>
                                    <w:rPr>
                                      <w:sz w:val="4"/>
                                      <w:szCs w:val="4"/>
                                    </w:rPr>
                                  </w:pPr>
                                  <w:r>
                                    <w:rPr>
                                      <w:sz w:val="4"/>
                                      <w:szCs w:val="4"/>
                                    </w:rPr>
                                  </w:r>
                                </w:p>
                              </w:tc>
                              <w:tc>
                                <w:tcPr>
                                  <w:tcW w:w="57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pPr>
                                  <w:r>
                                    <w:rPr/>
                                    <w:drawing>
                                      <wp:inline distT="0" distB="0" distL="0" distR="0">
                                        <wp:extent cx="777240" cy="777240"/>
                                        <wp:effectExtent l="0" t="0" r="0" b="0"/>
                                        <wp:docPr id="176"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59" descr=""/>
                                                <pic:cNvPicPr>
                                                  <a:picLocks noChangeAspect="1" noChangeArrowheads="1"/>
                                                </pic:cNvPicPr>
                                              </pic:nvPicPr>
                                              <pic:blipFill>
                                                <a:blip r:embed="rId166"/>
                                                <a:stretch>
                                                  <a:fillRect/>
                                                </a:stretch>
                                              </pic:blipFill>
                                              <pic:spPr bwMode="auto">
                                                <a:xfrm>
                                                  <a:off x="0" y="0"/>
                                                  <a:ext cx="777240" cy="777240"/>
                                                </a:xfrm>
                                                <a:prstGeom prst="rect">
                                                  <a:avLst/>
                                                </a:prstGeom>
                                              </pic:spPr>
                                            </pic:pic>
                                          </a:graphicData>
                                        </a:graphic>
                                      </wp:inline>
                                    </w:drawing>
                                  </w:r>
                                  <w:r>
                                    <w:rPr/>
                                    <w:t xml:space="preserve"> </w:t>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0"/>
                                    <w:jc w:val="left"/>
                                    <w:rPr>
                                      <w:rFonts w:ascii="arial" w:hAnsi="arial"/>
                                      <w:b/>
                                      <w:sz w:val="18"/>
                                    </w:rPr>
                                  </w:pPr>
                                  <w:r>
                                    <w:rPr>
                                      <w:rFonts w:ascii="arial" w:hAnsi="arial"/>
                                      <w:b/>
                                      <w:sz w:val="18"/>
                                    </w:rPr>
                                    <w:t>Troy R. Anderson</w:t>
                                  </w:r>
                                </w:p>
                                <w:p>
                                  <w:pPr>
                                    <w:pStyle w:val="TableContents"/>
                                    <w:bidi w:val="0"/>
                                    <w:spacing w:before="0" w:after="20"/>
                                    <w:jc w:val="left"/>
                                    <w:rPr>
                                      <w:rFonts w:ascii="arial" w:hAnsi="arial"/>
                                      <w:sz w:val="18"/>
                                    </w:rPr>
                                  </w:pPr>
                                  <w:r>
                                    <w:rPr>
                                      <w:rFonts w:ascii="arial" w:hAnsi="arial"/>
                                      <w:sz w:val="18"/>
                                    </w:rPr>
                                    <w:t>Executive Vice President</w:t>
                                    <w:br/>
                                    <w:t>and Chief Financial Officer</w:t>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2047" w:type="dxa"/>
                                  <w:gridSpan w:val="2"/>
                                  <w:tcBorders/>
                                  <w:shd w:fill="EDEDED" w:val="clear"/>
                                  <w:vAlign w:val="center"/>
                                </w:tcPr>
                                <w:p>
                                  <w:pPr>
                                    <w:pStyle w:val="TableContents"/>
                                    <w:bidi w:val="0"/>
                                    <w:spacing w:before="0" w:after="283"/>
                                    <w:jc w:val="left"/>
                                    <w:rPr>
                                      <w:sz w:val="4"/>
                                      <w:szCs w:val="4"/>
                                    </w:rPr>
                                  </w:pPr>
                                  <w:r>
                                    <w:rPr>
                                      <w:sz w:val="4"/>
                                      <w:szCs w:val="4"/>
                                    </w:rPr>
                                  </w:r>
                                </w:p>
                              </w:tc>
                              <w:tc>
                                <w:tcPr>
                                  <w:tcW w:w="127" w:type="dxa"/>
                                  <w:gridSpan w:val="2"/>
                                  <w:tcBorders/>
                                  <w:shd w:fill="EDEDED" w:val="clear"/>
                                  <w:vAlign w:val="center"/>
                                </w:tcPr>
                                <w:p>
                                  <w:pPr>
                                    <w:pStyle w:val="TableContents"/>
                                    <w:bidi w:val="0"/>
                                    <w:spacing w:before="0" w:after="283"/>
                                    <w:jc w:val="left"/>
                                    <w:rPr>
                                      <w:sz w:val="4"/>
                                      <w:szCs w:val="4"/>
                                    </w:rPr>
                                  </w:pPr>
                                  <w:r>
                                    <w:rPr>
                                      <w:sz w:val="4"/>
                                      <w:szCs w:val="4"/>
                                    </w:rPr>
                                  </w:r>
                                </w:p>
                              </w:tc>
                              <w:tc>
                                <w:tcPr>
                                  <w:tcW w:w="5463" w:type="dxa"/>
                                  <w:gridSpan w:val="2"/>
                                  <w:tcBorders/>
                                  <w:shd w:fill="EDEDED" w:val="clear"/>
                                  <w:vAlign w:val="center"/>
                                </w:tcPr>
                                <w:p>
                                  <w:pPr>
                                    <w:pStyle w:val="TableContents"/>
                                    <w:bidi w:val="0"/>
                                    <w:spacing w:before="0" w:after="283"/>
                                    <w:jc w:val="left"/>
                                    <w:rPr>
                                      <w:sz w:val="4"/>
                                      <w:szCs w:val="4"/>
                                    </w:rPr>
                                  </w:pPr>
                                  <w:r>
                                    <w:rPr>
                                      <w:sz w:val="4"/>
                                      <w:szCs w:val="4"/>
                                    </w:rPr>
                                  </w:r>
                                </w:p>
                              </w:tc>
                              <w:tc>
                                <w:tcPr>
                                  <w:tcW w:w="57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pPr>
                                  <w:r>
                                    <w:rPr/>
                                    <w:drawing>
                                      <wp:inline distT="0" distB="0" distL="0" distR="0">
                                        <wp:extent cx="777240" cy="777240"/>
                                        <wp:effectExtent l="0" t="0" r="0" b="0"/>
                                        <wp:docPr id="177"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60" descr=""/>
                                                <pic:cNvPicPr>
                                                  <a:picLocks noChangeAspect="1" noChangeArrowheads="1"/>
                                                </pic:cNvPicPr>
                                              </pic:nvPicPr>
                                              <pic:blipFill>
                                                <a:blip r:embed="rId167"/>
                                                <a:stretch>
                                                  <a:fillRect/>
                                                </a:stretch>
                                              </pic:blipFill>
                                              <pic:spPr bwMode="auto">
                                                <a:xfrm>
                                                  <a:off x="0" y="0"/>
                                                  <a:ext cx="777240" cy="777240"/>
                                                </a:xfrm>
                                                <a:prstGeom prst="rect">
                                                  <a:avLst/>
                                                </a:prstGeom>
                                              </pic:spPr>
                                            </pic:pic>
                                          </a:graphicData>
                                        </a:graphic>
                                      </wp:inline>
                                    </w:drawing>
                                  </w:r>
                                  <w:r>
                                    <w:rPr/>
                                    <w:t xml:space="preserve"> </w:t>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0"/>
                                    <w:jc w:val="left"/>
                                    <w:rPr>
                                      <w:rFonts w:ascii="arial" w:hAnsi="arial"/>
                                      <w:b/>
                                      <w:sz w:val="18"/>
                                    </w:rPr>
                                  </w:pPr>
                                  <w:r>
                                    <w:rPr>
                                      <w:rFonts w:ascii="arial" w:hAnsi="arial"/>
                                      <w:b/>
                                      <w:sz w:val="18"/>
                                    </w:rPr>
                                    <w:t>*Tammy L. Browning</w:t>
                                  </w:r>
                                </w:p>
                                <w:p>
                                  <w:pPr>
                                    <w:pStyle w:val="TableContents"/>
                                    <w:bidi w:val="0"/>
                                    <w:spacing w:before="0" w:after="0"/>
                                    <w:jc w:val="left"/>
                                    <w:rPr>
                                      <w:rFonts w:ascii="arial" w:hAnsi="arial"/>
                                      <w:sz w:val="18"/>
                                    </w:rPr>
                                  </w:pPr>
                                  <w:r>
                                    <w:rPr>
                                      <w:rFonts w:ascii="arial" w:hAnsi="arial"/>
                                      <w:sz w:val="18"/>
                                    </w:rPr>
                                    <w:t>Senior Vice President</w:t>
                                  </w:r>
                                </w:p>
                                <w:p>
                                  <w:pPr>
                                    <w:pStyle w:val="TableContents"/>
                                    <w:bidi w:val="0"/>
                                    <w:spacing w:before="0" w:after="20"/>
                                    <w:jc w:val="left"/>
                                    <w:rPr>
                                      <w:rFonts w:ascii="arial" w:hAnsi="arial"/>
                                      <w:sz w:val="18"/>
                                    </w:rPr>
                                  </w:pPr>
                                  <w:r>
                                    <w:rPr>
                                      <w:rFonts w:ascii="arial" w:hAnsi="arial"/>
                                      <w:sz w:val="18"/>
                                    </w:rPr>
                                    <w:t>Group President, Enterprise</w:t>
                                    <w:br/>
                                    <w:t>Talent Management</w:t>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2047" w:type="dxa"/>
                                  <w:gridSpan w:val="2"/>
                                  <w:tcBorders/>
                                  <w:shd w:fill="EDEDED" w:val="clear"/>
                                  <w:vAlign w:val="center"/>
                                </w:tcPr>
                                <w:p>
                                  <w:pPr>
                                    <w:pStyle w:val="TableContents"/>
                                    <w:bidi w:val="0"/>
                                    <w:spacing w:before="0" w:after="283"/>
                                    <w:jc w:val="left"/>
                                    <w:rPr>
                                      <w:sz w:val="4"/>
                                      <w:szCs w:val="4"/>
                                    </w:rPr>
                                  </w:pPr>
                                  <w:r>
                                    <w:rPr>
                                      <w:sz w:val="4"/>
                                      <w:szCs w:val="4"/>
                                    </w:rPr>
                                  </w:r>
                                </w:p>
                              </w:tc>
                              <w:tc>
                                <w:tcPr>
                                  <w:tcW w:w="127" w:type="dxa"/>
                                  <w:gridSpan w:val="2"/>
                                  <w:tcBorders/>
                                  <w:shd w:fill="EDEDED" w:val="clear"/>
                                  <w:vAlign w:val="center"/>
                                </w:tcPr>
                                <w:p>
                                  <w:pPr>
                                    <w:pStyle w:val="TableContents"/>
                                    <w:bidi w:val="0"/>
                                    <w:spacing w:before="0" w:after="283"/>
                                    <w:jc w:val="left"/>
                                    <w:rPr>
                                      <w:sz w:val="4"/>
                                      <w:szCs w:val="4"/>
                                    </w:rPr>
                                  </w:pPr>
                                  <w:r>
                                    <w:rPr>
                                      <w:sz w:val="4"/>
                                      <w:szCs w:val="4"/>
                                    </w:rPr>
                                  </w:r>
                                </w:p>
                              </w:tc>
                              <w:tc>
                                <w:tcPr>
                                  <w:tcW w:w="5463" w:type="dxa"/>
                                  <w:gridSpan w:val="2"/>
                                  <w:tcBorders/>
                                  <w:shd w:fill="EDEDED" w:val="clear"/>
                                  <w:vAlign w:val="center"/>
                                </w:tcPr>
                                <w:p>
                                  <w:pPr>
                                    <w:pStyle w:val="TableContents"/>
                                    <w:bidi w:val="0"/>
                                    <w:spacing w:before="0" w:after="283"/>
                                    <w:jc w:val="left"/>
                                    <w:rPr>
                                      <w:sz w:val="4"/>
                                      <w:szCs w:val="4"/>
                                    </w:rPr>
                                  </w:pPr>
                                  <w:r>
                                    <w:rPr>
                                      <w:sz w:val="4"/>
                                      <w:szCs w:val="4"/>
                                    </w:rPr>
                                  </w:r>
                                </w:p>
                              </w:tc>
                              <w:tc>
                                <w:tcPr>
                                  <w:tcW w:w="57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pPr>
                                  <w:r>
                                    <w:rPr/>
                                    <w:drawing>
                                      <wp:inline distT="0" distB="0" distL="0" distR="0">
                                        <wp:extent cx="777240" cy="777240"/>
                                        <wp:effectExtent l="0" t="0" r="0" b="0"/>
                                        <wp:docPr id="178"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61" descr=""/>
                                                <pic:cNvPicPr>
                                                  <a:picLocks noChangeAspect="1" noChangeArrowheads="1"/>
                                                </pic:cNvPicPr>
                                              </pic:nvPicPr>
                                              <pic:blipFill>
                                                <a:blip r:embed="rId168"/>
                                                <a:stretch>
                                                  <a:fillRect/>
                                                </a:stretch>
                                              </pic:blipFill>
                                              <pic:spPr bwMode="auto">
                                                <a:xfrm>
                                                  <a:off x="0" y="0"/>
                                                  <a:ext cx="777240" cy="777240"/>
                                                </a:xfrm>
                                                <a:prstGeom prst="rect">
                                                  <a:avLst/>
                                                </a:prstGeom>
                                              </pic:spPr>
                                            </pic:pic>
                                          </a:graphicData>
                                        </a:graphic>
                                      </wp:inline>
                                    </w:drawing>
                                  </w:r>
                                  <w:r>
                                    <w:rPr/>
                                    <w:t xml:space="preserve"> </w:t>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0"/>
                                    <w:jc w:val="left"/>
                                    <w:rPr>
                                      <w:rFonts w:ascii="arial" w:hAnsi="arial"/>
                                      <w:b/>
                                      <w:sz w:val="18"/>
                                    </w:rPr>
                                  </w:pPr>
                                  <w:r>
                                    <w:rPr>
                                      <w:rFonts w:ascii="arial" w:hAnsi="arial"/>
                                      <w:b/>
                                      <w:sz w:val="18"/>
                                    </w:rPr>
                                    <w:t>Vanessa P. Williams</w:t>
                                  </w:r>
                                </w:p>
                                <w:p>
                                  <w:pPr>
                                    <w:pStyle w:val="TableContents"/>
                                    <w:bidi w:val="0"/>
                                    <w:spacing w:before="0" w:after="20"/>
                                    <w:jc w:val="left"/>
                                    <w:rPr>
                                      <w:rFonts w:ascii="arial" w:hAnsi="arial"/>
                                      <w:sz w:val="18"/>
                                    </w:rPr>
                                  </w:pPr>
                                  <w:r>
                                    <w:rPr>
                                      <w:rFonts w:ascii="arial" w:hAnsi="arial"/>
                                      <w:sz w:val="18"/>
                                    </w:rPr>
                                    <w:t>Executive Vice President,</w:t>
                                    <w:br/>
                                    <w:t>General Counsel and Corporate Secretary</w:t>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2047" w:type="dxa"/>
                                  <w:gridSpan w:val="2"/>
                                  <w:tcBorders/>
                                  <w:shd w:fill="EDEDED" w:val="clear"/>
                                  <w:vAlign w:val="center"/>
                                </w:tcPr>
                                <w:p>
                                  <w:pPr>
                                    <w:pStyle w:val="TableContents"/>
                                    <w:bidi w:val="0"/>
                                    <w:spacing w:before="0" w:after="283"/>
                                    <w:jc w:val="left"/>
                                    <w:rPr>
                                      <w:sz w:val="4"/>
                                      <w:szCs w:val="4"/>
                                    </w:rPr>
                                  </w:pPr>
                                  <w:r>
                                    <w:rPr>
                                      <w:sz w:val="4"/>
                                      <w:szCs w:val="4"/>
                                    </w:rPr>
                                  </w:r>
                                </w:p>
                              </w:tc>
                              <w:tc>
                                <w:tcPr>
                                  <w:tcW w:w="127" w:type="dxa"/>
                                  <w:gridSpan w:val="2"/>
                                  <w:tcBorders/>
                                  <w:shd w:fill="EDEDED" w:val="clear"/>
                                  <w:vAlign w:val="center"/>
                                </w:tcPr>
                                <w:p>
                                  <w:pPr>
                                    <w:pStyle w:val="TableContents"/>
                                    <w:bidi w:val="0"/>
                                    <w:spacing w:before="0" w:after="283"/>
                                    <w:jc w:val="left"/>
                                    <w:rPr>
                                      <w:sz w:val="4"/>
                                      <w:szCs w:val="4"/>
                                    </w:rPr>
                                  </w:pPr>
                                  <w:r>
                                    <w:rPr>
                                      <w:sz w:val="4"/>
                                      <w:szCs w:val="4"/>
                                    </w:rPr>
                                  </w:r>
                                </w:p>
                              </w:tc>
                              <w:tc>
                                <w:tcPr>
                                  <w:tcW w:w="5463" w:type="dxa"/>
                                  <w:gridSpan w:val="2"/>
                                  <w:tcBorders/>
                                  <w:shd w:fill="EDEDED" w:val="clear"/>
                                  <w:vAlign w:val="center"/>
                                </w:tcPr>
                                <w:p>
                                  <w:pPr>
                                    <w:pStyle w:val="TableContents"/>
                                    <w:bidi w:val="0"/>
                                    <w:spacing w:before="0" w:after="283"/>
                                    <w:jc w:val="left"/>
                                    <w:rPr>
                                      <w:sz w:val="4"/>
                                      <w:szCs w:val="4"/>
                                    </w:rPr>
                                  </w:pPr>
                                  <w:r>
                                    <w:rPr>
                                      <w:sz w:val="4"/>
                                      <w:szCs w:val="4"/>
                                    </w:rPr>
                                  </w:r>
                                </w:p>
                              </w:tc>
                              <w:tc>
                                <w:tcPr>
                                  <w:tcW w:w="57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pPr>
                                  <w:r>
                                    <w:rPr/>
                                    <w:drawing>
                                      <wp:inline distT="0" distB="0" distL="0" distR="0">
                                        <wp:extent cx="777240" cy="777240"/>
                                        <wp:effectExtent l="0" t="0" r="0" b="0"/>
                                        <wp:docPr id="179"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62" descr=""/>
                                                <pic:cNvPicPr>
                                                  <a:picLocks noChangeAspect="1" noChangeArrowheads="1"/>
                                                </pic:cNvPicPr>
                                              </pic:nvPicPr>
                                              <pic:blipFill>
                                                <a:blip r:embed="rId169"/>
                                                <a:stretch>
                                                  <a:fillRect/>
                                                </a:stretch>
                                              </pic:blipFill>
                                              <pic:spPr bwMode="auto">
                                                <a:xfrm>
                                                  <a:off x="0" y="0"/>
                                                  <a:ext cx="777240" cy="777240"/>
                                                </a:xfrm>
                                                <a:prstGeom prst="rect">
                                                  <a:avLst/>
                                                </a:prstGeom>
                                              </pic:spPr>
                                            </pic:pic>
                                          </a:graphicData>
                                        </a:graphic>
                                      </wp:inline>
                                    </w:drawing>
                                  </w:r>
                                  <w:r>
                                    <w:rPr/>
                                    <w:t xml:space="preserve"> </w:t>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0"/>
                                    <w:jc w:val="left"/>
                                    <w:rPr>
                                      <w:rFonts w:ascii="arial" w:hAnsi="arial"/>
                                      <w:b/>
                                      <w:sz w:val="18"/>
                                    </w:rPr>
                                  </w:pPr>
                                  <w:r>
                                    <w:rPr>
                                      <w:rFonts w:ascii="arial" w:hAnsi="arial"/>
                                      <w:b/>
                                      <w:sz w:val="18"/>
                                    </w:rPr>
                                    <w:t>Nicola M. Soares</w:t>
                                  </w:r>
                                </w:p>
                                <w:p>
                                  <w:pPr>
                                    <w:pStyle w:val="TableContents"/>
                                    <w:bidi w:val="0"/>
                                    <w:spacing w:before="0" w:after="20"/>
                                    <w:jc w:val="left"/>
                                    <w:rPr>
                                      <w:rFonts w:ascii="arial" w:hAnsi="arial"/>
                                      <w:sz w:val="18"/>
                                    </w:rPr>
                                  </w:pPr>
                                  <w:r>
                                    <w:rPr>
                                      <w:rFonts w:ascii="arial" w:hAnsi="arial"/>
                                      <w:sz w:val="18"/>
                                    </w:rPr>
                                    <w:t>Senior Vice President and</w:t>
                                    <w:br/>
                                    <w:t>President Education</w:t>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2047" w:type="dxa"/>
                                  <w:gridSpan w:val="2"/>
                                  <w:tcBorders/>
                                  <w:shd w:fill="EDEDED" w:val="clear"/>
                                  <w:vAlign w:val="center"/>
                                </w:tcPr>
                                <w:p>
                                  <w:pPr>
                                    <w:pStyle w:val="TableContents"/>
                                    <w:bidi w:val="0"/>
                                    <w:spacing w:before="0" w:after="283"/>
                                    <w:jc w:val="left"/>
                                    <w:rPr>
                                      <w:sz w:val="4"/>
                                      <w:szCs w:val="4"/>
                                    </w:rPr>
                                  </w:pPr>
                                  <w:r>
                                    <w:rPr>
                                      <w:sz w:val="4"/>
                                      <w:szCs w:val="4"/>
                                    </w:rPr>
                                  </w:r>
                                </w:p>
                              </w:tc>
                              <w:tc>
                                <w:tcPr>
                                  <w:tcW w:w="127" w:type="dxa"/>
                                  <w:gridSpan w:val="2"/>
                                  <w:tcBorders/>
                                  <w:shd w:fill="EDEDED" w:val="clear"/>
                                  <w:vAlign w:val="center"/>
                                </w:tcPr>
                                <w:p>
                                  <w:pPr>
                                    <w:pStyle w:val="TableContents"/>
                                    <w:bidi w:val="0"/>
                                    <w:spacing w:before="0" w:after="283"/>
                                    <w:jc w:val="left"/>
                                    <w:rPr>
                                      <w:sz w:val="4"/>
                                      <w:szCs w:val="4"/>
                                    </w:rPr>
                                  </w:pPr>
                                  <w:r>
                                    <w:rPr>
                                      <w:sz w:val="4"/>
                                      <w:szCs w:val="4"/>
                                    </w:rPr>
                                  </w:r>
                                </w:p>
                              </w:tc>
                              <w:tc>
                                <w:tcPr>
                                  <w:tcW w:w="5463" w:type="dxa"/>
                                  <w:gridSpan w:val="2"/>
                                  <w:tcBorders/>
                                  <w:shd w:fill="EDEDED" w:val="clear"/>
                                  <w:vAlign w:val="center"/>
                                </w:tcPr>
                                <w:p>
                                  <w:pPr>
                                    <w:pStyle w:val="TableContents"/>
                                    <w:bidi w:val="0"/>
                                    <w:spacing w:before="0" w:after="283"/>
                                    <w:jc w:val="left"/>
                                    <w:rPr>
                                      <w:sz w:val="4"/>
                                      <w:szCs w:val="4"/>
                                    </w:rPr>
                                  </w:pPr>
                                  <w:r>
                                    <w:rPr>
                                      <w:sz w:val="4"/>
                                      <w:szCs w:val="4"/>
                                    </w:rPr>
                                  </w:r>
                                </w:p>
                              </w:tc>
                              <w:tc>
                                <w:tcPr>
                                  <w:tcW w:w="57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0"/>
                                    <w:jc w:val="left"/>
                                    <w:rPr>
                                      <w:rFonts w:ascii="arial" w:hAnsi="arial"/>
                                      <w:b/>
                                      <w:sz w:val="18"/>
                                    </w:rPr>
                                  </w:pPr>
                                  <w:r>
                                    <w:rPr>
                                      <w:rFonts w:ascii="arial" w:hAnsi="arial"/>
                                      <w:b/>
                                      <w:sz w:val="18"/>
                                    </w:rPr>
                                    <w:t>Peter W. Quigley</w:t>
                                  </w:r>
                                </w:p>
                                <w:p>
                                  <w:pPr>
                                    <w:pStyle w:val="TableContents"/>
                                    <w:bidi w:val="0"/>
                                    <w:spacing w:before="0" w:after="20"/>
                                    <w:jc w:val="left"/>
                                    <w:rPr>
                                      <w:rFonts w:ascii="arial" w:hAnsi="arial"/>
                                      <w:sz w:val="18"/>
                                    </w:rPr>
                                  </w:pPr>
                                  <w:r>
                                    <w:rPr>
                                      <w:rFonts w:ascii="arial" w:hAnsi="arial"/>
                                      <w:sz w:val="18"/>
                                    </w:rPr>
                                    <w:t>Former Chief Executive Officer</w:t>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2047" w:type="dxa"/>
                                  <w:gridSpan w:val="2"/>
                                  <w:tcBorders/>
                                  <w:shd w:fill="EDEDED" w:val="clear"/>
                                  <w:vAlign w:val="center"/>
                                </w:tcPr>
                                <w:p>
                                  <w:pPr>
                                    <w:pStyle w:val="TableContents"/>
                                    <w:bidi w:val="0"/>
                                    <w:spacing w:before="0" w:after="283"/>
                                    <w:jc w:val="left"/>
                                    <w:rPr>
                                      <w:sz w:val="4"/>
                                      <w:szCs w:val="4"/>
                                    </w:rPr>
                                  </w:pPr>
                                  <w:r>
                                    <w:rPr>
                                      <w:sz w:val="4"/>
                                      <w:szCs w:val="4"/>
                                    </w:rPr>
                                  </w:r>
                                </w:p>
                              </w:tc>
                              <w:tc>
                                <w:tcPr>
                                  <w:tcW w:w="127" w:type="dxa"/>
                                  <w:gridSpan w:val="2"/>
                                  <w:tcBorders/>
                                  <w:shd w:fill="EDEDED" w:val="clear"/>
                                  <w:vAlign w:val="center"/>
                                </w:tcPr>
                                <w:p>
                                  <w:pPr>
                                    <w:pStyle w:val="TableContents"/>
                                    <w:bidi w:val="0"/>
                                    <w:spacing w:before="0" w:after="283"/>
                                    <w:jc w:val="left"/>
                                    <w:rPr>
                                      <w:sz w:val="4"/>
                                      <w:szCs w:val="4"/>
                                    </w:rPr>
                                  </w:pPr>
                                  <w:r>
                                    <w:rPr>
                                      <w:sz w:val="4"/>
                                      <w:szCs w:val="4"/>
                                    </w:rPr>
                                  </w:r>
                                </w:p>
                              </w:tc>
                              <w:tc>
                                <w:tcPr>
                                  <w:tcW w:w="5463" w:type="dxa"/>
                                  <w:gridSpan w:val="2"/>
                                  <w:tcBorders/>
                                  <w:shd w:fill="EDEDED" w:val="clear"/>
                                  <w:vAlign w:val="center"/>
                                </w:tcPr>
                                <w:p>
                                  <w:pPr>
                                    <w:pStyle w:val="TableContents"/>
                                    <w:bidi w:val="0"/>
                                    <w:spacing w:before="0" w:after="283"/>
                                    <w:jc w:val="left"/>
                                    <w:rPr>
                                      <w:sz w:val="4"/>
                                      <w:szCs w:val="4"/>
                                    </w:rPr>
                                  </w:pPr>
                                  <w:r>
                                    <w:rPr>
                                      <w:sz w:val="4"/>
                                      <w:szCs w:val="4"/>
                                    </w:rPr>
                                  </w:r>
                                </w:p>
                              </w:tc>
                              <w:tc>
                                <w:tcPr>
                                  <w:tcW w:w="57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sz w:val="18"/>
                        </w:rPr>
                      </w:pPr>
                      <w:r>
                        <w:rPr>
                          <w:rFonts w:ascii="arial" w:hAnsi="arial"/>
                          <w:sz w:val="18"/>
                        </w:rPr>
                        <w:t xml:space="preserve">The Compensation Discussion and Analysis section of this Proxy Statement provides an overview of our executive compensation philosophy and objectives. This section describes the material elements of our executive compensation programs, the compensation decisions the Compensation and Talent Management Committee (the “Committee”) made under those programs, key factors considered, and details of the compensation paid to our named executive officers. </w:t>
                      </w:r>
                    </w:p>
                    <w:p>
                      <w:pPr>
                        <w:pStyle w:val="TextBody"/>
                        <w:bidi w:val="0"/>
                        <w:spacing w:before="0" w:after="0"/>
                        <w:jc w:val="left"/>
                        <w:rPr/>
                      </w:pPr>
                      <w:r>
                        <w:rPr/>
                        <w:t> </w:t>
                      </w:r>
                    </w:p>
                    <w:tbl>
                      <w:tblPr>
                        <w:tblW w:w="8487" w:type="dxa"/>
                        <w:jc w:val="left"/>
                        <w:tblInd w:w="0" w:type="dxa"/>
                        <w:shd w:fill="EDEDED" w:val="clear"/>
                        <w:tblLayout w:type="fixed"/>
                        <w:tblCellMar>
                          <w:top w:w="0" w:type="dxa"/>
                          <w:left w:w="0" w:type="dxa"/>
                          <w:bottom w:w="0" w:type="dxa"/>
                          <w:right w:w="0" w:type="dxa"/>
                        </w:tblCellMar>
                      </w:tblPr>
                      <w:tblGrid>
                        <w:gridCol w:w="275"/>
                        <w:gridCol w:w="60"/>
                        <w:gridCol w:w="1987"/>
                        <w:gridCol w:w="92"/>
                        <w:gridCol w:w="35"/>
                        <w:gridCol w:w="92"/>
                        <w:gridCol w:w="5371"/>
                        <w:gridCol w:w="60"/>
                        <w:gridCol w:w="515"/>
                      </w:tblGrid>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987"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sz w:val="4"/>
                                <w:szCs w:val="4"/>
                              </w:rPr>
                            </w:pPr>
                            <w:r>
                              <w:rPr>
                                <w:sz w:val="4"/>
                                <w:szCs w:val="4"/>
                              </w:rPr>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sz w:val="4"/>
                                <w:szCs w:val="4"/>
                              </w:rPr>
                            </w:pPr>
                            <w:r>
                              <w:rPr>
                                <w:sz w:val="4"/>
                                <w:szCs w:val="4"/>
                              </w:rPr>
                            </w:r>
                          </w:p>
                        </w:tc>
                        <w:tc>
                          <w:tcPr>
                            <w:tcW w:w="5371"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7637" w:type="dxa"/>
                            <w:gridSpan w:val="6"/>
                            <w:tcBorders/>
                            <w:shd w:fill="EDEDED" w:val="clear"/>
                            <w:vAlign w:val="center"/>
                          </w:tcPr>
                          <w:p>
                            <w:pPr>
                              <w:pStyle w:val="TableContents"/>
                              <w:bidi w:val="0"/>
                              <w:spacing w:before="0" w:after="283"/>
                              <w:jc w:val="left"/>
                              <w:rPr>
                                <w:sz w:val="4"/>
                                <w:szCs w:val="4"/>
                              </w:rPr>
                            </w:pPr>
                            <w:r>
                              <w:rPr>
                                <w:sz w:val="4"/>
                                <w:szCs w:val="4"/>
                              </w:rPr>
                            </w:r>
                          </w:p>
                        </w:tc>
                        <w:tc>
                          <w:tcPr>
                            <w:tcW w:w="57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bookmarkStart w:id="43" w:name="toc37355_42"/>
                            <w:bookmarkEnd w:id="43"/>
                          </w:p>
                        </w:tc>
                        <w:tc>
                          <w:tcPr>
                            <w:tcW w:w="7577" w:type="dxa"/>
                            <w:gridSpan w:val="5"/>
                            <w:tcBorders/>
                            <w:shd w:fill="EDEDED" w:val="clear"/>
                            <w:vAlign w:val="center"/>
                          </w:tcPr>
                          <w:p>
                            <w:pPr>
                              <w:pStyle w:val="TableContents"/>
                              <w:bidi w:val="0"/>
                              <w:spacing w:before="0" w:after="283"/>
                              <w:jc w:val="left"/>
                              <w:rPr>
                                <w:b/>
                              </w:rPr>
                            </w:pPr>
                            <w:bookmarkStart w:id="44" w:name="txa2837686_201"/>
                            <w:bookmarkEnd w:id="44"/>
                            <w:r>
                              <w:rPr>
                                <w:b/>
                              </w:rPr>
                              <w:t>2025 Named Executive Officers</w:t>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pPr>
                            <w:r>
                              <w:rPr/>
                              <w:t>  </w:t>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7637" w:type="dxa"/>
                            <w:gridSpan w:val="6"/>
                            <w:tcBorders/>
                            <w:shd w:fill="EDEDED" w:val="clear"/>
                            <w:vAlign w:val="center"/>
                          </w:tcPr>
                          <w:p>
                            <w:pPr>
                              <w:pStyle w:val="TableContents"/>
                              <w:bidi w:val="0"/>
                              <w:spacing w:before="0" w:after="283"/>
                              <w:jc w:val="left"/>
                              <w:rPr>
                                <w:sz w:val="4"/>
                                <w:szCs w:val="4"/>
                              </w:rPr>
                            </w:pPr>
                            <w:r>
                              <w:rPr>
                                <w:sz w:val="4"/>
                                <w:szCs w:val="4"/>
                              </w:rPr>
                            </w:r>
                          </w:p>
                        </w:tc>
                        <w:tc>
                          <w:tcPr>
                            <w:tcW w:w="57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7577" w:type="dxa"/>
                            <w:gridSpan w:val="5"/>
                            <w:tcBorders/>
                            <w:shd w:fill="EDEDED" w:val="clear"/>
                            <w:vAlign w:val="center"/>
                          </w:tcPr>
                          <w:p>
                            <w:pPr>
                              <w:pStyle w:val="TableContents"/>
                              <w:bidi w:val="0"/>
                              <w:spacing w:before="0" w:after="283"/>
                              <w:jc w:val="left"/>
                              <w:rPr/>
                            </w:pPr>
                            <w:r>
                              <w:rPr/>
                              <w:t>Our named executive officers for 2025, as defined by the SEC, were as follows:</w:t>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2047" w:type="dxa"/>
                            <w:gridSpan w:val="2"/>
                            <w:tcBorders/>
                            <w:shd w:fill="EDEDED" w:val="clear"/>
                            <w:vAlign w:val="center"/>
                          </w:tcPr>
                          <w:p>
                            <w:pPr>
                              <w:pStyle w:val="TableContents"/>
                              <w:bidi w:val="0"/>
                              <w:spacing w:before="0" w:after="283"/>
                              <w:jc w:val="left"/>
                              <w:rPr>
                                <w:sz w:val="4"/>
                                <w:szCs w:val="4"/>
                              </w:rPr>
                            </w:pPr>
                            <w:r>
                              <w:rPr>
                                <w:sz w:val="4"/>
                                <w:szCs w:val="4"/>
                              </w:rPr>
                            </w:r>
                          </w:p>
                        </w:tc>
                        <w:tc>
                          <w:tcPr>
                            <w:tcW w:w="127" w:type="dxa"/>
                            <w:gridSpan w:val="2"/>
                            <w:tcBorders/>
                            <w:shd w:fill="EDEDED" w:val="clear"/>
                            <w:vAlign w:val="center"/>
                          </w:tcPr>
                          <w:p>
                            <w:pPr>
                              <w:pStyle w:val="TableContents"/>
                              <w:bidi w:val="0"/>
                              <w:spacing w:before="0" w:after="283"/>
                              <w:jc w:val="left"/>
                              <w:rPr>
                                <w:sz w:val="4"/>
                                <w:szCs w:val="4"/>
                              </w:rPr>
                            </w:pPr>
                            <w:r>
                              <w:rPr>
                                <w:sz w:val="4"/>
                                <w:szCs w:val="4"/>
                              </w:rPr>
                            </w:r>
                          </w:p>
                        </w:tc>
                        <w:tc>
                          <w:tcPr>
                            <w:tcW w:w="5463" w:type="dxa"/>
                            <w:gridSpan w:val="2"/>
                            <w:tcBorders/>
                            <w:shd w:fill="EDEDED" w:val="clear"/>
                            <w:vAlign w:val="center"/>
                          </w:tcPr>
                          <w:p>
                            <w:pPr>
                              <w:pStyle w:val="TableContents"/>
                              <w:bidi w:val="0"/>
                              <w:spacing w:before="0" w:after="283"/>
                              <w:jc w:val="left"/>
                              <w:rPr>
                                <w:sz w:val="4"/>
                                <w:szCs w:val="4"/>
                              </w:rPr>
                            </w:pPr>
                            <w:r>
                              <w:rPr>
                                <w:sz w:val="4"/>
                                <w:szCs w:val="4"/>
                              </w:rPr>
                            </w:r>
                          </w:p>
                        </w:tc>
                        <w:tc>
                          <w:tcPr>
                            <w:tcW w:w="57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pPr>
                            <w:r>
                              <w:rPr/>
                              <w:drawing>
                                <wp:inline distT="0" distB="0" distL="0" distR="0">
                                  <wp:extent cx="777240" cy="777240"/>
                                  <wp:effectExtent l="0" t="0" r="0" b="0"/>
                                  <wp:docPr id="180"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58" descr=""/>
                                          <pic:cNvPicPr>
                                            <a:picLocks noChangeAspect="1" noChangeArrowheads="1"/>
                                          </pic:cNvPicPr>
                                        </pic:nvPicPr>
                                        <pic:blipFill>
                                          <a:blip r:embed="rId170"/>
                                          <a:stretch>
                                            <a:fillRect/>
                                          </a:stretch>
                                        </pic:blipFill>
                                        <pic:spPr bwMode="auto">
                                          <a:xfrm>
                                            <a:off x="0" y="0"/>
                                            <a:ext cx="777240" cy="777240"/>
                                          </a:xfrm>
                                          <a:prstGeom prst="rect">
                                            <a:avLst/>
                                          </a:prstGeom>
                                        </pic:spPr>
                                      </pic:pic>
                                    </a:graphicData>
                                  </a:graphic>
                                </wp:inline>
                              </w:drawing>
                            </w:r>
                            <w:r>
                              <w:rPr/>
                              <w:t xml:space="preserve"> </w:t>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0"/>
                              <w:jc w:val="left"/>
                              <w:rPr>
                                <w:rFonts w:ascii="arial" w:hAnsi="arial"/>
                                <w:b/>
                                <w:sz w:val="18"/>
                              </w:rPr>
                            </w:pPr>
                            <w:r>
                              <w:rPr>
                                <w:rFonts w:ascii="arial" w:hAnsi="arial"/>
                                <w:b/>
                                <w:sz w:val="18"/>
                              </w:rPr>
                              <w:t>Christopher D. Layden</w:t>
                            </w:r>
                          </w:p>
                          <w:p>
                            <w:pPr>
                              <w:pStyle w:val="TableContents"/>
                              <w:bidi w:val="0"/>
                              <w:spacing w:before="0" w:after="20"/>
                              <w:jc w:val="left"/>
                              <w:rPr>
                                <w:rFonts w:ascii="arial" w:hAnsi="arial"/>
                                <w:sz w:val="18"/>
                              </w:rPr>
                            </w:pPr>
                            <w:r>
                              <w:rPr>
                                <w:rFonts w:ascii="arial" w:hAnsi="arial"/>
                                <w:sz w:val="18"/>
                              </w:rPr>
                              <w:t>President and Chief</w:t>
                              <w:br/>
                              <w:t>Executive Officer</w:t>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2047" w:type="dxa"/>
                            <w:gridSpan w:val="2"/>
                            <w:tcBorders/>
                            <w:shd w:fill="EDEDED" w:val="clear"/>
                            <w:vAlign w:val="center"/>
                          </w:tcPr>
                          <w:p>
                            <w:pPr>
                              <w:pStyle w:val="TableContents"/>
                              <w:bidi w:val="0"/>
                              <w:spacing w:before="0" w:after="283"/>
                              <w:jc w:val="left"/>
                              <w:rPr>
                                <w:sz w:val="4"/>
                                <w:szCs w:val="4"/>
                              </w:rPr>
                            </w:pPr>
                            <w:r>
                              <w:rPr>
                                <w:sz w:val="4"/>
                                <w:szCs w:val="4"/>
                              </w:rPr>
                            </w:r>
                          </w:p>
                        </w:tc>
                        <w:tc>
                          <w:tcPr>
                            <w:tcW w:w="127" w:type="dxa"/>
                            <w:gridSpan w:val="2"/>
                            <w:tcBorders/>
                            <w:shd w:fill="EDEDED" w:val="clear"/>
                            <w:vAlign w:val="center"/>
                          </w:tcPr>
                          <w:p>
                            <w:pPr>
                              <w:pStyle w:val="TableContents"/>
                              <w:bidi w:val="0"/>
                              <w:spacing w:before="0" w:after="283"/>
                              <w:jc w:val="left"/>
                              <w:rPr>
                                <w:sz w:val="4"/>
                                <w:szCs w:val="4"/>
                              </w:rPr>
                            </w:pPr>
                            <w:r>
                              <w:rPr>
                                <w:sz w:val="4"/>
                                <w:szCs w:val="4"/>
                              </w:rPr>
                            </w:r>
                          </w:p>
                        </w:tc>
                        <w:tc>
                          <w:tcPr>
                            <w:tcW w:w="5463" w:type="dxa"/>
                            <w:gridSpan w:val="2"/>
                            <w:tcBorders/>
                            <w:shd w:fill="EDEDED" w:val="clear"/>
                            <w:vAlign w:val="center"/>
                          </w:tcPr>
                          <w:p>
                            <w:pPr>
                              <w:pStyle w:val="TableContents"/>
                              <w:bidi w:val="0"/>
                              <w:spacing w:before="0" w:after="283"/>
                              <w:jc w:val="left"/>
                              <w:rPr>
                                <w:sz w:val="4"/>
                                <w:szCs w:val="4"/>
                              </w:rPr>
                            </w:pPr>
                            <w:r>
                              <w:rPr>
                                <w:sz w:val="4"/>
                                <w:szCs w:val="4"/>
                              </w:rPr>
                            </w:r>
                          </w:p>
                        </w:tc>
                        <w:tc>
                          <w:tcPr>
                            <w:tcW w:w="57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pPr>
                            <w:r>
                              <w:rPr/>
                              <w:drawing>
                                <wp:inline distT="0" distB="0" distL="0" distR="0">
                                  <wp:extent cx="777240" cy="777240"/>
                                  <wp:effectExtent l="0" t="0" r="0" b="0"/>
                                  <wp:docPr id="181"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59" descr=""/>
                                          <pic:cNvPicPr>
                                            <a:picLocks noChangeAspect="1" noChangeArrowheads="1"/>
                                          </pic:cNvPicPr>
                                        </pic:nvPicPr>
                                        <pic:blipFill>
                                          <a:blip r:embed="rId171"/>
                                          <a:stretch>
                                            <a:fillRect/>
                                          </a:stretch>
                                        </pic:blipFill>
                                        <pic:spPr bwMode="auto">
                                          <a:xfrm>
                                            <a:off x="0" y="0"/>
                                            <a:ext cx="777240" cy="777240"/>
                                          </a:xfrm>
                                          <a:prstGeom prst="rect">
                                            <a:avLst/>
                                          </a:prstGeom>
                                        </pic:spPr>
                                      </pic:pic>
                                    </a:graphicData>
                                  </a:graphic>
                                </wp:inline>
                              </w:drawing>
                            </w:r>
                            <w:r>
                              <w:rPr/>
                              <w:t xml:space="preserve"> </w:t>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0"/>
                              <w:jc w:val="left"/>
                              <w:rPr>
                                <w:rFonts w:ascii="arial" w:hAnsi="arial"/>
                                <w:b/>
                                <w:sz w:val="18"/>
                              </w:rPr>
                            </w:pPr>
                            <w:r>
                              <w:rPr>
                                <w:rFonts w:ascii="arial" w:hAnsi="arial"/>
                                <w:b/>
                                <w:sz w:val="18"/>
                              </w:rPr>
                              <w:t>Troy R. Anderson</w:t>
                            </w:r>
                          </w:p>
                          <w:p>
                            <w:pPr>
                              <w:pStyle w:val="TableContents"/>
                              <w:bidi w:val="0"/>
                              <w:spacing w:before="0" w:after="20"/>
                              <w:jc w:val="left"/>
                              <w:rPr>
                                <w:rFonts w:ascii="arial" w:hAnsi="arial"/>
                                <w:sz w:val="18"/>
                              </w:rPr>
                            </w:pPr>
                            <w:r>
                              <w:rPr>
                                <w:rFonts w:ascii="arial" w:hAnsi="arial"/>
                                <w:sz w:val="18"/>
                              </w:rPr>
                              <w:t>Executive Vice President</w:t>
                              <w:br/>
                              <w:t>and Chief Financial Officer</w:t>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2047" w:type="dxa"/>
                            <w:gridSpan w:val="2"/>
                            <w:tcBorders/>
                            <w:shd w:fill="EDEDED" w:val="clear"/>
                            <w:vAlign w:val="center"/>
                          </w:tcPr>
                          <w:p>
                            <w:pPr>
                              <w:pStyle w:val="TableContents"/>
                              <w:bidi w:val="0"/>
                              <w:spacing w:before="0" w:after="283"/>
                              <w:jc w:val="left"/>
                              <w:rPr>
                                <w:sz w:val="4"/>
                                <w:szCs w:val="4"/>
                              </w:rPr>
                            </w:pPr>
                            <w:r>
                              <w:rPr>
                                <w:sz w:val="4"/>
                                <w:szCs w:val="4"/>
                              </w:rPr>
                            </w:r>
                          </w:p>
                        </w:tc>
                        <w:tc>
                          <w:tcPr>
                            <w:tcW w:w="127" w:type="dxa"/>
                            <w:gridSpan w:val="2"/>
                            <w:tcBorders/>
                            <w:shd w:fill="EDEDED" w:val="clear"/>
                            <w:vAlign w:val="center"/>
                          </w:tcPr>
                          <w:p>
                            <w:pPr>
                              <w:pStyle w:val="TableContents"/>
                              <w:bidi w:val="0"/>
                              <w:spacing w:before="0" w:after="283"/>
                              <w:jc w:val="left"/>
                              <w:rPr>
                                <w:sz w:val="4"/>
                                <w:szCs w:val="4"/>
                              </w:rPr>
                            </w:pPr>
                            <w:r>
                              <w:rPr>
                                <w:sz w:val="4"/>
                                <w:szCs w:val="4"/>
                              </w:rPr>
                            </w:r>
                          </w:p>
                        </w:tc>
                        <w:tc>
                          <w:tcPr>
                            <w:tcW w:w="5463" w:type="dxa"/>
                            <w:gridSpan w:val="2"/>
                            <w:tcBorders/>
                            <w:shd w:fill="EDEDED" w:val="clear"/>
                            <w:vAlign w:val="center"/>
                          </w:tcPr>
                          <w:p>
                            <w:pPr>
                              <w:pStyle w:val="TableContents"/>
                              <w:bidi w:val="0"/>
                              <w:spacing w:before="0" w:after="283"/>
                              <w:jc w:val="left"/>
                              <w:rPr>
                                <w:sz w:val="4"/>
                                <w:szCs w:val="4"/>
                              </w:rPr>
                            </w:pPr>
                            <w:r>
                              <w:rPr>
                                <w:sz w:val="4"/>
                                <w:szCs w:val="4"/>
                              </w:rPr>
                            </w:r>
                          </w:p>
                        </w:tc>
                        <w:tc>
                          <w:tcPr>
                            <w:tcW w:w="57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pPr>
                            <w:r>
                              <w:rPr/>
                              <w:drawing>
                                <wp:inline distT="0" distB="0" distL="0" distR="0">
                                  <wp:extent cx="777240" cy="777240"/>
                                  <wp:effectExtent l="0" t="0" r="0" b="0"/>
                                  <wp:docPr id="182"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60" descr=""/>
                                          <pic:cNvPicPr>
                                            <a:picLocks noChangeAspect="1" noChangeArrowheads="1"/>
                                          </pic:cNvPicPr>
                                        </pic:nvPicPr>
                                        <pic:blipFill>
                                          <a:blip r:embed="rId172"/>
                                          <a:stretch>
                                            <a:fillRect/>
                                          </a:stretch>
                                        </pic:blipFill>
                                        <pic:spPr bwMode="auto">
                                          <a:xfrm>
                                            <a:off x="0" y="0"/>
                                            <a:ext cx="777240" cy="777240"/>
                                          </a:xfrm>
                                          <a:prstGeom prst="rect">
                                            <a:avLst/>
                                          </a:prstGeom>
                                        </pic:spPr>
                                      </pic:pic>
                                    </a:graphicData>
                                  </a:graphic>
                                </wp:inline>
                              </w:drawing>
                            </w:r>
                            <w:r>
                              <w:rPr/>
                              <w:t xml:space="preserve"> </w:t>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0"/>
                              <w:jc w:val="left"/>
                              <w:rPr>
                                <w:rFonts w:ascii="arial" w:hAnsi="arial"/>
                                <w:b/>
                                <w:sz w:val="18"/>
                              </w:rPr>
                            </w:pPr>
                            <w:r>
                              <w:rPr>
                                <w:rFonts w:ascii="arial" w:hAnsi="arial"/>
                                <w:b/>
                                <w:sz w:val="18"/>
                              </w:rPr>
                              <w:t>*Tammy L. Browning</w:t>
                            </w:r>
                          </w:p>
                          <w:p>
                            <w:pPr>
                              <w:pStyle w:val="TableContents"/>
                              <w:bidi w:val="0"/>
                              <w:spacing w:before="0" w:after="0"/>
                              <w:jc w:val="left"/>
                              <w:rPr>
                                <w:rFonts w:ascii="arial" w:hAnsi="arial"/>
                                <w:sz w:val="18"/>
                              </w:rPr>
                            </w:pPr>
                            <w:r>
                              <w:rPr>
                                <w:rFonts w:ascii="arial" w:hAnsi="arial"/>
                                <w:sz w:val="18"/>
                              </w:rPr>
                              <w:t>Senior Vice President</w:t>
                            </w:r>
                          </w:p>
                          <w:p>
                            <w:pPr>
                              <w:pStyle w:val="TableContents"/>
                              <w:bidi w:val="0"/>
                              <w:spacing w:before="0" w:after="20"/>
                              <w:jc w:val="left"/>
                              <w:rPr>
                                <w:rFonts w:ascii="arial" w:hAnsi="arial"/>
                                <w:sz w:val="18"/>
                              </w:rPr>
                            </w:pPr>
                            <w:r>
                              <w:rPr>
                                <w:rFonts w:ascii="arial" w:hAnsi="arial"/>
                                <w:sz w:val="18"/>
                              </w:rPr>
                              <w:t>Group President, Enterprise</w:t>
                              <w:br/>
                              <w:t>Talent Management</w:t>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2047" w:type="dxa"/>
                            <w:gridSpan w:val="2"/>
                            <w:tcBorders/>
                            <w:shd w:fill="EDEDED" w:val="clear"/>
                            <w:vAlign w:val="center"/>
                          </w:tcPr>
                          <w:p>
                            <w:pPr>
                              <w:pStyle w:val="TableContents"/>
                              <w:bidi w:val="0"/>
                              <w:spacing w:before="0" w:after="283"/>
                              <w:jc w:val="left"/>
                              <w:rPr>
                                <w:sz w:val="4"/>
                                <w:szCs w:val="4"/>
                              </w:rPr>
                            </w:pPr>
                            <w:r>
                              <w:rPr>
                                <w:sz w:val="4"/>
                                <w:szCs w:val="4"/>
                              </w:rPr>
                            </w:r>
                          </w:p>
                        </w:tc>
                        <w:tc>
                          <w:tcPr>
                            <w:tcW w:w="127" w:type="dxa"/>
                            <w:gridSpan w:val="2"/>
                            <w:tcBorders/>
                            <w:shd w:fill="EDEDED" w:val="clear"/>
                            <w:vAlign w:val="center"/>
                          </w:tcPr>
                          <w:p>
                            <w:pPr>
                              <w:pStyle w:val="TableContents"/>
                              <w:bidi w:val="0"/>
                              <w:spacing w:before="0" w:after="283"/>
                              <w:jc w:val="left"/>
                              <w:rPr>
                                <w:sz w:val="4"/>
                                <w:szCs w:val="4"/>
                              </w:rPr>
                            </w:pPr>
                            <w:r>
                              <w:rPr>
                                <w:sz w:val="4"/>
                                <w:szCs w:val="4"/>
                              </w:rPr>
                            </w:r>
                          </w:p>
                        </w:tc>
                        <w:tc>
                          <w:tcPr>
                            <w:tcW w:w="5463" w:type="dxa"/>
                            <w:gridSpan w:val="2"/>
                            <w:tcBorders/>
                            <w:shd w:fill="EDEDED" w:val="clear"/>
                            <w:vAlign w:val="center"/>
                          </w:tcPr>
                          <w:p>
                            <w:pPr>
                              <w:pStyle w:val="TableContents"/>
                              <w:bidi w:val="0"/>
                              <w:spacing w:before="0" w:after="283"/>
                              <w:jc w:val="left"/>
                              <w:rPr>
                                <w:sz w:val="4"/>
                                <w:szCs w:val="4"/>
                              </w:rPr>
                            </w:pPr>
                            <w:r>
                              <w:rPr>
                                <w:sz w:val="4"/>
                                <w:szCs w:val="4"/>
                              </w:rPr>
                            </w:r>
                          </w:p>
                        </w:tc>
                        <w:tc>
                          <w:tcPr>
                            <w:tcW w:w="57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pPr>
                            <w:r>
                              <w:rPr/>
                              <w:drawing>
                                <wp:inline distT="0" distB="0" distL="0" distR="0">
                                  <wp:extent cx="777240" cy="777240"/>
                                  <wp:effectExtent l="0" t="0" r="0" b="0"/>
                                  <wp:docPr id="183"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61" descr=""/>
                                          <pic:cNvPicPr>
                                            <a:picLocks noChangeAspect="1" noChangeArrowheads="1"/>
                                          </pic:cNvPicPr>
                                        </pic:nvPicPr>
                                        <pic:blipFill>
                                          <a:blip r:embed="rId173"/>
                                          <a:stretch>
                                            <a:fillRect/>
                                          </a:stretch>
                                        </pic:blipFill>
                                        <pic:spPr bwMode="auto">
                                          <a:xfrm>
                                            <a:off x="0" y="0"/>
                                            <a:ext cx="777240" cy="777240"/>
                                          </a:xfrm>
                                          <a:prstGeom prst="rect">
                                            <a:avLst/>
                                          </a:prstGeom>
                                        </pic:spPr>
                                      </pic:pic>
                                    </a:graphicData>
                                  </a:graphic>
                                </wp:inline>
                              </w:drawing>
                            </w:r>
                            <w:r>
                              <w:rPr/>
                              <w:t xml:space="preserve"> </w:t>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0"/>
                              <w:jc w:val="left"/>
                              <w:rPr>
                                <w:rFonts w:ascii="arial" w:hAnsi="arial"/>
                                <w:b/>
                                <w:sz w:val="18"/>
                              </w:rPr>
                            </w:pPr>
                            <w:r>
                              <w:rPr>
                                <w:rFonts w:ascii="arial" w:hAnsi="arial"/>
                                <w:b/>
                                <w:sz w:val="18"/>
                              </w:rPr>
                              <w:t>Vanessa P. Williams</w:t>
                            </w:r>
                          </w:p>
                          <w:p>
                            <w:pPr>
                              <w:pStyle w:val="TableContents"/>
                              <w:bidi w:val="0"/>
                              <w:spacing w:before="0" w:after="20"/>
                              <w:jc w:val="left"/>
                              <w:rPr>
                                <w:rFonts w:ascii="arial" w:hAnsi="arial"/>
                                <w:sz w:val="18"/>
                              </w:rPr>
                            </w:pPr>
                            <w:r>
                              <w:rPr>
                                <w:rFonts w:ascii="arial" w:hAnsi="arial"/>
                                <w:sz w:val="18"/>
                              </w:rPr>
                              <w:t>Executive Vice President,</w:t>
                              <w:br/>
                              <w:t>General Counsel and Corporate Secretary</w:t>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2047" w:type="dxa"/>
                            <w:gridSpan w:val="2"/>
                            <w:tcBorders/>
                            <w:shd w:fill="EDEDED" w:val="clear"/>
                            <w:vAlign w:val="center"/>
                          </w:tcPr>
                          <w:p>
                            <w:pPr>
                              <w:pStyle w:val="TableContents"/>
                              <w:bidi w:val="0"/>
                              <w:spacing w:before="0" w:after="283"/>
                              <w:jc w:val="left"/>
                              <w:rPr>
                                <w:sz w:val="4"/>
                                <w:szCs w:val="4"/>
                              </w:rPr>
                            </w:pPr>
                            <w:r>
                              <w:rPr>
                                <w:sz w:val="4"/>
                                <w:szCs w:val="4"/>
                              </w:rPr>
                            </w:r>
                          </w:p>
                        </w:tc>
                        <w:tc>
                          <w:tcPr>
                            <w:tcW w:w="127" w:type="dxa"/>
                            <w:gridSpan w:val="2"/>
                            <w:tcBorders/>
                            <w:shd w:fill="EDEDED" w:val="clear"/>
                            <w:vAlign w:val="center"/>
                          </w:tcPr>
                          <w:p>
                            <w:pPr>
                              <w:pStyle w:val="TableContents"/>
                              <w:bidi w:val="0"/>
                              <w:spacing w:before="0" w:after="283"/>
                              <w:jc w:val="left"/>
                              <w:rPr>
                                <w:sz w:val="4"/>
                                <w:szCs w:val="4"/>
                              </w:rPr>
                            </w:pPr>
                            <w:r>
                              <w:rPr>
                                <w:sz w:val="4"/>
                                <w:szCs w:val="4"/>
                              </w:rPr>
                            </w:r>
                          </w:p>
                        </w:tc>
                        <w:tc>
                          <w:tcPr>
                            <w:tcW w:w="5463" w:type="dxa"/>
                            <w:gridSpan w:val="2"/>
                            <w:tcBorders/>
                            <w:shd w:fill="EDEDED" w:val="clear"/>
                            <w:vAlign w:val="center"/>
                          </w:tcPr>
                          <w:p>
                            <w:pPr>
                              <w:pStyle w:val="TableContents"/>
                              <w:bidi w:val="0"/>
                              <w:spacing w:before="0" w:after="283"/>
                              <w:jc w:val="left"/>
                              <w:rPr>
                                <w:sz w:val="4"/>
                                <w:szCs w:val="4"/>
                              </w:rPr>
                            </w:pPr>
                            <w:r>
                              <w:rPr>
                                <w:sz w:val="4"/>
                                <w:szCs w:val="4"/>
                              </w:rPr>
                            </w:r>
                          </w:p>
                        </w:tc>
                        <w:tc>
                          <w:tcPr>
                            <w:tcW w:w="57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pPr>
                            <w:r>
                              <w:rPr/>
                              <w:drawing>
                                <wp:inline distT="0" distB="0" distL="0" distR="0">
                                  <wp:extent cx="777240" cy="777240"/>
                                  <wp:effectExtent l="0" t="0" r="0" b="0"/>
                                  <wp:docPr id="184"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62" descr=""/>
                                          <pic:cNvPicPr>
                                            <a:picLocks noChangeAspect="1" noChangeArrowheads="1"/>
                                          </pic:cNvPicPr>
                                        </pic:nvPicPr>
                                        <pic:blipFill>
                                          <a:blip r:embed="rId174"/>
                                          <a:stretch>
                                            <a:fillRect/>
                                          </a:stretch>
                                        </pic:blipFill>
                                        <pic:spPr bwMode="auto">
                                          <a:xfrm>
                                            <a:off x="0" y="0"/>
                                            <a:ext cx="777240" cy="777240"/>
                                          </a:xfrm>
                                          <a:prstGeom prst="rect">
                                            <a:avLst/>
                                          </a:prstGeom>
                                        </pic:spPr>
                                      </pic:pic>
                                    </a:graphicData>
                                  </a:graphic>
                                </wp:inline>
                              </w:drawing>
                            </w:r>
                            <w:r>
                              <w:rPr/>
                              <w:t xml:space="preserve"> </w:t>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0"/>
                              <w:jc w:val="left"/>
                              <w:rPr>
                                <w:rFonts w:ascii="arial" w:hAnsi="arial"/>
                                <w:b/>
                                <w:sz w:val="18"/>
                              </w:rPr>
                            </w:pPr>
                            <w:r>
                              <w:rPr>
                                <w:rFonts w:ascii="arial" w:hAnsi="arial"/>
                                <w:b/>
                                <w:sz w:val="18"/>
                              </w:rPr>
                              <w:t>Nicola M. Soares</w:t>
                            </w:r>
                          </w:p>
                          <w:p>
                            <w:pPr>
                              <w:pStyle w:val="TableContents"/>
                              <w:bidi w:val="0"/>
                              <w:spacing w:before="0" w:after="20"/>
                              <w:jc w:val="left"/>
                              <w:rPr>
                                <w:rFonts w:ascii="arial" w:hAnsi="arial"/>
                                <w:sz w:val="18"/>
                              </w:rPr>
                            </w:pPr>
                            <w:r>
                              <w:rPr>
                                <w:rFonts w:ascii="arial" w:hAnsi="arial"/>
                                <w:sz w:val="18"/>
                              </w:rPr>
                              <w:t>Senior Vice President and</w:t>
                              <w:br/>
                              <w:t>President Education</w:t>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2047" w:type="dxa"/>
                            <w:gridSpan w:val="2"/>
                            <w:tcBorders/>
                            <w:shd w:fill="EDEDED" w:val="clear"/>
                            <w:vAlign w:val="center"/>
                          </w:tcPr>
                          <w:p>
                            <w:pPr>
                              <w:pStyle w:val="TableContents"/>
                              <w:bidi w:val="0"/>
                              <w:spacing w:before="0" w:after="283"/>
                              <w:jc w:val="left"/>
                              <w:rPr>
                                <w:sz w:val="4"/>
                                <w:szCs w:val="4"/>
                              </w:rPr>
                            </w:pPr>
                            <w:r>
                              <w:rPr>
                                <w:sz w:val="4"/>
                                <w:szCs w:val="4"/>
                              </w:rPr>
                            </w:r>
                          </w:p>
                        </w:tc>
                        <w:tc>
                          <w:tcPr>
                            <w:tcW w:w="127" w:type="dxa"/>
                            <w:gridSpan w:val="2"/>
                            <w:tcBorders/>
                            <w:shd w:fill="EDEDED" w:val="clear"/>
                            <w:vAlign w:val="center"/>
                          </w:tcPr>
                          <w:p>
                            <w:pPr>
                              <w:pStyle w:val="TableContents"/>
                              <w:bidi w:val="0"/>
                              <w:spacing w:before="0" w:after="283"/>
                              <w:jc w:val="left"/>
                              <w:rPr>
                                <w:sz w:val="4"/>
                                <w:szCs w:val="4"/>
                              </w:rPr>
                            </w:pPr>
                            <w:r>
                              <w:rPr>
                                <w:sz w:val="4"/>
                                <w:szCs w:val="4"/>
                              </w:rPr>
                            </w:r>
                          </w:p>
                        </w:tc>
                        <w:tc>
                          <w:tcPr>
                            <w:tcW w:w="5463" w:type="dxa"/>
                            <w:gridSpan w:val="2"/>
                            <w:tcBorders/>
                            <w:shd w:fill="EDEDED" w:val="clear"/>
                            <w:vAlign w:val="center"/>
                          </w:tcPr>
                          <w:p>
                            <w:pPr>
                              <w:pStyle w:val="TableContents"/>
                              <w:bidi w:val="0"/>
                              <w:spacing w:before="0" w:after="283"/>
                              <w:jc w:val="left"/>
                              <w:rPr>
                                <w:sz w:val="4"/>
                                <w:szCs w:val="4"/>
                              </w:rPr>
                            </w:pPr>
                            <w:r>
                              <w:rPr>
                                <w:sz w:val="4"/>
                                <w:szCs w:val="4"/>
                              </w:rPr>
                            </w:r>
                          </w:p>
                        </w:tc>
                        <w:tc>
                          <w:tcPr>
                            <w:tcW w:w="57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0"/>
                              <w:jc w:val="left"/>
                              <w:rPr>
                                <w:rFonts w:ascii="arial" w:hAnsi="arial"/>
                                <w:b/>
                                <w:sz w:val="18"/>
                              </w:rPr>
                            </w:pPr>
                            <w:r>
                              <w:rPr>
                                <w:rFonts w:ascii="arial" w:hAnsi="arial"/>
                                <w:b/>
                                <w:sz w:val="18"/>
                              </w:rPr>
                              <w:t>Peter W. Quigley</w:t>
                            </w:r>
                          </w:p>
                          <w:p>
                            <w:pPr>
                              <w:pStyle w:val="TableContents"/>
                              <w:bidi w:val="0"/>
                              <w:spacing w:before="0" w:after="20"/>
                              <w:jc w:val="left"/>
                              <w:rPr>
                                <w:rFonts w:ascii="arial" w:hAnsi="arial"/>
                                <w:sz w:val="18"/>
                              </w:rPr>
                            </w:pPr>
                            <w:r>
                              <w:rPr>
                                <w:rFonts w:ascii="arial" w:hAnsi="arial"/>
                                <w:sz w:val="18"/>
                              </w:rPr>
                              <w:t>Former Chief Executive Officer</w:t>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2047" w:type="dxa"/>
                            <w:gridSpan w:val="2"/>
                            <w:tcBorders/>
                            <w:shd w:fill="EDEDED" w:val="clear"/>
                            <w:vAlign w:val="center"/>
                          </w:tcPr>
                          <w:p>
                            <w:pPr>
                              <w:pStyle w:val="TableContents"/>
                              <w:bidi w:val="0"/>
                              <w:spacing w:before="0" w:after="283"/>
                              <w:jc w:val="left"/>
                              <w:rPr>
                                <w:sz w:val="4"/>
                                <w:szCs w:val="4"/>
                              </w:rPr>
                            </w:pPr>
                            <w:r>
                              <w:rPr>
                                <w:sz w:val="4"/>
                                <w:szCs w:val="4"/>
                              </w:rPr>
                            </w:r>
                          </w:p>
                        </w:tc>
                        <w:tc>
                          <w:tcPr>
                            <w:tcW w:w="127" w:type="dxa"/>
                            <w:gridSpan w:val="2"/>
                            <w:tcBorders/>
                            <w:shd w:fill="EDEDED" w:val="clear"/>
                            <w:vAlign w:val="center"/>
                          </w:tcPr>
                          <w:p>
                            <w:pPr>
                              <w:pStyle w:val="TableContents"/>
                              <w:bidi w:val="0"/>
                              <w:spacing w:before="0" w:after="283"/>
                              <w:jc w:val="left"/>
                              <w:rPr>
                                <w:sz w:val="4"/>
                                <w:szCs w:val="4"/>
                              </w:rPr>
                            </w:pPr>
                            <w:r>
                              <w:rPr>
                                <w:sz w:val="4"/>
                                <w:szCs w:val="4"/>
                              </w:rPr>
                            </w:r>
                          </w:p>
                        </w:tc>
                        <w:tc>
                          <w:tcPr>
                            <w:tcW w:w="5463" w:type="dxa"/>
                            <w:gridSpan w:val="2"/>
                            <w:tcBorders/>
                            <w:shd w:fill="EDEDED" w:val="clear"/>
                            <w:vAlign w:val="center"/>
                          </w:tcPr>
                          <w:p>
                            <w:pPr>
                              <w:pStyle w:val="TableContents"/>
                              <w:bidi w:val="0"/>
                              <w:spacing w:before="0" w:after="283"/>
                              <w:jc w:val="left"/>
                              <w:rPr>
                                <w:sz w:val="4"/>
                                <w:szCs w:val="4"/>
                              </w:rPr>
                            </w:pPr>
                            <w:r>
                              <w:rPr>
                                <w:sz w:val="4"/>
                                <w:szCs w:val="4"/>
                              </w:rPr>
                            </w:r>
                          </w:p>
                        </w:tc>
                        <w:tc>
                          <w:tcPr>
                            <w:tcW w:w="57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987"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92" w:type="dxa"/>
                            <w:tcBorders/>
                            <w:shd w:fill="EDEDED" w:val="clear"/>
                            <w:vAlign w:val="center"/>
                          </w:tcPr>
                          <w:p>
                            <w:pPr>
                              <w:pStyle w:val="TableContents"/>
                              <w:bidi w:val="0"/>
                              <w:spacing w:before="0" w:after="283"/>
                              <w:jc w:val="left"/>
                              <w:rPr/>
                            </w:pPr>
                            <w:r>
                              <w:rPr/>
                              <w:t> </w:t>
                            </w:r>
                          </w:p>
                        </w:tc>
                        <w:tc>
                          <w:tcPr>
                            <w:tcW w:w="5371"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515" w:type="dxa"/>
                            <w:tcBorders/>
                            <w:shd w:fill="EDEDED"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28">
                <wp:simplePos x="0" y="0"/>
                <wp:positionH relativeFrom="column">
                  <wp:align>left</wp:align>
                </wp:positionH>
                <wp:positionV relativeFrom="line">
                  <wp:posOffset>635</wp:posOffset>
                </wp:positionV>
                <wp:extent cx="3175000" cy="9972040"/>
                <wp:effectExtent l="0" t="0" r="0" b="0"/>
                <wp:wrapSquare wrapText="right"/>
                <wp:docPr id="185" name="Frame1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jc w:val="left"/>
                              <w:rPr>
                                <w:rFonts w:ascii="arial" w:hAnsi="arial"/>
                                <w:sz w:val="18"/>
                              </w:rPr>
                            </w:pPr>
                            <w:r>
                              <w:rPr>
                                <w:rFonts w:ascii="arial" w:hAnsi="arial"/>
                                <w:sz w:val="18"/>
                              </w:rPr>
                              <w:t xml:space="preserve">The Compensation Discussion and Analysis is organized in the following sections: </w:t>
                            </w:r>
                          </w:p>
                          <w:p>
                            <w:pPr>
                              <w:pStyle w:val="TextBody"/>
                              <w:bidi w:val="0"/>
                              <w:spacing w:before="360" w:after="0"/>
                              <w:jc w:val="left"/>
                              <w:rPr>
                                <w:rFonts w:ascii="arial" w:hAnsi="arial"/>
                                <w:b/>
                                <w:sz w:val="24"/>
                              </w:rPr>
                            </w:pPr>
                            <w:r>
                              <w:rPr>
                                <w:rFonts w:ascii="arial" w:hAnsi="arial"/>
                                <w:b/>
                                <w:sz w:val="24"/>
                              </w:rPr>
                              <w:t xml:space="preserve">CD&amp;A Table of Contents </w:t>
                            </w:r>
                          </w:p>
                          <w:p>
                            <w:pPr>
                              <w:pStyle w:val="TextBody"/>
                              <w:bidi w:val="0"/>
                              <w:spacing w:before="0" w:after="0"/>
                              <w:jc w:val="left"/>
                              <w:rPr/>
                            </w:pPr>
                            <w:r>
                              <w:rPr/>
                              <w:t> </w:t>
                            </w:r>
                          </w:p>
                          <w:tbl>
                            <w:tblPr>
                              <w:tblW w:w="6730" w:type="dxa"/>
                              <w:jc w:val="left"/>
                              <w:tblInd w:w="0" w:type="dxa"/>
                              <w:tblLayout w:type="fixed"/>
                              <w:tblCellMar>
                                <w:top w:w="0" w:type="dxa"/>
                                <w:left w:w="0" w:type="dxa"/>
                                <w:bottom w:w="0" w:type="dxa"/>
                                <w:right w:w="0" w:type="dxa"/>
                              </w:tblCellMar>
                            </w:tblPr>
                            <w:tblGrid>
                              <w:gridCol w:w="6275"/>
                              <w:gridCol w:w="60"/>
                              <w:gridCol w:w="60"/>
                              <w:gridCol w:w="260"/>
                              <w:gridCol w:w="75"/>
                            </w:tblGrid>
                            <w:tr>
                              <w:trPr/>
                              <w:tc>
                                <w:tcPr>
                                  <w:tcW w:w="6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275" w:type="dxa"/>
                                  <w:tcBorders>
                                    <w:bottom w:val="single" w:sz="6" w:space="0" w:color="00AE4F"/>
                                  </w:tcBorders>
                                  <w:tcMar>
                                    <w:bottom w:w="80" w:type="dxa"/>
                                  </w:tcMar>
                                  <w:vAlign w:val="center"/>
                                </w:tcPr>
                                <w:p>
                                  <w:pPr>
                                    <w:pStyle w:val="TableContents"/>
                                    <w:bidi w:val="0"/>
                                    <w:spacing w:before="0" w:after="283"/>
                                    <w:jc w:val="left"/>
                                    <w:rPr/>
                                  </w:pPr>
                                  <w:hyperlink w:anchor="txa2837686_201">
                                    <w:r>
                                      <w:rPr>
                                        <w:rStyle w:val="InternetLink"/>
                                        <w:b/>
                                        <w:color w:val="00AE4F"/>
                                      </w:rPr>
                                      <w:t>2025 Named Executive Officers</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45</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6275" w:type="dxa"/>
                                  <w:tcBorders>
                                    <w:bottom w:val="single" w:sz="6" w:space="0" w:color="00AE4F"/>
                                  </w:tcBorders>
                                  <w:tcMar>
                                    <w:bottom w:w="80" w:type="dxa"/>
                                  </w:tcMar>
                                  <w:vAlign w:val="center"/>
                                </w:tcPr>
                                <w:p>
                                  <w:pPr>
                                    <w:pStyle w:val="TableContents"/>
                                    <w:bidi w:val="0"/>
                                    <w:spacing w:before="0" w:after="283"/>
                                    <w:jc w:val="left"/>
                                    <w:rPr/>
                                  </w:pPr>
                                  <w:hyperlink w:anchor="txa2837686_202">
                                    <w:r>
                                      <w:rPr>
                                        <w:rStyle w:val="InternetLink"/>
                                        <w:b/>
                                        <w:color w:val="00AE4F"/>
                                      </w:rPr>
                                      <w:t>Executive Summary</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47</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6275" w:type="dxa"/>
                                  <w:tcBorders/>
                                  <w:vAlign w:val="center"/>
                                </w:tcPr>
                                <w:p>
                                  <w:pPr>
                                    <w:pStyle w:val="TableContents"/>
                                    <w:bidi w:val="0"/>
                                    <w:spacing w:before="0" w:after="283"/>
                                    <w:jc w:val="left"/>
                                    <w:rPr/>
                                  </w:pPr>
                                  <w:hyperlink w:anchor="txa2837686_203">
                                    <w:r>
                                      <w:rPr>
                                        <w:rStyle w:val="InternetLink"/>
                                      </w:rPr>
                                      <w:t>Fiscal 2025 Performance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275" w:type="dxa"/>
                                  <w:tcBorders/>
                                  <w:vAlign w:val="center"/>
                                </w:tcPr>
                                <w:p>
                                  <w:pPr>
                                    <w:pStyle w:val="TableContents"/>
                                    <w:bidi w:val="0"/>
                                    <w:spacing w:before="0" w:after="283"/>
                                    <w:jc w:val="left"/>
                                    <w:rPr/>
                                  </w:pPr>
                                  <w:hyperlink w:anchor="txa2837686_204">
                                    <w:r>
                                      <w:rPr>
                                        <w:rStyle w:val="InternetLink"/>
                                      </w:rPr>
                                      <w:t>Key Executive Compensation Program Highlights for Fiscal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5">
                                    <w:r>
                                      <w:rPr>
                                        <w:rStyle w:val="InternetLink"/>
                                      </w:rPr>
                                      <w:t>Annual Say on Pay Vote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6275" w:type="dxa"/>
                                  <w:tcBorders>
                                    <w:bottom w:val="single" w:sz="6" w:space="0" w:color="00AE4F"/>
                                  </w:tcBorders>
                                  <w:tcMar>
                                    <w:bottom w:w="80" w:type="dxa"/>
                                  </w:tcMar>
                                  <w:vAlign w:val="center"/>
                                </w:tcPr>
                                <w:p>
                                  <w:pPr>
                                    <w:pStyle w:val="TableContents"/>
                                    <w:bidi w:val="0"/>
                                    <w:spacing w:before="0" w:after="283"/>
                                    <w:jc w:val="left"/>
                                    <w:rPr/>
                                  </w:pPr>
                                  <w:hyperlink w:anchor="txa2837686_206">
                                    <w:r>
                                      <w:rPr>
                                        <w:rStyle w:val="InternetLink"/>
                                        <w:b/>
                                        <w:color w:val="00AE4F"/>
                                      </w:rPr>
                                      <w:t>Executive Compensation Philosophy, Objectives, and Design</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50</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6275" w:type="dxa"/>
                                  <w:tcBorders/>
                                  <w:vAlign w:val="center"/>
                                </w:tcPr>
                                <w:p>
                                  <w:pPr>
                                    <w:pStyle w:val="TableContents"/>
                                    <w:bidi w:val="0"/>
                                    <w:spacing w:before="0" w:after="283"/>
                                    <w:jc w:val="left"/>
                                    <w:rPr/>
                                  </w:pPr>
                                  <w:hyperlink w:anchor="txa2837686_207">
                                    <w:r>
                                      <w:rPr>
                                        <w:rStyle w:val="InternetLink"/>
                                      </w:rPr>
                                      <w:t>CEO and Other Named Executive Officers Pay Mix</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8">
                                    <w:r>
                                      <w:rPr>
                                        <w:rStyle w:val="InternetLink"/>
                                      </w:rPr>
                                      <w:t>Elements of Compensation for Named Executive Officers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9">
                                    <w:r>
                                      <w:rPr>
                                        <w:rStyle w:val="InternetLink"/>
                                      </w:rPr>
                                      <w:t>2026 Executive Incentive Plans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6275" w:type="dxa"/>
                                  <w:tcBorders>
                                    <w:bottom w:val="single" w:sz="6" w:space="0" w:color="00AE4F"/>
                                  </w:tcBorders>
                                  <w:tcMar>
                                    <w:bottom w:w="80" w:type="dxa"/>
                                  </w:tcMar>
                                  <w:vAlign w:val="center"/>
                                </w:tcPr>
                                <w:p>
                                  <w:pPr>
                                    <w:pStyle w:val="TableContents"/>
                                    <w:bidi w:val="0"/>
                                    <w:spacing w:before="0" w:after="283"/>
                                    <w:jc w:val="left"/>
                                    <w:rPr/>
                                  </w:pPr>
                                  <w:hyperlink w:anchor="txa2837686_2010">
                                    <w:r>
                                      <w:rPr>
                                        <w:rStyle w:val="InternetLink"/>
                                        <w:b/>
                                        <w:color w:val="00AE4F"/>
                                      </w:rPr>
                                      <w:t>Process for Determining Executive Compensation</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52</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6275" w:type="dxa"/>
                                  <w:tcBorders/>
                                  <w:vAlign w:val="center"/>
                                </w:tcPr>
                                <w:p>
                                  <w:pPr>
                                    <w:pStyle w:val="TableContents"/>
                                    <w:bidi w:val="0"/>
                                    <w:spacing w:before="0" w:after="283"/>
                                    <w:jc w:val="left"/>
                                    <w:rPr/>
                                  </w:pPr>
                                  <w:hyperlink w:anchor="txa2837686_2011">
                                    <w:r>
                                      <w:rPr>
                                        <w:rStyle w:val="InternetLink"/>
                                      </w:rPr>
                                      <w:t>Role of the Compensation and Talent Management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275" w:type="dxa"/>
                                  <w:tcBorders/>
                                  <w:vAlign w:val="center"/>
                                </w:tcPr>
                                <w:p>
                                  <w:pPr>
                                    <w:pStyle w:val="TableContents"/>
                                    <w:bidi w:val="0"/>
                                    <w:spacing w:before="0" w:after="283"/>
                                    <w:jc w:val="left"/>
                                    <w:rPr/>
                                  </w:pPr>
                                  <w:hyperlink w:anchor="txa2837686_2012">
                                    <w:r>
                                      <w:rPr>
                                        <w:rStyle w:val="InternetLink"/>
                                      </w:rPr>
                                      <w:t>Role of the Independent Compensation Consultant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13">
                                    <w:r>
                                      <w:rPr>
                                        <w:rStyle w:val="InternetLink"/>
                                      </w:rPr>
                                      <w:t>Role of Management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14">
                                    <w:r>
                                      <w:rPr>
                                        <w:rStyle w:val="InternetLink"/>
                                      </w:rPr>
                                      <w:t>Comparator Data</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15">
                                    <w:r>
                                      <w:rPr>
                                        <w:rStyle w:val="InternetLink"/>
                                      </w:rPr>
                                      <w:t>Senior Officer Performance Reviews and Succession Planning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6275" w:type="dxa"/>
                                  <w:tcBorders>
                                    <w:bottom w:val="single" w:sz="6" w:space="0" w:color="00AE4F"/>
                                  </w:tcBorders>
                                  <w:tcMar>
                                    <w:bottom w:w="80" w:type="dxa"/>
                                  </w:tcMar>
                                  <w:vAlign w:val="center"/>
                                </w:tcPr>
                                <w:p>
                                  <w:pPr>
                                    <w:pStyle w:val="TableContents"/>
                                    <w:bidi w:val="0"/>
                                    <w:spacing w:before="0" w:after="283"/>
                                    <w:jc w:val="left"/>
                                    <w:rPr/>
                                  </w:pPr>
                                  <w:hyperlink w:anchor="txa2837686_2016">
                                    <w:r>
                                      <w:rPr>
                                        <w:rStyle w:val="InternetLink"/>
                                        <w:b/>
                                        <w:color w:val="00AE4F"/>
                                      </w:rPr>
                                      <w:t>Compensation Programs:</w:t>
                                      <w:br/>
                                      <w:t>Decisions and Actions in 2025</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54</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6275" w:type="dxa"/>
                                  <w:tcBorders/>
                                  <w:vAlign w:val="center"/>
                                </w:tcPr>
                                <w:p>
                                  <w:pPr>
                                    <w:pStyle w:val="TableContents"/>
                                    <w:bidi w:val="0"/>
                                    <w:spacing w:before="0" w:after="283"/>
                                    <w:jc w:val="left"/>
                                    <w:rPr/>
                                  </w:pPr>
                                  <w:hyperlink w:anchor="txa2837686_2017">
                                    <w:r>
                                      <w:rPr>
                                        <w:rStyle w:val="InternetLink"/>
                                      </w:rPr>
                                      <w:t>Base Salary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18">
                                    <w:r>
                                      <w:rPr>
                                        <w:rStyle w:val="InternetLink"/>
                                      </w:rPr>
                                      <w:t>Annual Cash Incentive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19">
                                    <w:r>
                                      <w:rPr>
                                        <w:rStyle w:val="InternetLink"/>
                                      </w:rPr>
                                      <w:t>Long-Term Incentives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6275" w:type="dxa"/>
                                  <w:tcBorders>
                                    <w:bottom w:val="single" w:sz="6" w:space="0" w:color="00AE4F"/>
                                  </w:tcBorders>
                                  <w:tcMar>
                                    <w:bottom w:w="80" w:type="dxa"/>
                                  </w:tcMar>
                                  <w:vAlign w:val="center"/>
                                </w:tcPr>
                                <w:p>
                                  <w:pPr>
                                    <w:pStyle w:val="TableContents"/>
                                    <w:bidi w:val="0"/>
                                    <w:spacing w:before="0" w:after="283"/>
                                    <w:jc w:val="left"/>
                                    <w:rPr/>
                                  </w:pPr>
                                  <w:hyperlink w:anchor="txa2837686_2023">
                                    <w:r>
                                      <w:rPr>
                                        <w:rStyle w:val="InternetLink"/>
                                        <w:b/>
                                        <w:color w:val="00AE4F"/>
                                      </w:rPr>
                                      <w:t>Governance of Executive Compensation Programs</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60</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6275" w:type="dxa"/>
                                  <w:tcBorders/>
                                  <w:vAlign w:val="center"/>
                                </w:tcPr>
                                <w:p>
                                  <w:pPr>
                                    <w:pStyle w:val="TableContents"/>
                                    <w:bidi w:val="0"/>
                                    <w:spacing w:before="0" w:after="283"/>
                                    <w:jc w:val="left"/>
                                    <w:rPr/>
                                  </w:pPr>
                                  <w:hyperlink w:anchor="txa2837686_2024">
                                    <w:r>
                                      <w:rPr>
                                        <w:rStyle w:val="InternetLink"/>
                                      </w:rPr>
                                      <w:t>Executive Stock Ownership and Retention Requirements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25">
                                    <w:r>
                                      <w:rPr>
                                        <w:rStyle w:val="InternetLink"/>
                                      </w:rPr>
                                      <w:t>Incentive Compensation Recovery (“Clawback”)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26">
                                    <w:r>
                                      <w:rPr>
                                        <w:rStyle w:val="InternetLink"/>
                                      </w:rPr>
                                      <w:t>Hedging and Pledging of Shares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20">
                                    <w:r>
                                      <w:rPr>
                                        <w:rStyle w:val="InternetLink"/>
                                      </w:rPr>
                                      <w:t>Retirement Benefits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21">
                                    <w:r>
                                      <w:rPr>
                                        <w:rStyle w:val="InternetLink"/>
                                      </w:rPr>
                                      <w:t>Perquisites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22">
                                    <w:r>
                                      <w:rPr>
                                        <w:rStyle w:val="InternetLink"/>
                                      </w:rPr>
                                      <w:t>Senior Executive Severance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27">
                                    <w:r>
                                      <w:rPr>
                                        <w:rStyle w:val="InternetLink"/>
                                      </w:rPr>
                                      <w:t>Tax Considerations: Deductibility of Executive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6275" w:type="dxa"/>
                                  <w:tcBorders>
                                    <w:bottom w:val="single" w:sz="6" w:space="0" w:color="00AE4F"/>
                                  </w:tcBorders>
                                  <w:tcMar>
                                    <w:bottom w:w="80" w:type="dxa"/>
                                  </w:tcMar>
                                  <w:vAlign w:val="center"/>
                                </w:tcPr>
                                <w:p>
                                  <w:pPr>
                                    <w:pStyle w:val="TableContents"/>
                                    <w:bidi w:val="0"/>
                                    <w:spacing w:before="0" w:after="0"/>
                                    <w:jc w:val="left"/>
                                    <w:rPr/>
                                  </w:pPr>
                                  <w:hyperlink w:anchor="txa2837686_2028">
                                    <w:r>
                                      <w:rPr>
                                        <w:rStyle w:val="InternetLink"/>
                                        <w:rFonts w:ascii="arial" w:hAnsi="arial"/>
                                        <w:b/>
                                        <w:color w:val="00AE4F"/>
                                        <w:sz w:val="18"/>
                                      </w:rPr>
                                      <w:t>Compensation and Talent Management</w:t>
                                    </w:r>
                                  </w:hyperlink>
                                </w:p>
                                <w:p>
                                  <w:pPr>
                                    <w:pStyle w:val="TableContents"/>
                                    <w:bidi w:val="0"/>
                                    <w:spacing w:before="0" w:after="20"/>
                                    <w:jc w:val="left"/>
                                    <w:rPr/>
                                  </w:pPr>
                                  <w:hyperlink w:anchor="txa2837686_2028">
                                    <w:r>
                                      <w:rPr>
                                        <w:rStyle w:val="InternetLink"/>
                                        <w:rFonts w:ascii="arial" w:hAnsi="arial"/>
                                        <w:b/>
                                        <w:color w:val="00AE4F"/>
                                        <w:sz w:val="18"/>
                                      </w:rPr>
                                      <w:t>Committee Report</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62</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sz w:val="18"/>
                        </w:rPr>
                      </w:pPr>
                      <w:r>
                        <w:rPr>
                          <w:rFonts w:ascii="arial" w:hAnsi="arial"/>
                          <w:sz w:val="18"/>
                        </w:rPr>
                        <w:t xml:space="preserve">The Compensation Discussion and Analysis is organized in the following sections: </w:t>
                      </w:r>
                    </w:p>
                    <w:p>
                      <w:pPr>
                        <w:pStyle w:val="TextBody"/>
                        <w:bidi w:val="0"/>
                        <w:spacing w:before="360" w:after="0"/>
                        <w:jc w:val="left"/>
                        <w:rPr>
                          <w:rFonts w:ascii="arial" w:hAnsi="arial"/>
                          <w:b/>
                          <w:sz w:val="24"/>
                        </w:rPr>
                      </w:pPr>
                      <w:r>
                        <w:rPr>
                          <w:rFonts w:ascii="arial" w:hAnsi="arial"/>
                          <w:b/>
                          <w:sz w:val="24"/>
                        </w:rPr>
                        <w:t xml:space="preserve">CD&amp;A Table of Contents </w:t>
                      </w:r>
                    </w:p>
                    <w:p>
                      <w:pPr>
                        <w:pStyle w:val="TextBody"/>
                        <w:bidi w:val="0"/>
                        <w:spacing w:before="0" w:after="0"/>
                        <w:jc w:val="left"/>
                        <w:rPr/>
                      </w:pPr>
                      <w:r>
                        <w:rPr/>
                        <w:t> </w:t>
                      </w:r>
                    </w:p>
                    <w:tbl>
                      <w:tblPr>
                        <w:tblW w:w="6730" w:type="dxa"/>
                        <w:jc w:val="left"/>
                        <w:tblInd w:w="0" w:type="dxa"/>
                        <w:tblLayout w:type="fixed"/>
                        <w:tblCellMar>
                          <w:top w:w="0" w:type="dxa"/>
                          <w:left w:w="0" w:type="dxa"/>
                          <w:bottom w:w="0" w:type="dxa"/>
                          <w:right w:w="0" w:type="dxa"/>
                        </w:tblCellMar>
                      </w:tblPr>
                      <w:tblGrid>
                        <w:gridCol w:w="6275"/>
                        <w:gridCol w:w="60"/>
                        <w:gridCol w:w="60"/>
                        <w:gridCol w:w="260"/>
                        <w:gridCol w:w="75"/>
                      </w:tblGrid>
                      <w:tr>
                        <w:trPr/>
                        <w:tc>
                          <w:tcPr>
                            <w:tcW w:w="6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275" w:type="dxa"/>
                            <w:tcBorders>
                              <w:bottom w:val="single" w:sz="6" w:space="0" w:color="00AE4F"/>
                            </w:tcBorders>
                            <w:tcMar>
                              <w:bottom w:w="80" w:type="dxa"/>
                            </w:tcMar>
                            <w:vAlign w:val="center"/>
                          </w:tcPr>
                          <w:p>
                            <w:pPr>
                              <w:pStyle w:val="TableContents"/>
                              <w:bidi w:val="0"/>
                              <w:spacing w:before="0" w:after="283"/>
                              <w:jc w:val="left"/>
                              <w:rPr/>
                            </w:pPr>
                            <w:hyperlink w:anchor="txa2837686_201">
                              <w:r>
                                <w:rPr>
                                  <w:rStyle w:val="InternetLink"/>
                                  <w:b/>
                                  <w:color w:val="00AE4F"/>
                                </w:rPr>
                                <w:t>2025 Named Executive Officers</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45</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6275" w:type="dxa"/>
                            <w:tcBorders>
                              <w:bottom w:val="single" w:sz="6" w:space="0" w:color="00AE4F"/>
                            </w:tcBorders>
                            <w:tcMar>
                              <w:bottom w:w="80" w:type="dxa"/>
                            </w:tcMar>
                            <w:vAlign w:val="center"/>
                          </w:tcPr>
                          <w:p>
                            <w:pPr>
                              <w:pStyle w:val="TableContents"/>
                              <w:bidi w:val="0"/>
                              <w:spacing w:before="0" w:after="283"/>
                              <w:jc w:val="left"/>
                              <w:rPr/>
                            </w:pPr>
                            <w:hyperlink w:anchor="txa2837686_202">
                              <w:r>
                                <w:rPr>
                                  <w:rStyle w:val="InternetLink"/>
                                  <w:b/>
                                  <w:color w:val="00AE4F"/>
                                </w:rPr>
                                <w:t>Executive Summary</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47</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6275" w:type="dxa"/>
                            <w:tcBorders/>
                            <w:vAlign w:val="center"/>
                          </w:tcPr>
                          <w:p>
                            <w:pPr>
                              <w:pStyle w:val="TableContents"/>
                              <w:bidi w:val="0"/>
                              <w:spacing w:before="0" w:after="283"/>
                              <w:jc w:val="left"/>
                              <w:rPr/>
                            </w:pPr>
                            <w:hyperlink w:anchor="txa2837686_203">
                              <w:r>
                                <w:rPr>
                                  <w:rStyle w:val="InternetLink"/>
                                </w:rPr>
                                <w:t>Fiscal 2025 Performance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275" w:type="dxa"/>
                            <w:tcBorders/>
                            <w:vAlign w:val="center"/>
                          </w:tcPr>
                          <w:p>
                            <w:pPr>
                              <w:pStyle w:val="TableContents"/>
                              <w:bidi w:val="0"/>
                              <w:spacing w:before="0" w:after="283"/>
                              <w:jc w:val="left"/>
                              <w:rPr/>
                            </w:pPr>
                            <w:hyperlink w:anchor="txa2837686_204">
                              <w:r>
                                <w:rPr>
                                  <w:rStyle w:val="InternetLink"/>
                                </w:rPr>
                                <w:t>Key Executive Compensation Program Highlights for Fiscal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5">
                              <w:r>
                                <w:rPr>
                                  <w:rStyle w:val="InternetLink"/>
                                </w:rPr>
                                <w:t>Annual Say on Pay Vote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6275" w:type="dxa"/>
                            <w:tcBorders>
                              <w:bottom w:val="single" w:sz="6" w:space="0" w:color="00AE4F"/>
                            </w:tcBorders>
                            <w:tcMar>
                              <w:bottom w:w="80" w:type="dxa"/>
                            </w:tcMar>
                            <w:vAlign w:val="center"/>
                          </w:tcPr>
                          <w:p>
                            <w:pPr>
                              <w:pStyle w:val="TableContents"/>
                              <w:bidi w:val="0"/>
                              <w:spacing w:before="0" w:after="283"/>
                              <w:jc w:val="left"/>
                              <w:rPr/>
                            </w:pPr>
                            <w:hyperlink w:anchor="txa2837686_206">
                              <w:r>
                                <w:rPr>
                                  <w:rStyle w:val="InternetLink"/>
                                  <w:b/>
                                  <w:color w:val="00AE4F"/>
                                </w:rPr>
                                <w:t>Executive Compensation Philosophy, Objectives, and Design</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50</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6275" w:type="dxa"/>
                            <w:tcBorders/>
                            <w:vAlign w:val="center"/>
                          </w:tcPr>
                          <w:p>
                            <w:pPr>
                              <w:pStyle w:val="TableContents"/>
                              <w:bidi w:val="0"/>
                              <w:spacing w:before="0" w:after="283"/>
                              <w:jc w:val="left"/>
                              <w:rPr/>
                            </w:pPr>
                            <w:hyperlink w:anchor="txa2837686_207">
                              <w:r>
                                <w:rPr>
                                  <w:rStyle w:val="InternetLink"/>
                                </w:rPr>
                                <w:t>CEO and Other Named Executive Officers Pay Mix</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8">
                              <w:r>
                                <w:rPr>
                                  <w:rStyle w:val="InternetLink"/>
                                </w:rPr>
                                <w:t>Elements of Compensation for Named Executive Officers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9">
                              <w:r>
                                <w:rPr>
                                  <w:rStyle w:val="InternetLink"/>
                                </w:rPr>
                                <w:t>2026 Executive Incentive Plans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6275" w:type="dxa"/>
                            <w:tcBorders>
                              <w:bottom w:val="single" w:sz="6" w:space="0" w:color="00AE4F"/>
                            </w:tcBorders>
                            <w:tcMar>
                              <w:bottom w:w="80" w:type="dxa"/>
                            </w:tcMar>
                            <w:vAlign w:val="center"/>
                          </w:tcPr>
                          <w:p>
                            <w:pPr>
                              <w:pStyle w:val="TableContents"/>
                              <w:bidi w:val="0"/>
                              <w:spacing w:before="0" w:after="283"/>
                              <w:jc w:val="left"/>
                              <w:rPr/>
                            </w:pPr>
                            <w:hyperlink w:anchor="txa2837686_2010">
                              <w:r>
                                <w:rPr>
                                  <w:rStyle w:val="InternetLink"/>
                                  <w:b/>
                                  <w:color w:val="00AE4F"/>
                                </w:rPr>
                                <w:t>Process for Determining Executive Compensation</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52</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6275" w:type="dxa"/>
                            <w:tcBorders/>
                            <w:vAlign w:val="center"/>
                          </w:tcPr>
                          <w:p>
                            <w:pPr>
                              <w:pStyle w:val="TableContents"/>
                              <w:bidi w:val="0"/>
                              <w:spacing w:before="0" w:after="283"/>
                              <w:jc w:val="left"/>
                              <w:rPr/>
                            </w:pPr>
                            <w:hyperlink w:anchor="txa2837686_2011">
                              <w:r>
                                <w:rPr>
                                  <w:rStyle w:val="InternetLink"/>
                                </w:rPr>
                                <w:t>Role of the Compensation and Talent Management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275" w:type="dxa"/>
                            <w:tcBorders/>
                            <w:vAlign w:val="center"/>
                          </w:tcPr>
                          <w:p>
                            <w:pPr>
                              <w:pStyle w:val="TableContents"/>
                              <w:bidi w:val="0"/>
                              <w:spacing w:before="0" w:after="283"/>
                              <w:jc w:val="left"/>
                              <w:rPr/>
                            </w:pPr>
                            <w:hyperlink w:anchor="txa2837686_2012">
                              <w:r>
                                <w:rPr>
                                  <w:rStyle w:val="InternetLink"/>
                                </w:rPr>
                                <w:t>Role of the Independent Compensation Consultant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13">
                              <w:r>
                                <w:rPr>
                                  <w:rStyle w:val="InternetLink"/>
                                </w:rPr>
                                <w:t>Role of Management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14">
                              <w:r>
                                <w:rPr>
                                  <w:rStyle w:val="InternetLink"/>
                                </w:rPr>
                                <w:t>Comparator Data</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15">
                              <w:r>
                                <w:rPr>
                                  <w:rStyle w:val="InternetLink"/>
                                </w:rPr>
                                <w:t>Senior Officer Performance Reviews and Succession Planning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6275" w:type="dxa"/>
                            <w:tcBorders>
                              <w:bottom w:val="single" w:sz="6" w:space="0" w:color="00AE4F"/>
                            </w:tcBorders>
                            <w:tcMar>
                              <w:bottom w:w="80" w:type="dxa"/>
                            </w:tcMar>
                            <w:vAlign w:val="center"/>
                          </w:tcPr>
                          <w:p>
                            <w:pPr>
                              <w:pStyle w:val="TableContents"/>
                              <w:bidi w:val="0"/>
                              <w:spacing w:before="0" w:after="283"/>
                              <w:jc w:val="left"/>
                              <w:rPr/>
                            </w:pPr>
                            <w:hyperlink w:anchor="txa2837686_2016">
                              <w:r>
                                <w:rPr>
                                  <w:rStyle w:val="InternetLink"/>
                                  <w:b/>
                                  <w:color w:val="00AE4F"/>
                                </w:rPr>
                                <w:t>Compensation Programs:</w:t>
                                <w:br/>
                                <w:t>Decisions and Actions in 2025</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54</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6275" w:type="dxa"/>
                            <w:tcBorders/>
                            <w:vAlign w:val="center"/>
                          </w:tcPr>
                          <w:p>
                            <w:pPr>
                              <w:pStyle w:val="TableContents"/>
                              <w:bidi w:val="0"/>
                              <w:spacing w:before="0" w:after="283"/>
                              <w:jc w:val="left"/>
                              <w:rPr/>
                            </w:pPr>
                            <w:hyperlink w:anchor="txa2837686_2017">
                              <w:r>
                                <w:rPr>
                                  <w:rStyle w:val="InternetLink"/>
                                </w:rPr>
                                <w:t>Base Salary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18">
                              <w:r>
                                <w:rPr>
                                  <w:rStyle w:val="InternetLink"/>
                                </w:rPr>
                                <w:t>Annual Cash Incentive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19">
                              <w:r>
                                <w:rPr>
                                  <w:rStyle w:val="InternetLink"/>
                                </w:rPr>
                                <w:t>Long-Term Incentives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6275" w:type="dxa"/>
                            <w:tcBorders>
                              <w:bottom w:val="single" w:sz="6" w:space="0" w:color="00AE4F"/>
                            </w:tcBorders>
                            <w:tcMar>
                              <w:bottom w:w="80" w:type="dxa"/>
                            </w:tcMar>
                            <w:vAlign w:val="center"/>
                          </w:tcPr>
                          <w:p>
                            <w:pPr>
                              <w:pStyle w:val="TableContents"/>
                              <w:bidi w:val="0"/>
                              <w:spacing w:before="0" w:after="283"/>
                              <w:jc w:val="left"/>
                              <w:rPr/>
                            </w:pPr>
                            <w:hyperlink w:anchor="txa2837686_2023">
                              <w:r>
                                <w:rPr>
                                  <w:rStyle w:val="InternetLink"/>
                                  <w:b/>
                                  <w:color w:val="00AE4F"/>
                                </w:rPr>
                                <w:t>Governance of Executive Compensation Programs</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60</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r>
                        <w:trPr/>
                        <w:tc>
                          <w:tcPr>
                            <w:tcW w:w="6275" w:type="dxa"/>
                            <w:tcBorders/>
                            <w:vAlign w:val="center"/>
                          </w:tcPr>
                          <w:p>
                            <w:pPr>
                              <w:pStyle w:val="TableContents"/>
                              <w:bidi w:val="0"/>
                              <w:spacing w:before="0" w:after="283"/>
                              <w:jc w:val="left"/>
                              <w:rPr/>
                            </w:pPr>
                            <w:hyperlink w:anchor="txa2837686_2024">
                              <w:r>
                                <w:rPr>
                                  <w:rStyle w:val="InternetLink"/>
                                </w:rPr>
                                <w:t>Executive Stock Ownership and Retention Requirements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25">
                              <w:r>
                                <w:rPr>
                                  <w:rStyle w:val="InternetLink"/>
                                </w:rPr>
                                <w:t>Incentive Compensation Recovery (“Clawback”)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26">
                              <w:r>
                                <w:rPr>
                                  <w:rStyle w:val="InternetLink"/>
                                </w:rPr>
                                <w:t>Hedging and Pledging of Shares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20">
                              <w:r>
                                <w:rPr>
                                  <w:rStyle w:val="InternetLink"/>
                                </w:rPr>
                                <w:t>Retirement Benefits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21">
                              <w:r>
                                <w:rPr>
                                  <w:rStyle w:val="InternetLink"/>
                                </w:rPr>
                                <w:t>Perquisites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22">
                              <w:r>
                                <w:rPr>
                                  <w:rStyle w:val="InternetLink"/>
                                </w:rPr>
                                <w:t>Senior Executive Severance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hyperlink w:anchor="txa2837686_2027">
                              <w:r>
                                <w:rPr>
                                  <w:rStyle w:val="InternetLink"/>
                                </w:rPr>
                                <w:t>Tax Considerations: Deductibility of Executive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6275" w:type="dxa"/>
                            <w:tcBorders>
                              <w:bottom w:val="single" w:sz="6" w:space="0" w:color="00AE4F"/>
                            </w:tcBorders>
                            <w:tcMar>
                              <w:bottom w:w="80" w:type="dxa"/>
                            </w:tcMar>
                            <w:vAlign w:val="center"/>
                          </w:tcPr>
                          <w:p>
                            <w:pPr>
                              <w:pStyle w:val="TableContents"/>
                              <w:bidi w:val="0"/>
                              <w:spacing w:before="0" w:after="0"/>
                              <w:jc w:val="left"/>
                              <w:rPr/>
                            </w:pPr>
                            <w:hyperlink w:anchor="txa2837686_2028">
                              <w:r>
                                <w:rPr>
                                  <w:rStyle w:val="InternetLink"/>
                                  <w:rFonts w:ascii="arial" w:hAnsi="arial"/>
                                  <w:b/>
                                  <w:color w:val="00AE4F"/>
                                  <w:sz w:val="18"/>
                                </w:rPr>
                                <w:t>Compensation and Talent Management</w:t>
                              </w:r>
                            </w:hyperlink>
                          </w:p>
                          <w:p>
                            <w:pPr>
                              <w:pStyle w:val="TableContents"/>
                              <w:bidi w:val="0"/>
                              <w:spacing w:before="0" w:after="20"/>
                              <w:jc w:val="left"/>
                              <w:rPr/>
                            </w:pPr>
                            <w:hyperlink w:anchor="txa2837686_2028">
                              <w:r>
                                <w:rPr>
                                  <w:rStyle w:val="InternetLink"/>
                                  <w:rFonts w:ascii="arial" w:hAnsi="arial"/>
                                  <w:b/>
                                  <w:color w:val="00AE4F"/>
                                  <w:sz w:val="18"/>
                                </w:rPr>
                                <w:t>Committee Report</w:t>
                              </w:r>
                            </w:hyperlink>
                          </w:p>
                        </w:tc>
                        <w:tc>
                          <w:tcPr>
                            <w:tcW w:w="60" w:type="dxa"/>
                            <w:tcBorders>
                              <w:bottom w:val="single" w:sz="6" w:space="0" w:color="00AE4F"/>
                            </w:tcBorders>
                            <w:tcMar>
                              <w:bottom w:w="28" w:type="dxa"/>
                            </w:tcMar>
                            <w:vAlign w:val="center"/>
                          </w:tcPr>
                          <w:p>
                            <w:pPr>
                              <w:pStyle w:val="TableContents"/>
                              <w:bidi w:val="0"/>
                              <w:spacing w:before="0" w:after="283"/>
                              <w:jc w:val="left"/>
                              <w:rPr/>
                            </w:pPr>
                            <w:r>
                              <w:rPr/>
                              <w:t> </w:t>
                            </w:r>
                          </w:p>
                        </w:tc>
                        <w:tc>
                          <w:tcPr>
                            <w:tcW w:w="60"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c>
                          <w:tcPr>
                            <w:tcW w:w="260" w:type="dxa"/>
                            <w:tcBorders>
                              <w:bottom w:val="single" w:sz="6" w:space="0" w:color="00AE4F"/>
                            </w:tcBorders>
                            <w:tcMar>
                              <w:bottom w:w="80" w:type="dxa"/>
                            </w:tcMar>
                            <w:vAlign w:val="center"/>
                          </w:tcPr>
                          <w:p>
                            <w:pPr>
                              <w:pStyle w:val="TableContents"/>
                              <w:bidi w:val="0"/>
                              <w:spacing w:before="0" w:after="283"/>
                              <w:jc w:val="right"/>
                              <w:rPr>
                                <w:b/>
                                <w:color w:val="00AE4F"/>
                              </w:rPr>
                            </w:pPr>
                            <w:r>
                              <w:rPr>
                                <w:b/>
                                <w:color w:val="00AE4F"/>
                              </w:rPr>
                              <w:t>62</w:t>
                            </w:r>
                          </w:p>
                        </w:tc>
                        <w:tc>
                          <w:tcPr>
                            <w:tcW w:w="75" w:type="dxa"/>
                            <w:tcBorders>
                              <w:bottom w:val="single" w:sz="6" w:space="0" w:color="00AE4F"/>
                            </w:tcBorders>
                            <w:tcMar>
                              <w:bottom w:w="80" w:type="dxa"/>
                            </w:tcMar>
                            <w:vAlign w:val="center"/>
                          </w:tcPr>
                          <w:p>
                            <w:pPr>
                              <w:pStyle w:val="TableContents"/>
                              <w:bidi w:val="0"/>
                              <w:spacing w:before="0" w:after="283"/>
                              <w:jc w:val="left"/>
                              <w:rPr>
                                <w:color w:val="00AE4F"/>
                              </w:rPr>
                            </w:pPr>
                            <w:r>
                              <w:rPr>
                                <w:color w:val="00AE4F"/>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186"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63" descr=""/>
                          <pic:cNvPicPr>
                            <a:picLocks noChangeAspect="1" noChangeArrowheads="1"/>
                          </pic:cNvPicPr>
                        </pic:nvPicPr>
                        <pic:blipFill>
                          <a:blip r:embed="rId175"/>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Compensation Discussion and Analysis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70"/>
        <w:gridCol w:w="60"/>
        <w:gridCol w:w="8875"/>
      </w:tblGrid>
      <w:tr>
        <w:trPr/>
        <w:tc>
          <w:tcPr>
            <w:tcW w:w="1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75" w:type="dxa"/>
            <w:tcBorders/>
            <w:vAlign w:val="center"/>
          </w:tcPr>
          <w:p>
            <w:pPr>
              <w:pStyle w:val="TableContents"/>
              <w:bidi w:val="0"/>
              <w:spacing w:before="0" w:after="283"/>
              <w:jc w:val="left"/>
              <w:rPr>
                <w:sz w:val="4"/>
                <w:szCs w:val="4"/>
              </w:rPr>
            </w:pPr>
            <w:r>
              <w:rPr>
                <w:sz w:val="4"/>
                <w:szCs w:val="4"/>
              </w:rPr>
            </w:r>
          </w:p>
        </w:tc>
      </w:tr>
      <w:tr>
        <w:trPr/>
        <w:tc>
          <w:tcPr>
            <w:tcW w:w="1270" w:type="dxa"/>
            <w:tcBorders>
              <w:bottom w:val="single" w:sz="8" w:space="0" w:color="000000"/>
            </w:tcBorders>
            <w:tcMar>
              <w:bottom w:w="40" w:type="dxa"/>
            </w:tcMar>
            <w:vAlign w:val="center"/>
          </w:tcPr>
          <w:p>
            <w:pPr>
              <w:pStyle w:val="TableContents"/>
              <w:bidi w:val="0"/>
              <w:spacing w:before="0" w:after="0"/>
              <w:jc w:val="left"/>
              <w:rPr>
                <w:rFonts w:ascii="arial" w:hAnsi="arial"/>
                <w:b/>
                <w:color w:val="00AE4F"/>
                <w:sz w:val="18"/>
              </w:rPr>
            </w:pPr>
            <w:r>
              <w:rPr>
                <w:rFonts w:ascii="arial" w:hAnsi="arial"/>
                <w:b/>
                <w:color w:val="00AE4F"/>
                <w:sz w:val="18"/>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875" w:type="dxa"/>
            <w:tcBorders>
              <w:bottom w:val="single" w:sz="8" w:space="0" w:color="000000"/>
            </w:tcBorders>
            <w:tcMar>
              <w:bottom w:w="40" w:type="dxa"/>
            </w:tcMar>
            <w:vAlign w:val="center"/>
          </w:tcPr>
          <w:p>
            <w:pPr>
              <w:pStyle w:val="TableContents"/>
              <w:bidi w:val="0"/>
              <w:spacing w:before="0" w:after="283"/>
              <w:jc w:val="left"/>
              <w:rPr>
                <w:b/>
                <w:color w:val="00AE4F"/>
              </w:rPr>
            </w:pPr>
            <w:r>
              <w:rPr>
                <w:b/>
                <w:color w:val="00AE4F"/>
              </w:rPr>
              <w:t>Biographical Information</w:t>
            </w:r>
          </w:p>
        </w:tc>
      </w:tr>
      <w:tr>
        <w:trPr/>
        <w:tc>
          <w:tcPr>
            <w:tcW w:w="1270" w:type="dxa"/>
            <w:tcBorders/>
            <w:vAlign w:val="center"/>
          </w:tcPr>
          <w:p>
            <w:pPr>
              <w:pStyle w:val="TableContents"/>
              <w:bidi w:val="0"/>
              <w:spacing w:before="0" w:after="283"/>
              <w:jc w:val="left"/>
              <w:rPr>
                <w:sz w:val="4"/>
                <w:szCs w:val="4"/>
              </w:rPr>
            </w:pPr>
            <w:r>
              <w:rPr>
                <w:sz w:val="4"/>
                <w:szCs w:val="4"/>
              </w:rPr>
            </w:r>
          </w:p>
        </w:tc>
        <w:tc>
          <w:tcPr>
            <w:tcW w:w="8935" w:type="dxa"/>
            <w:gridSpan w:val="2"/>
            <w:tcBorders/>
            <w:vAlign w:val="center"/>
          </w:tcPr>
          <w:p>
            <w:pPr>
              <w:pStyle w:val="TableContents"/>
              <w:bidi w:val="0"/>
              <w:spacing w:before="0" w:after="283"/>
              <w:jc w:val="left"/>
              <w:rPr>
                <w:sz w:val="4"/>
                <w:szCs w:val="4"/>
              </w:rPr>
            </w:pPr>
            <w:r>
              <w:rPr>
                <w:sz w:val="4"/>
                <w:szCs w:val="4"/>
              </w:rPr>
            </w:r>
          </w:p>
        </w:tc>
      </w:tr>
      <w:tr>
        <w:trPr/>
        <w:tc>
          <w:tcPr>
            <w:tcW w:w="1270" w:type="dxa"/>
            <w:tcBorders>
              <w:bottom w:val="single" w:sz="6" w:space="0" w:color="7F7F7F"/>
            </w:tcBorders>
            <w:tcMar>
              <w:bottom w:w="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Christopher D. Layden</w:t>
            </w:r>
          </w:p>
          <w:p>
            <w:pPr>
              <w:pStyle w:val="TableContents"/>
              <w:bidi w:val="0"/>
              <w:spacing w:before="0" w:after="0"/>
              <w:jc w:val="left"/>
              <w:rPr>
                <w:rFonts w:ascii="arial" w:hAnsi="arial"/>
                <w:sz w:val="18"/>
              </w:rPr>
            </w:pPr>
            <w:r>
              <w:rPr>
                <w:rFonts w:ascii="arial" w:hAnsi="arial"/>
                <w:sz w:val="18"/>
              </w:rPr>
              <w:t>President and Chief</w:t>
            </w:r>
          </w:p>
          <w:p>
            <w:pPr>
              <w:pStyle w:val="TableContents"/>
              <w:bidi w:val="0"/>
              <w:spacing w:before="0" w:after="0"/>
              <w:jc w:val="left"/>
              <w:rPr>
                <w:rFonts w:ascii="arial" w:hAnsi="arial"/>
                <w:sz w:val="18"/>
              </w:rPr>
            </w:pPr>
            <w:r>
              <w:rPr>
                <w:rFonts w:ascii="arial" w:hAnsi="arial"/>
                <w:sz w:val="18"/>
              </w:rPr>
              <w:t>Executive Officer</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b/>
                <w:color w:val="00AE4F"/>
                <w:sz w:val="18"/>
              </w:rPr>
              <w:t xml:space="preserve">Age: </w:t>
            </w:r>
            <w:r>
              <w:rPr>
                <w:rFonts w:ascii="arial" w:hAnsi="arial"/>
                <w:sz w:val="18"/>
              </w:rPr>
              <w:t>42</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8875" w:type="dxa"/>
            <w:tcBorders>
              <w:bottom w:val="single" w:sz="6" w:space="0" w:color="7F7F7F"/>
            </w:tcBorders>
            <w:tcMar>
              <w:bottom w:w="60" w:type="dxa"/>
            </w:tcMar>
            <w:vAlign w:val="center"/>
          </w:tcPr>
          <w:p>
            <w:pPr>
              <w:pStyle w:val="TableContents"/>
              <w:bidi w:val="0"/>
              <w:spacing w:before="0" w:after="283"/>
              <w:jc w:val="left"/>
              <w:rPr/>
            </w:pPr>
            <w:r>
              <w:rPr/>
              <w:t>Mr. Layden was appointed President and Chief Executive Officer of Kelly in September 2025. Before joining Kelly, Mr. Layden served as COO at Prolink, a workforce solutions provider specializing in healthcare, technology, and skilled labor from 2023 to 2025. He also spent nearly two decades at ManpowerGroup in various senior leadership roles, including Vice President, General Manager, Global Industry Leader 2022—2023, Senior Vice President, Manpower North America 2018 – 2022, Vice President, New Ventures 2017 – 2018, Managing Director, Experis Technology Solutions 2016 – 2017, Regional Managing Director, Experis Engineering &amp; Life Sciences 2015 – 2016, Managing Director Experis IT &amp; Engineering 2013 – 2015, Market Leader, Jefferson Wells 2012 – 2013, Client Relationship Director, Jefferson Wells 2006 – 2013, Marketing Manager, Jefferson Wells 2006, Sales Marketing Associate, Jefferson Wells 2005 – 2006, Talent Coordinator 2004 – 2005, and Intern in 2004. Mr. Layden leads Kelly with a customer-centric and growth-focused mindset. He is passionate about Kelly’s iconic brand and its legacy as a pioneer in the staffing industry, and spearheads the company’s specialty strategy by fostering a culture of collaboration, accountability, and purpose.</w:t>
            </w:r>
          </w:p>
        </w:tc>
      </w:tr>
      <w:tr>
        <w:trPr/>
        <w:tc>
          <w:tcPr>
            <w:tcW w:w="1270" w:type="dxa"/>
            <w:tcBorders/>
            <w:vAlign w:val="center"/>
          </w:tcPr>
          <w:p>
            <w:pPr>
              <w:pStyle w:val="TableContents"/>
              <w:bidi w:val="0"/>
              <w:spacing w:before="0" w:after="283"/>
              <w:jc w:val="left"/>
              <w:rPr>
                <w:sz w:val="4"/>
                <w:szCs w:val="4"/>
              </w:rPr>
            </w:pPr>
            <w:r>
              <w:rPr>
                <w:sz w:val="4"/>
                <w:szCs w:val="4"/>
              </w:rPr>
            </w:r>
          </w:p>
        </w:tc>
        <w:tc>
          <w:tcPr>
            <w:tcW w:w="8935" w:type="dxa"/>
            <w:gridSpan w:val="2"/>
            <w:tcBorders/>
            <w:vAlign w:val="center"/>
          </w:tcPr>
          <w:p>
            <w:pPr>
              <w:pStyle w:val="TableContents"/>
              <w:bidi w:val="0"/>
              <w:spacing w:before="0" w:after="283"/>
              <w:jc w:val="left"/>
              <w:rPr>
                <w:sz w:val="4"/>
                <w:szCs w:val="4"/>
              </w:rPr>
            </w:pPr>
            <w:r>
              <w:rPr>
                <w:sz w:val="4"/>
                <w:szCs w:val="4"/>
              </w:rPr>
            </w:r>
          </w:p>
        </w:tc>
      </w:tr>
      <w:tr>
        <w:trPr/>
        <w:tc>
          <w:tcPr>
            <w:tcW w:w="1270" w:type="dxa"/>
            <w:tcBorders>
              <w:bottom w:val="single" w:sz="6" w:space="0" w:color="7F7F7F"/>
            </w:tcBorders>
            <w:tcMar>
              <w:bottom w:w="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Troy R. Anderson</w:t>
            </w:r>
          </w:p>
          <w:p>
            <w:pPr>
              <w:pStyle w:val="TableContents"/>
              <w:bidi w:val="0"/>
              <w:spacing w:before="0" w:after="0"/>
              <w:jc w:val="left"/>
              <w:rPr>
                <w:rFonts w:ascii="arial" w:hAnsi="arial"/>
                <w:sz w:val="18"/>
              </w:rPr>
            </w:pPr>
            <w:r>
              <w:rPr>
                <w:rFonts w:ascii="arial" w:hAnsi="arial"/>
                <w:sz w:val="18"/>
              </w:rPr>
              <w:t>Executive Vice</w:t>
            </w:r>
          </w:p>
          <w:p>
            <w:pPr>
              <w:pStyle w:val="TableContents"/>
              <w:bidi w:val="0"/>
              <w:spacing w:before="0" w:after="0"/>
              <w:jc w:val="left"/>
              <w:rPr>
                <w:rFonts w:ascii="arial" w:hAnsi="arial"/>
                <w:sz w:val="18"/>
              </w:rPr>
            </w:pPr>
            <w:r>
              <w:rPr>
                <w:rFonts w:ascii="arial" w:hAnsi="arial"/>
                <w:sz w:val="18"/>
              </w:rPr>
              <w:t>President and Chief</w:t>
            </w:r>
          </w:p>
          <w:p>
            <w:pPr>
              <w:pStyle w:val="TableContents"/>
              <w:bidi w:val="0"/>
              <w:spacing w:before="0" w:after="0"/>
              <w:jc w:val="left"/>
              <w:rPr>
                <w:rFonts w:ascii="arial" w:hAnsi="arial"/>
                <w:sz w:val="18"/>
              </w:rPr>
            </w:pPr>
            <w:r>
              <w:rPr>
                <w:rFonts w:ascii="arial" w:hAnsi="arial"/>
                <w:sz w:val="18"/>
              </w:rPr>
              <w:t>Financial Officer</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b/>
                <w:color w:val="00AE4F"/>
                <w:sz w:val="18"/>
              </w:rPr>
              <w:t xml:space="preserve">Age: </w:t>
            </w:r>
            <w:r>
              <w:rPr>
                <w:rFonts w:ascii="arial" w:hAnsi="arial"/>
                <w:sz w:val="18"/>
              </w:rPr>
              <w:t>59</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8875" w:type="dxa"/>
            <w:tcBorders>
              <w:bottom w:val="single" w:sz="6" w:space="0" w:color="7F7F7F"/>
            </w:tcBorders>
            <w:tcMar>
              <w:bottom w:w="60" w:type="dxa"/>
            </w:tcMar>
            <w:vAlign w:val="center"/>
          </w:tcPr>
          <w:p>
            <w:pPr>
              <w:pStyle w:val="TableContents"/>
              <w:bidi w:val="0"/>
              <w:spacing w:before="0" w:after="283"/>
              <w:jc w:val="left"/>
              <w:rPr/>
            </w:pPr>
            <w:r>
              <w:rPr/>
              <w:t>Mr. Anderson became Executive Vice President and Chief Financial Officer on December 2, 2024, after a successful transition of responsibilities with his predecessor. Before joining the Company, he served as Executive Vice President and Chief Financial Officer at Universal Technical Institute, a leading workforce education solutions provider from September 2019 to October 2024. From November 2016 to September 2019, Mr. Anderson was the Global Finance Leader and Corporate Controller for Conduent, Inc., a global business process outsourcing provider, where he managed the financial aspects of a spin-out from Xerox. Prior to his time at Conduent, Mr. Anderson served as Senior Vice President and Chief Financial Officer of the Industry Group at Xerox from 2015 to 2016 and as Director of Investor Relations from 2013 to 2015.</w:t>
            </w:r>
          </w:p>
        </w:tc>
      </w:tr>
      <w:tr>
        <w:trPr/>
        <w:tc>
          <w:tcPr>
            <w:tcW w:w="1270" w:type="dxa"/>
            <w:tcBorders/>
            <w:vAlign w:val="center"/>
          </w:tcPr>
          <w:p>
            <w:pPr>
              <w:pStyle w:val="TableContents"/>
              <w:bidi w:val="0"/>
              <w:spacing w:before="0" w:after="283"/>
              <w:jc w:val="left"/>
              <w:rPr>
                <w:sz w:val="4"/>
                <w:szCs w:val="4"/>
              </w:rPr>
            </w:pPr>
            <w:r>
              <w:rPr>
                <w:sz w:val="4"/>
                <w:szCs w:val="4"/>
              </w:rPr>
            </w:r>
          </w:p>
        </w:tc>
        <w:tc>
          <w:tcPr>
            <w:tcW w:w="8935" w:type="dxa"/>
            <w:gridSpan w:val="2"/>
            <w:tcBorders/>
            <w:vAlign w:val="center"/>
          </w:tcPr>
          <w:p>
            <w:pPr>
              <w:pStyle w:val="TableContents"/>
              <w:bidi w:val="0"/>
              <w:spacing w:before="0" w:after="283"/>
              <w:jc w:val="left"/>
              <w:rPr>
                <w:sz w:val="4"/>
                <w:szCs w:val="4"/>
              </w:rPr>
            </w:pPr>
            <w:r>
              <w:rPr>
                <w:sz w:val="4"/>
                <w:szCs w:val="4"/>
              </w:rPr>
            </w:r>
          </w:p>
        </w:tc>
      </w:tr>
      <w:tr>
        <w:trPr/>
        <w:tc>
          <w:tcPr>
            <w:tcW w:w="1270" w:type="dxa"/>
            <w:tcBorders>
              <w:bottom w:val="single" w:sz="6" w:space="0" w:color="7F7F7F"/>
            </w:tcBorders>
            <w:tcMar>
              <w:bottom w:w="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Tammy L. Browning*</w:t>
            </w:r>
          </w:p>
          <w:p>
            <w:pPr>
              <w:pStyle w:val="TableContents"/>
              <w:bidi w:val="0"/>
              <w:spacing w:before="0" w:after="0"/>
              <w:jc w:val="left"/>
              <w:rPr>
                <w:rFonts w:ascii="arial" w:hAnsi="arial"/>
                <w:sz w:val="18"/>
              </w:rPr>
            </w:pPr>
            <w:r>
              <w:rPr>
                <w:rFonts w:ascii="arial" w:hAnsi="arial"/>
                <w:sz w:val="18"/>
              </w:rPr>
              <w:t>Senior Vice President,</w:t>
            </w:r>
          </w:p>
          <w:p>
            <w:pPr>
              <w:pStyle w:val="TableContents"/>
              <w:bidi w:val="0"/>
              <w:spacing w:before="0" w:after="0"/>
              <w:jc w:val="left"/>
              <w:rPr>
                <w:rFonts w:ascii="arial" w:hAnsi="arial"/>
                <w:sz w:val="18"/>
              </w:rPr>
            </w:pPr>
            <w:r>
              <w:rPr>
                <w:rFonts w:ascii="arial" w:hAnsi="arial"/>
                <w:sz w:val="18"/>
              </w:rPr>
              <w:t>Group President, Enterprise Talent Management</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b/>
                <w:color w:val="00AE4F"/>
                <w:sz w:val="18"/>
              </w:rPr>
              <w:t xml:space="preserve">Age: </w:t>
            </w:r>
            <w:r>
              <w:rPr>
                <w:rFonts w:ascii="arial" w:hAnsi="arial"/>
                <w:sz w:val="18"/>
              </w:rPr>
              <w:t>52</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8875" w:type="dxa"/>
            <w:tcBorders>
              <w:bottom w:val="single" w:sz="6" w:space="0" w:color="7F7F7F"/>
            </w:tcBorders>
            <w:tcMar>
              <w:bottom w:w="60" w:type="dxa"/>
            </w:tcMar>
            <w:vAlign w:val="center"/>
          </w:tcPr>
          <w:p>
            <w:pPr>
              <w:pStyle w:val="TableContents"/>
              <w:bidi w:val="0"/>
              <w:spacing w:before="0" w:after="283"/>
              <w:jc w:val="left"/>
              <w:rPr/>
            </w:pPr>
            <w:r>
              <w:rPr/>
              <w:t>Ms. Browning served as Senior Vice President and Group President of Enterprise Talent Management from 2025 until she separated from the Company on March 6, 2026. She previously held a variety of customer- and talent-facing management roles across the organization, ultimately leading the company’s U.S. staffing operations for the West Territory and IT practice. From 2020 to 2025, she served as Senior Vice President and President of KellyOCG. Prior to that, Ms. Browning was Global Vice President of Operations and Managing Director of GTS Talent Fulfillment from October 2018 to July 2020. She originally joined Kelly as Sales Manager in February 2003, progressing through key leadership positions including Branch Manager, West Region Manager, and Americas Product Group Leader. In 2010, she joined a Kelly supplier as Senior Vice President, overseeing all U.S. operations, before returning to Kelly in 2017 with expanded responsibilities and expertise. Recognized for her leadership in the field, Ms. Browning has been named by Staffing Industry Analysts as one of the most influential leaders in staffing, earning spots on both the Staffing 100 North America and Global Power 150 Women in Staffing lists every year since 2020.</w:t>
            </w:r>
          </w:p>
        </w:tc>
      </w:tr>
      <w:tr>
        <w:trPr/>
        <w:tc>
          <w:tcPr>
            <w:tcW w:w="1270" w:type="dxa"/>
            <w:tcBorders/>
            <w:vAlign w:val="center"/>
          </w:tcPr>
          <w:p>
            <w:pPr>
              <w:pStyle w:val="TableContents"/>
              <w:bidi w:val="0"/>
              <w:spacing w:before="0" w:after="283"/>
              <w:jc w:val="left"/>
              <w:rPr>
                <w:sz w:val="4"/>
                <w:szCs w:val="4"/>
              </w:rPr>
            </w:pPr>
            <w:r>
              <w:rPr>
                <w:sz w:val="4"/>
                <w:szCs w:val="4"/>
              </w:rPr>
            </w:r>
          </w:p>
        </w:tc>
        <w:tc>
          <w:tcPr>
            <w:tcW w:w="8935" w:type="dxa"/>
            <w:gridSpan w:val="2"/>
            <w:tcBorders/>
            <w:vAlign w:val="center"/>
          </w:tcPr>
          <w:p>
            <w:pPr>
              <w:pStyle w:val="TableContents"/>
              <w:bidi w:val="0"/>
              <w:spacing w:before="0" w:after="283"/>
              <w:jc w:val="left"/>
              <w:rPr>
                <w:sz w:val="4"/>
                <w:szCs w:val="4"/>
              </w:rPr>
            </w:pPr>
            <w:r>
              <w:rPr>
                <w:sz w:val="4"/>
                <w:szCs w:val="4"/>
              </w:rPr>
            </w:r>
          </w:p>
        </w:tc>
      </w:tr>
      <w:tr>
        <w:trPr/>
        <w:tc>
          <w:tcPr>
            <w:tcW w:w="1270" w:type="dxa"/>
            <w:tcBorders>
              <w:bottom w:val="single" w:sz="6" w:space="0" w:color="7F7F7F"/>
            </w:tcBorders>
            <w:tcMar>
              <w:bottom w:w="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Vanessa P. Williams</w:t>
            </w:r>
          </w:p>
          <w:p>
            <w:pPr>
              <w:pStyle w:val="TableContents"/>
              <w:bidi w:val="0"/>
              <w:spacing w:before="0" w:after="0"/>
              <w:jc w:val="left"/>
              <w:rPr>
                <w:rFonts w:ascii="arial" w:hAnsi="arial"/>
                <w:sz w:val="18"/>
              </w:rPr>
            </w:pPr>
            <w:r>
              <w:rPr>
                <w:rFonts w:ascii="arial" w:hAnsi="arial"/>
                <w:sz w:val="18"/>
              </w:rPr>
              <w:t>Executive Vice President</w:t>
            </w:r>
          </w:p>
          <w:p>
            <w:pPr>
              <w:pStyle w:val="TableContents"/>
              <w:bidi w:val="0"/>
              <w:spacing w:before="0" w:after="0"/>
              <w:jc w:val="left"/>
              <w:rPr>
                <w:rFonts w:ascii="arial" w:hAnsi="arial"/>
                <w:sz w:val="18"/>
              </w:rPr>
            </w:pPr>
            <w:r>
              <w:rPr>
                <w:rFonts w:ascii="arial" w:hAnsi="arial"/>
                <w:sz w:val="18"/>
              </w:rPr>
              <w:t>General Counsel and</w:t>
            </w:r>
          </w:p>
          <w:p>
            <w:pPr>
              <w:pStyle w:val="TableContents"/>
              <w:bidi w:val="0"/>
              <w:spacing w:before="0" w:after="0"/>
              <w:jc w:val="left"/>
              <w:rPr>
                <w:rFonts w:ascii="arial" w:hAnsi="arial"/>
                <w:sz w:val="18"/>
              </w:rPr>
            </w:pPr>
            <w:r>
              <w:rPr>
                <w:rFonts w:ascii="arial" w:hAnsi="arial"/>
                <w:sz w:val="18"/>
              </w:rPr>
              <w:t>Corporate Secretary</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b/>
                <w:color w:val="00AE4F"/>
                <w:sz w:val="18"/>
              </w:rPr>
              <w:t xml:space="preserve">Age: </w:t>
            </w:r>
            <w:r>
              <w:rPr>
                <w:rFonts w:ascii="arial" w:hAnsi="arial"/>
                <w:sz w:val="18"/>
              </w:rPr>
              <w:t>54</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8875" w:type="dxa"/>
            <w:tcBorders>
              <w:bottom w:val="single" w:sz="6" w:space="0" w:color="7F7F7F"/>
            </w:tcBorders>
            <w:tcMar>
              <w:bottom w:w="60" w:type="dxa"/>
            </w:tcMar>
            <w:vAlign w:val="center"/>
          </w:tcPr>
          <w:p>
            <w:pPr>
              <w:pStyle w:val="TableContents"/>
              <w:bidi w:val="0"/>
              <w:spacing w:before="0" w:after="283"/>
              <w:jc w:val="left"/>
              <w:rPr/>
            </w:pPr>
            <w:r>
              <w:rPr/>
              <w:t>Ms. Williams has served as General Counsel since joining the Company in September 2020 and was appointed Corporate Secretary in October 2023. Ms. Williams oversees the global legal team, procurement, insurance risks, enterprise risk management, physical security and safety, investor relations, and employment compliance. From July 2006 to September 2020 she worked in a variety of roles for IHSMarkit, a London-based global information provider, including Senior Vice President of Legal, Risk, and Compliance; Vice President, Divisional Counsel-Transportation; Vice President, Chief Legal Counsel and Global Privacy Officer (IHS, Inc.); Vice President and Deputy General Counsel and Chief Compliance Officer; Deputy General Counsel; and Associate General Counsel (R.L. Polk &amp; Co.). Ms. Williams currently serves as an independent director and compensation committee chair on the board of Horizon Bank and Horizon Bancorp, Inc. In 2026, Ms. Williams was named one of Crain’s Detroit Business’s Notable Women in Law.</w:t>
            </w:r>
          </w:p>
        </w:tc>
      </w:tr>
    </w:tbl>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46 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18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64" descr=""/>
                          <pic:cNvPicPr>
                            <a:picLocks noChangeAspect="1" noChangeArrowheads="1"/>
                          </pic:cNvPicPr>
                        </pic:nvPicPr>
                        <pic:blipFill>
                          <a:blip r:embed="rId176"/>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Compensation Discussion and Analysis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12"/>
        <w:gridCol w:w="60"/>
        <w:gridCol w:w="9133"/>
      </w:tblGrid>
      <w:tr>
        <w:trPr/>
        <w:tc>
          <w:tcPr>
            <w:tcW w:w="1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33" w:type="dxa"/>
            <w:tcBorders/>
            <w:vAlign w:val="center"/>
          </w:tcPr>
          <w:p>
            <w:pPr>
              <w:pStyle w:val="TableContents"/>
              <w:bidi w:val="0"/>
              <w:spacing w:before="0" w:after="283"/>
              <w:jc w:val="left"/>
              <w:rPr>
                <w:sz w:val="4"/>
                <w:szCs w:val="4"/>
              </w:rPr>
            </w:pPr>
            <w:r>
              <w:rPr>
                <w:sz w:val="4"/>
                <w:szCs w:val="4"/>
              </w:rPr>
            </w:r>
          </w:p>
        </w:tc>
      </w:tr>
      <w:tr>
        <w:trPr/>
        <w:tc>
          <w:tcPr>
            <w:tcW w:w="1012" w:type="dxa"/>
            <w:tcBorders>
              <w:bottom w:val="single" w:sz="8" w:space="0" w:color="000000"/>
            </w:tcBorders>
            <w:tcMar>
              <w:bottom w:w="40" w:type="dxa"/>
            </w:tcMar>
            <w:vAlign w:val="center"/>
          </w:tcPr>
          <w:p>
            <w:pPr>
              <w:pStyle w:val="TableContents"/>
              <w:bidi w:val="0"/>
              <w:spacing w:before="0" w:after="0"/>
              <w:jc w:val="left"/>
              <w:rPr>
                <w:rFonts w:ascii="arial" w:hAnsi="arial"/>
                <w:b/>
                <w:color w:val="00AE4F"/>
                <w:sz w:val="18"/>
              </w:rPr>
            </w:pPr>
            <w:r>
              <w:rPr>
                <w:rFonts w:ascii="arial" w:hAnsi="arial"/>
                <w:b/>
                <w:color w:val="00AE4F"/>
                <w:sz w:val="18"/>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133" w:type="dxa"/>
            <w:tcBorders>
              <w:bottom w:val="single" w:sz="8" w:space="0" w:color="000000"/>
            </w:tcBorders>
            <w:tcMar>
              <w:bottom w:w="40" w:type="dxa"/>
            </w:tcMar>
            <w:vAlign w:val="center"/>
          </w:tcPr>
          <w:p>
            <w:pPr>
              <w:pStyle w:val="TableContents"/>
              <w:bidi w:val="0"/>
              <w:spacing w:before="0" w:after="283"/>
              <w:jc w:val="left"/>
              <w:rPr>
                <w:b/>
                <w:color w:val="00AE4F"/>
              </w:rPr>
            </w:pPr>
            <w:r>
              <w:rPr>
                <w:b/>
                <w:color w:val="00AE4F"/>
              </w:rPr>
              <w:t>Biographical Information</w:t>
            </w:r>
          </w:p>
        </w:tc>
      </w:tr>
      <w:tr>
        <w:trPr/>
        <w:tc>
          <w:tcPr>
            <w:tcW w:w="1012" w:type="dxa"/>
            <w:tcBorders/>
            <w:vAlign w:val="center"/>
          </w:tcPr>
          <w:p>
            <w:pPr>
              <w:pStyle w:val="TableContents"/>
              <w:bidi w:val="0"/>
              <w:spacing w:before="0" w:after="283"/>
              <w:jc w:val="left"/>
              <w:rPr>
                <w:sz w:val="4"/>
                <w:szCs w:val="4"/>
              </w:rPr>
            </w:pPr>
            <w:r>
              <w:rPr>
                <w:sz w:val="4"/>
                <w:szCs w:val="4"/>
              </w:rPr>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bottom w:val="single" w:sz="6" w:space="0" w:color="7F7F7F"/>
            </w:tcBorders>
            <w:tcMar>
              <w:bottom w:w="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Nicola M. Soares</w:t>
            </w:r>
          </w:p>
          <w:p>
            <w:pPr>
              <w:pStyle w:val="TableContents"/>
              <w:bidi w:val="0"/>
              <w:spacing w:before="0" w:after="0"/>
              <w:jc w:val="left"/>
              <w:rPr>
                <w:rFonts w:ascii="arial" w:hAnsi="arial"/>
                <w:sz w:val="18"/>
              </w:rPr>
            </w:pPr>
            <w:r>
              <w:rPr>
                <w:rFonts w:ascii="arial" w:hAnsi="arial"/>
                <w:sz w:val="18"/>
              </w:rPr>
              <w:t>Senior Vice President</w:t>
            </w:r>
          </w:p>
          <w:p>
            <w:pPr>
              <w:pStyle w:val="TableContents"/>
              <w:bidi w:val="0"/>
              <w:spacing w:before="0" w:after="0"/>
              <w:jc w:val="left"/>
              <w:rPr>
                <w:rFonts w:ascii="arial" w:hAnsi="arial"/>
                <w:sz w:val="18"/>
              </w:rPr>
            </w:pPr>
            <w:r>
              <w:rPr>
                <w:rFonts w:ascii="arial" w:hAnsi="arial"/>
                <w:sz w:val="18"/>
              </w:rPr>
              <w:t>President, Kelly Education</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b/>
                <w:color w:val="00AE4F"/>
                <w:sz w:val="18"/>
              </w:rPr>
              <w:t xml:space="preserve">Age: </w:t>
            </w:r>
            <w:r>
              <w:rPr>
                <w:rFonts w:ascii="arial" w:hAnsi="arial"/>
                <w:sz w:val="18"/>
              </w:rPr>
              <w:t>57</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9133" w:type="dxa"/>
            <w:tcBorders>
              <w:bottom w:val="single" w:sz="6" w:space="0" w:color="7F7F7F"/>
            </w:tcBorders>
            <w:tcMar>
              <w:bottom w:w="6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Nicola Soares, President of Kelly Education since 2011, has led the organization’s transformation into the nation’s most trusted provider of education workforce solutions, expanding its services from substitute staffing to include paraprofessionals, tutors, therapists, and nurses across early childhood to higher education executive search services. Her leadership has also driven the integration of therapeutic and mental health services, aligning healthcare and education to support holistic student success. With more than 20 years of experience, Nicola’s career spans teaching in public schools and influential roles at McGraw-Hill Education and NBC Universal, where she advanced innovative strategies to improve learning outcomes, cementing her reputation as a leader shaping the future of education and workforce solutions.</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10"/>
        <w:gridCol w:w="6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arial" w:hAnsi="arial"/>
                <w:sz w:val="18"/>
              </w:rPr>
            </w:pPr>
            <w:r>
              <w:rPr>
                <w:rFonts w:ascii="arial" w:hAnsi="arial"/>
                <w:sz w:val="18"/>
              </w:rPr>
              <w:t xml:space="preserve">Ms. Browning separated from the Company effective March 6, 2026. </w:t>
            </w:r>
          </w:p>
        </w:tc>
      </w:tr>
    </w:tbl>
    <w:p>
      <w:pPr>
        <w:pStyle w:val="TextBody"/>
        <w:bidi w:val="0"/>
        <w:spacing w:before="360" w:after="0"/>
        <w:jc w:val="left"/>
        <w:rPr>
          <w:rFonts w:ascii="arial" w:hAnsi="arial"/>
          <w:b/>
          <w:sz w:val="24"/>
        </w:rPr>
      </w:pPr>
      <w:bookmarkStart w:id="45" w:name="txa2837686_202"/>
      <w:bookmarkStart w:id="46" w:name="toc37355_43"/>
      <w:bookmarkEnd w:id="45"/>
      <w:bookmarkEnd w:id="46"/>
      <w:r>
        <w:rPr>
          <w:rFonts w:ascii="arial" w:hAnsi="arial"/>
          <w:b/>
          <w:sz w:val="24"/>
        </w:rPr>
        <w:t xml:space="preserve">Executive Summary </w:t>
      </w:r>
    </w:p>
    <w:p>
      <w:pPr>
        <w:pStyle w:val="TextBody"/>
        <w:bidi w:val="0"/>
        <w:spacing w:before="80" w:after="0"/>
        <w:jc w:val="left"/>
        <w:rPr>
          <w:rFonts w:ascii="arial" w:hAnsi="arial"/>
          <w:i/>
          <w:sz w:val="20"/>
        </w:rPr>
      </w:pPr>
      <w:r>
        <w:rPr>
          <w:rFonts w:ascii="arial" w:hAnsi="arial"/>
          <w:i/>
          <w:sz w:val="20"/>
        </w:rPr>
        <w:t xml:space="preserve">Our Purpose and Business Model </w:t>
      </w:r>
    </w:p>
    <w:p>
      <w:pPr>
        <w:pStyle w:val="TextBody"/>
        <w:bidi w:val="0"/>
        <w:spacing w:before="120" w:after="0"/>
        <w:jc w:val="left"/>
        <w:rPr>
          <w:rFonts w:ascii="arial" w:hAnsi="arial"/>
          <w:sz w:val="18"/>
        </w:rPr>
      </w:pPr>
      <w:r>
        <w:rPr>
          <w:rFonts w:ascii="arial" w:hAnsi="arial"/>
          <w:sz w:val="18"/>
        </w:rPr>
        <w:t xml:space="preserve">Kelly’s purpose is to connect people to work in ways that enrich their lives, while creating opportunities for all people to realize their full potential. We are dedicated to removing barriers to employment, ensuring that anyone who is qualified has access to meaningful employment. </w:t>
      </w:r>
    </w:p>
    <w:p>
      <w:pPr>
        <w:pStyle w:val="TextBody"/>
        <w:bidi w:val="0"/>
        <w:spacing w:before="80" w:after="0"/>
        <w:jc w:val="left"/>
        <w:rPr>
          <w:rFonts w:ascii="arial" w:hAnsi="arial"/>
          <w:sz w:val="18"/>
        </w:rPr>
      </w:pPr>
      <w:r>
        <w:rPr>
          <w:rFonts w:ascii="arial" w:hAnsi="arial"/>
          <w:sz w:val="18"/>
        </w:rPr>
        <w:t xml:space="preserve">Kelly creates pathways allowing talent to thrive. We help our clients find the people they need to succeed, while championing fair and all-encompassing hiring practices. Our commitment is reflected in initiatives like Equity@Work, designed to remove obstacles, open doors, and expand opportunities for all talent. </w:t>
      </w:r>
    </w:p>
    <w:p>
      <w:pPr>
        <w:pStyle w:val="TextBody"/>
        <w:bidi w:val="0"/>
        <w:spacing w:before="80" w:after="0"/>
        <w:jc w:val="left"/>
        <w:rPr>
          <w:rFonts w:ascii="arial" w:hAnsi="arial"/>
          <w:sz w:val="18"/>
        </w:rPr>
      </w:pPr>
      <w:r>
        <w:rPr>
          <w:rFonts w:ascii="arial" w:hAnsi="arial"/>
          <w:sz w:val="18"/>
        </w:rPr>
        <w:t xml:space="preserve">Kelly’s impact doesn’t stop there. We are devoted to growing and developing a varied ecosystem of supplier partners, empowering them to make a difference in the industry and the marketplace. We support the success of our clients and contribute to a more vibrant ecosystem by nurturing relationships. </w:t>
      </w:r>
    </w:p>
    <w:p>
      <w:pPr>
        <w:pStyle w:val="TextBody"/>
        <w:bidi w:val="0"/>
        <w:spacing w:before="80" w:after="0"/>
        <w:jc w:val="left"/>
        <w:rPr>
          <w:rFonts w:ascii="arial" w:hAnsi="arial"/>
          <w:sz w:val="18"/>
        </w:rPr>
      </w:pPr>
      <w:r>
        <w:rPr>
          <w:rFonts w:ascii="arial" w:hAnsi="arial"/>
          <w:sz w:val="18"/>
        </w:rPr>
        <w:t xml:space="preserve">Through our efforts, Kelly aims to shape a future where work is accessible to everyone, organizations drive innovation with a holistic talent mindset, and our collective progress is fueled by perspectives of people from all backgrounds. </w:t>
      </w:r>
    </w:p>
    <w:p>
      <w:pPr>
        <w:pStyle w:val="TextBody"/>
        <w:bidi w:val="0"/>
        <w:spacing w:before="80" w:after="0"/>
        <w:jc w:val="left"/>
        <w:rPr>
          <w:rFonts w:ascii="arial" w:hAnsi="arial"/>
          <w:sz w:val="18"/>
        </w:rPr>
      </w:pPr>
      <w:r>
        <w:rPr>
          <w:rFonts w:ascii="arial" w:hAnsi="arial"/>
          <w:sz w:val="18"/>
        </w:rPr>
        <w:t xml:space="preserve">Kelly’s business model brings together both staffing and outcome-based solutions under a single specialty leader and aggregates assets to accelerate specialty growth and profitability. We believe this specialty structure gives us greater advantages in the market, and we expect our disciplined focus will enable us to achieve greater efficiencies and deliver profitable growth. </w:t>
      </w:r>
    </w:p>
    <w:p>
      <w:pPr>
        <w:pStyle w:val="TextBody"/>
        <w:bidi w:val="0"/>
        <w:spacing w:before="240" w:after="0"/>
        <w:jc w:val="left"/>
        <w:rPr>
          <w:rFonts w:ascii="arial" w:hAnsi="arial"/>
          <w:i/>
          <w:sz w:val="20"/>
        </w:rPr>
      </w:pPr>
      <w:r>
        <w:rPr>
          <w:rFonts w:ascii="arial" w:hAnsi="arial"/>
          <w:i/>
          <w:sz w:val="20"/>
        </w:rPr>
        <w:t xml:space="preserve">CEO Transition </w:t>
      </w:r>
    </w:p>
    <w:p>
      <w:pPr>
        <w:pStyle w:val="TextBody"/>
        <w:bidi w:val="0"/>
        <w:spacing w:before="80" w:after="0"/>
        <w:jc w:val="left"/>
        <w:rPr>
          <w:rFonts w:ascii="arial" w:hAnsi="arial"/>
          <w:sz w:val="18"/>
        </w:rPr>
      </w:pPr>
      <w:r>
        <w:rPr>
          <w:rFonts w:ascii="arial" w:hAnsi="arial"/>
          <w:sz w:val="18"/>
        </w:rPr>
        <w:t xml:space="preserve">On February 12, 2025, Peter Quigley informed the Company of his intention to retire as President and Chief Executive Officer. During his tenure as CEO, Mr. Quigley led the Company through a period of significant strategic evolution, positioning the Company for its next chapter of growth and transformation. Details of Mr. Quigley’s Separation and Transition Advisory Services Agreement can be found in the “Potential Payments Upon Termination or Change in Control 2025” section below. </w:t>
      </w:r>
    </w:p>
    <w:p>
      <w:pPr>
        <w:pStyle w:val="TextBody"/>
        <w:bidi w:val="0"/>
        <w:spacing w:before="80" w:after="0"/>
        <w:jc w:val="left"/>
        <w:rPr>
          <w:rFonts w:ascii="arial" w:hAnsi="arial"/>
          <w:sz w:val="18"/>
        </w:rPr>
      </w:pPr>
      <w:r>
        <w:rPr>
          <w:rFonts w:ascii="arial" w:hAnsi="arial"/>
          <w:sz w:val="18"/>
        </w:rPr>
        <w:t xml:space="preserve">On August 7, 2025, the Company announced the appointment of Christopher Layden as President and Chief Executive Officer, effective September 2, 2025. Mr. Layden brings extensive experience in workforce solutions, serving as Chief Operating Officer of Prolink, a workforce solutions provider offering staffing, technology, culture, data, and talent experience solutions throughout the United States. Prior to Prolink, he spent nearly two decades at ManpowerGroup in positions of increasing responsibility, including vice president and general manager, industry verticals. Mr. Layden holds a Bachelor of Arts degree in Philosophy from Boston College. He was also appointed to the Company’s Board of Directors, effective as of his start date. </w:t>
      </w:r>
    </w:p>
    <w:p>
      <w:pPr>
        <w:pStyle w:val="TextBody"/>
        <w:bidi w:val="0"/>
        <w:spacing w:before="80" w:after="0"/>
        <w:jc w:val="left"/>
        <w:rPr>
          <w:rFonts w:ascii="arial" w:hAnsi="arial"/>
          <w:sz w:val="18"/>
        </w:rPr>
      </w:pPr>
      <w:r>
        <w:rPr>
          <w:rFonts w:ascii="arial" w:hAnsi="arial"/>
          <w:sz w:val="18"/>
        </w:rPr>
        <w:t xml:space="preserve">Mr. Layden’s compensation package reflects the Board’s commitment to attracting and retaining top executive talent while aligning his interests with long-term shareholder value creation. Upon hire, his employment terms included an annual base salary of $1,000,000, a Short-Term Incentive Plan (“STIP”) target opportunity of 125% of earned annual salary (with his 2025 STIP award guaranteed at a minimum of $450,000 to partially offset incentive compensation forfeited upon leaving his prior employer), and beginning with the 2026 grant, eligibility for Long-Term Incentive Plan (“LTIP”) awards with a target opportunity of 250% of annual salary. To facilitate his transition to Kelly Services, Mr. Layden received a one-time cash </w:t>
      </w:r>
    </w:p>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18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65" descr=""/>
                          <pic:cNvPicPr>
                            <a:picLocks noChangeAspect="1" noChangeArrowheads="1"/>
                          </pic:cNvPicPr>
                        </pic:nvPicPr>
                        <pic:blipFill>
                          <a:blip r:embed="rId177"/>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sign-on bonus of $450,000 and a sign-on equity award valued at $4,000,000 in restricted stock, vesting over three years (15% after year one, 35% after year two, and 50% after year three). The grant value of this award considered the outstanding incentive awards that Mr. Layden would be forfeiting and was structured to be an inducement for him to join the Company. </w:t>
      </w:r>
    </w:p>
    <w:p>
      <w:pPr>
        <w:pStyle w:val="TextBody"/>
        <w:bidi w:val="0"/>
        <w:spacing w:before="240" w:after="0"/>
        <w:jc w:val="left"/>
        <w:rPr>
          <w:rFonts w:ascii="arial" w:hAnsi="arial"/>
          <w:i/>
          <w:sz w:val="20"/>
        </w:rPr>
      </w:pPr>
      <w:r>
        <w:rPr>
          <w:rFonts w:ascii="arial" w:hAnsi="arial"/>
          <w:i/>
          <w:sz w:val="20"/>
        </w:rPr>
        <w:t xml:space="preserve">One-time Stock Awards </w:t>
      </w:r>
    </w:p>
    <w:p>
      <w:pPr>
        <w:pStyle w:val="TextBody"/>
        <w:bidi w:val="0"/>
        <w:spacing w:before="80" w:after="0"/>
        <w:jc w:val="left"/>
        <w:rPr>
          <w:rFonts w:ascii="arial" w:hAnsi="arial"/>
          <w:sz w:val="18"/>
        </w:rPr>
      </w:pPr>
      <w:r>
        <w:rPr>
          <w:rFonts w:ascii="arial" w:hAnsi="arial"/>
          <w:sz w:val="18"/>
        </w:rPr>
        <w:t xml:space="preserve">In 2025, there was a one-time equity award made to Ms. Browning to recognize her leadership and performance with our ETM business transformation. The Committee approved a grant of restricted stock valued at approximately $500,000. These shares were to vest over two years (50% on the first and second anniversary date of the grant), which was made on August 15, 2025. These shares were forfeited upon her separation from the Company. </w:t>
      </w:r>
    </w:p>
    <w:p>
      <w:pPr>
        <w:pStyle w:val="TextBody"/>
        <w:bidi w:val="0"/>
        <w:spacing w:before="240" w:after="0"/>
        <w:jc w:val="left"/>
        <w:rPr>
          <w:rFonts w:ascii="arial" w:hAnsi="arial"/>
          <w:i/>
          <w:sz w:val="20"/>
        </w:rPr>
      </w:pPr>
      <w:r>
        <w:rPr>
          <w:rFonts w:ascii="arial" w:hAnsi="arial"/>
          <w:i/>
          <w:sz w:val="20"/>
        </w:rPr>
        <w:t xml:space="preserve">2025 Business Highlights </w:t>
      </w:r>
    </w:p>
    <w:p>
      <w:pPr>
        <w:pStyle w:val="TextBody"/>
        <w:bidi w:val="0"/>
        <w:spacing w:before="80" w:after="0"/>
        <w:jc w:val="left"/>
        <w:rPr>
          <w:rFonts w:ascii="arial" w:hAnsi="arial"/>
          <w:sz w:val="18"/>
        </w:rPr>
      </w:pPr>
      <w:r>
        <w:rPr>
          <w:rFonts w:ascii="arial" w:hAnsi="arial"/>
          <w:sz w:val="18"/>
        </w:rPr>
        <w:t xml:space="preserve">The Compensation Committee believes executive compensation decisions should be understood in the context of our overall business performance. The following highlights summarize our key financial and strategic accomplishments in fiscal year 2025 and directly informed the compensation outcomes described in this CD&amp;A. </w:t>
      </w:r>
    </w:p>
    <w:p>
      <w:pPr>
        <w:pStyle w:val="TextBody"/>
        <w:bidi w:val="0"/>
        <w:spacing w:before="80" w:after="0"/>
        <w:jc w:val="left"/>
        <w:rPr>
          <w:rFonts w:ascii="arial" w:hAnsi="arial"/>
          <w:sz w:val="18"/>
        </w:rPr>
      </w:pPr>
      <w:r>
        <w:rPr>
          <w:rFonts w:ascii="arial" w:hAnsi="arial"/>
          <w:sz w:val="18"/>
        </w:rPr>
        <w:t xml:space="preserve">Kelly reported revenue of $4.3 billion in 2025, down 1.9% compared to the prior year. Excluding the impact of the May 2024 acquisition of MRP, revenue was down 6.2% on an organic basis driven primarily by a 6% decline due to discrete impacts associated with reduced demand for U.S. federal government contractors and from three large commercial customers. </w:t>
      </w:r>
    </w:p>
    <w:p>
      <w:pPr>
        <w:pStyle w:val="TextBody"/>
        <w:bidi w:val="0"/>
        <w:spacing w:before="80" w:after="0"/>
        <w:jc w:val="left"/>
        <w:rPr>
          <w:rFonts w:ascii="arial" w:hAnsi="arial"/>
          <w:sz w:val="18"/>
        </w:rPr>
      </w:pPr>
      <w:r>
        <w:rPr>
          <w:rFonts w:ascii="arial" w:hAnsi="arial"/>
          <w:sz w:val="18"/>
        </w:rPr>
        <w:t xml:space="preserve">Gross profit decreased 3.4% on lower revenue volume, partially offset by the acquisition of MRP. Excluding the impact from the acquisition, gross profit decreased 9.7%. The gross profit rate decreased 30 basis points to 20.1% and was favorably impacted by the acquisition of MRP. Excluding the acquisition, the gross profit rate declined 70 basis points. The decrease is due primarily to changes in business mix, higher employee-related costs and lower permanent placement revenue. Permanent placement revenue has higher gross profit due to very low direct costs of services and thus has a disproportionate impact on gross profit rates. The gross profit rate decreased in the ETM and SET segments and increased slightly in the Education segment. </w:t>
      </w:r>
    </w:p>
    <w:p>
      <w:pPr>
        <w:pStyle w:val="TextBody"/>
        <w:bidi w:val="0"/>
        <w:spacing w:before="80" w:after="0"/>
        <w:jc w:val="left"/>
        <w:rPr>
          <w:rFonts w:ascii="arial" w:hAnsi="arial"/>
          <w:sz w:val="18"/>
        </w:rPr>
      </w:pPr>
      <w:r>
        <w:rPr>
          <w:rFonts w:ascii="arial" w:hAnsi="arial"/>
          <w:sz w:val="18"/>
        </w:rPr>
        <w:t xml:space="preserve">The Company reported an operating loss of $69.8 million in 2025 compared to a loss of $15.1 million reported in 2024; both years reflect non-cash impairment charges of $102.0 million and $86.3 million, respectively. Adjusted earnings were $59.3 million in 2025 and $92.1 million in 2024. Adjusted EBITDA of $109.4 million was down 23.8% versus the prior year. Adjusted EBITDA margin was 2.6%, a decrease of 70 basis points versus the prior year driven primarily by near-term gross margin pressure in SET and ETM along with revenue trends and timing of related expense management actions. </w:t>
      </w:r>
    </w:p>
    <w:p>
      <w:pPr>
        <w:pStyle w:val="TextBody"/>
        <w:bidi w:val="0"/>
        <w:spacing w:before="80" w:after="0"/>
        <w:jc w:val="left"/>
        <w:rPr>
          <w:rFonts w:ascii="arial" w:hAnsi="arial"/>
          <w:sz w:val="18"/>
        </w:rPr>
      </w:pPr>
      <w:r>
        <w:rPr>
          <w:rFonts w:ascii="arial" w:hAnsi="arial"/>
          <w:sz w:val="18"/>
        </w:rPr>
        <w:t xml:space="preserve">The Compensation Committee believes, based on these results, our financial objectives are appropriately reflected in the compensation awarded to our Named Executive Officers for fiscal year 2025, as discussed in detail in the sections that follow. </w:t>
      </w:r>
    </w:p>
    <w:p>
      <w:pPr>
        <w:pStyle w:val="TextBody"/>
        <w:bidi w:val="0"/>
        <w:spacing w:before="240" w:after="0"/>
        <w:jc w:val="left"/>
        <w:rPr>
          <w:rFonts w:ascii="arial" w:hAnsi="arial"/>
          <w:i/>
          <w:sz w:val="20"/>
        </w:rPr>
      </w:pPr>
      <w:bookmarkStart w:id="47" w:name="txa2837686_204"/>
      <w:bookmarkStart w:id="48" w:name="toc37355_44"/>
      <w:bookmarkEnd w:id="47"/>
      <w:bookmarkEnd w:id="48"/>
      <w:r>
        <w:rPr>
          <w:rFonts w:ascii="arial" w:hAnsi="arial"/>
          <w:i/>
          <w:sz w:val="20"/>
        </w:rPr>
        <w:t xml:space="preserve">Key Executive Compensation Program Highlights for Fiscal 2025 </w:t>
      </w:r>
    </w:p>
    <w:p>
      <w:pPr>
        <w:pStyle w:val="TextBody"/>
        <w:bidi w:val="0"/>
        <w:spacing w:before="80" w:after="0"/>
        <w:jc w:val="left"/>
        <w:rPr>
          <w:rFonts w:ascii="arial" w:hAnsi="arial"/>
          <w:sz w:val="18"/>
        </w:rPr>
      </w:pPr>
      <w:r>
        <w:rPr>
          <w:rFonts w:ascii="arial" w:hAnsi="arial"/>
          <w:sz w:val="18"/>
        </w:rPr>
        <w:t xml:space="preserve">We align compensation with long-term shareholder value by ensuring a significant portion of named executive officer pay is performance-based and “at risk.” In 2025, our incentive programs continued to support this philosophy while balancing competitiveness and fiscal discipline. The outcomes for our named executive officers reflect both Company performance and leadership’s strategic focus as Kelly executes its transformation into a high-performing talent solutions firm. The following summarizes key compensation actions and outcomes for fiscal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Performed an annual base salary review for all senior officers with three named executive officers receiving a salary increase in 2025; </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185"/>
        <w:gridCol w:w="60"/>
        <w:gridCol w:w="494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0"/>
              <w:jc w:val="left"/>
              <w:rPr>
                <w:rFonts w:ascii="arial" w:hAnsi="arial"/>
                <w:sz w:val="18"/>
              </w:rPr>
            </w:pPr>
            <w:r>
              <w:rPr>
                <w:rFonts w:ascii="arial" w:hAnsi="arial"/>
                <w:sz w:val="18"/>
              </w:rPr>
              <w:t xml:space="preserve">With respect to our 2025 Short-Term Incentive Plan (“STIP”):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Funding for our enterprise participants was 100% on total Company earnings before interest, taxes, depreciation, and amortization $’s (“EBITDA”), while our business unit participants were 50% on total Company EBITDA $ and 25% on business unit gross profit and 25% on business unit EBITDA $.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Corporate performance fell below threshold and did not fund under the 2025 STIP. Accordingly, no enterprise-based payouts were earned, and only one named executive officer received a payout based on business unit performance. </w:t>
            </w:r>
          </w:p>
        </w:tc>
      </w:tr>
    </w:tbl>
    <w:p>
      <w:pPr>
        <w:pStyle w:val="TextBody"/>
        <w:bidi w:val="0"/>
        <w:spacing w:before="0" w:after="0"/>
        <w:jc w:val="left"/>
        <w:rPr/>
      </w:pPr>
      <w:r>
        <w:rPr/>
        <w:t> </w:t>
      </w:r>
    </w:p>
    <w:tbl>
      <w:tblPr>
        <w:tblW w:w="3685" w:type="dxa"/>
        <w:jc w:val="left"/>
        <w:tblInd w:w="0" w:type="dxa"/>
        <w:tblLayout w:type="fixed"/>
        <w:tblCellMar>
          <w:top w:w="0" w:type="dxa"/>
          <w:left w:w="0" w:type="dxa"/>
          <w:bottom w:w="0" w:type="dxa"/>
          <w:right w:w="0" w:type="dxa"/>
        </w:tblCellMar>
      </w:tblPr>
      <w:tblGrid>
        <w:gridCol w:w="185"/>
        <w:gridCol w:w="60"/>
        <w:gridCol w:w="344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left"/>
              <w:rPr>
                <w:rFonts w:ascii="arial" w:hAnsi="arial"/>
                <w:sz w:val="18"/>
              </w:rPr>
            </w:pPr>
            <w:r>
              <w:rPr>
                <w:rFonts w:ascii="arial" w:hAnsi="arial"/>
                <w:sz w:val="18"/>
              </w:rPr>
              <w:t xml:space="preserve">With respect to long-term incentives “LTI”: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performance-based portion of our 2025 Equity Incentive Plan continued to use two performance metrics measured over three one-year performance periods: 50% weighted on Company Revenue and 50% weighted on Company EBITDA Margin. Performance shares cliff-vest at the end of the three-year period based on the aggregate results of all three annual measurement periods; </w:t>
            </w:r>
          </w:p>
        </w:tc>
      </w:tr>
    </w:tbl>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48 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18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66" descr=""/>
                          <pic:cNvPicPr>
                            <a:picLocks noChangeAspect="1" noChangeArrowheads="1"/>
                          </pic:cNvPicPr>
                        </pic:nvPicPr>
                        <pic:blipFill>
                          <a:blip r:embed="rId178"/>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Compensation Discussion and Analysis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year one of the 2025-2027, year two of the 2024-2026 and year three of the 2023-2025 Performance Shares were earned at 53.64% of target for the 2025 assessment period. </w:t>
            </w:r>
          </w:p>
        </w:tc>
      </w:tr>
    </w:tbl>
    <w:p>
      <w:pPr>
        <w:pStyle w:val="TextBody"/>
        <w:bidi w:val="0"/>
        <w:spacing w:before="240" w:after="0"/>
        <w:jc w:val="left"/>
        <w:rPr>
          <w:rFonts w:ascii="arial" w:hAnsi="arial"/>
          <w:i/>
          <w:sz w:val="20"/>
        </w:rPr>
      </w:pPr>
      <w:bookmarkStart w:id="49" w:name="txa2837686_205"/>
      <w:bookmarkStart w:id="50" w:name="toc37355_45"/>
      <w:bookmarkEnd w:id="49"/>
      <w:bookmarkEnd w:id="50"/>
      <w:r>
        <w:rPr>
          <w:rFonts w:ascii="arial" w:hAnsi="arial"/>
          <w:i/>
          <w:sz w:val="20"/>
        </w:rPr>
        <w:t xml:space="preserve">Annual Say on Pay Vote </w:t>
      </w:r>
    </w:p>
    <w:p>
      <w:pPr>
        <w:pStyle w:val="TextBody"/>
        <w:bidi w:val="0"/>
        <w:spacing w:before="80" w:after="0"/>
        <w:jc w:val="left"/>
        <w:rPr>
          <w:rFonts w:ascii="arial" w:hAnsi="arial"/>
          <w:sz w:val="18"/>
        </w:rPr>
      </w:pPr>
      <w:r>
        <w:rPr>
          <w:rFonts w:ascii="arial" w:hAnsi="arial"/>
          <w:sz w:val="18"/>
        </w:rPr>
        <w:t xml:space="preserve">The frequency of the Company’s Say on Pay vote is annual and, as such, the Committee considers the shareholder advisory vote on executive compensation as disclosed in the Company’s Proxy Statement each year. In 2025, </w:t>
      </w:r>
      <w:r>
        <w:rPr>
          <w:rFonts w:ascii="arial" w:hAnsi="arial"/>
          <w:b/>
          <w:sz w:val="18"/>
        </w:rPr>
        <w:t>99%</w:t>
      </w:r>
      <w:r>
        <w:rPr>
          <w:rFonts w:ascii="arial" w:hAnsi="arial"/>
          <w:sz w:val="18"/>
        </w:rPr>
        <w:t xml:space="preserve"> of the shares represented at the meeting approved the Say on Pay proposal. The Committee considered this result as a factor in its decision to maintain the general design of the Company’s compensation programs. </w:t>
      </w:r>
    </w:p>
    <w:p>
      <w:pPr>
        <w:pStyle w:val="TextBody"/>
        <w:bidi w:val="0"/>
        <w:spacing w:before="80" w:after="0"/>
        <w:jc w:val="left"/>
        <w:rPr>
          <w:rFonts w:ascii="arial" w:hAnsi="arial"/>
          <w:sz w:val="18"/>
        </w:rPr>
      </w:pPr>
      <w:r>
        <w:rPr>
          <w:rFonts w:ascii="arial" w:hAnsi="arial"/>
          <w:sz w:val="18"/>
        </w:rPr>
        <w:t xml:space="preserve">However, we continue to evaluate our executive compensation program and make changes to further align with our strategic priorities and to reward short- and long-term business success. We designed a program that aligns with shareholder interests, incentivizes growth and operational excellence, and demonstrates a clear linkage between compensation and performance. The program continues to seek to ensure pay for performance and minimize incentives for management to take excessive risks. The Committee worked with management and its independent compensation consultant, as described later in this document, to review current compensation programs, including the incentive plans. </w:t>
      </w:r>
    </w:p>
    <w:p>
      <w:pPr>
        <w:pStyle w:val="TextBody"/>
        <w:bidi w:val="0"/>
        <w:spacing w:before="360" w:after="0"/>
        <w:jc w:val="left"/>
        <w:rPr>
          <w:rFonts w:ascii="arial" w:hAnsi="arial"/>
          <w:b/>
          <w:sz w:val="24"/>
        </w:rPr>
      </w:pPr>
      <w:bookmarkStart w:id="51" w:name="toc37355_45a"/>
      <w:bookmarkEnd w:id="51"/>
      <w:r>
        <w:rPr>
          <w:rFonts w:ascii="arial" w:hAnsi="arial"/>
          <w:b/>
          <w:sz w:val="24"/>
        </w:rPr>
        <w:t xml:space="preserve">Compensation Practices and Policies </w:t>
      </w:r>
    </w:p>
    <w:p>
      <w:pPr>
        <w:pStyle w:val="TextBody"/>
        <w:bidi w:val="0"/>
        <w:spacing w:before="120" w:after="0"/>
        <w:jc w:val="left"/>
        <w:rPr>
          <w:rFonts w:ascii="arial" w:hAnsi="arial"/>
          <w:sz w:val="18"/>
        </w:rPr>
      </w:pPr>
      <w:r>
        <w:rPr>
          <w:rFonts w:ascii="arial" w:hAnsi="arial"/>
          <w:sz w:val="18"/>
        </w:rPr>
        <w:t>Our executive compensation programs are built on strong governance practices that align executive interests with long-term shareholder value creation. The following table illustrates our commitment to thoughtful compensation design and responsible oversight.</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333375"/>
            <wp:effectExtent l="0" t="0" r="0" b="0"/>
            <wp:docPr id="19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67" descr=""/>
                    <pic:cNvPicPr>
                      <a:picLocks noChangeAspect="1" noChangeArrowheads="1"/>
                    </pic:cNvPicPr>
                  </pic:nvPicPr>
                  <pic:blipFill>
                    <a:blip r:embed="rId179"/>
                    <a:stretch>
                      <a:fillRect/>
                    </a:stretch>
                  </pic:blipFill>
                  <pic:spPr bwMode="auto">
                    <a:xfrm>
                      <a:off x="0" y="0"/>
                      <a:ext cx="7810500" cy="333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29">
                <wp:simplePos x="0" y="0"/>
                <wp:positionH relativeFrom="column">
                  <wp:align>left</wp:align>
                </wp:positionH>
                <wp:positionV relativeFrom="line">
                  <wp:posOffset>635</wp:posOffset>
                </wp:positionV>
                <wp:extent cx="3110230" cy="5113655"/>
                <wp:effectExtent l="0" t="0" r="0" b="0"/>
                <wp:wrapSquare wrapText="right"/>
                <wp:docPr id="191" name="Frame13"/>
                <a:graphic xmlns:a="http://schemas.openxmlformats.org/drawingml/2006/main">
                  <a:graphicData uri="http://schemas.microsoft.com/office/word/2010/wordprocessingShape">
                    <wps:wsp>
                      <wps:cNvSpPr txBox="1"/>
                      <wps:spPr>
                        <a:xfrm>
                          <a:off x="0" y="0"/>
                          <a:ext cx="3110230" cy="511365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Align pay with performance using balanced performance measures that are linked to strategic business objectives in short-and long-term incentives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Align executive compensation with shareholder returns through performance-based equity incentive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Annually review performance measures and goals for our short-and long-term incentives by the independent Compensation and Talent Management Committee to ensure we use diversified measures with challenging, but attainable targets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Require the achievement of a minimum acceptable level of financial performance for any payment to be made pursuant to the STIP and include caps on payouts </w:t>
                                  </w:r>
                                </w:p>
                              </w:tc>
                            </w:tr>
                          </w:tbl>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185"/>
                              <w:gridCol w:w="60"/>
                              <w:gridCol w:w="884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left"/>
                                    <w:rPr/>
                                  </w:pPr>
                                  <w:r>
                                    <w:rPr/>
                                    <w:t xml:space="preserve">Require stock ownership and retention of a portion of equity-based awards by senior officers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185"/>
                              <w:gridCol w:w="60"/>
                              <w:gridCol w:w="7985"/>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pPr>
                                  <w:r>
                                    <w:rPr/>
                                    <w:t xml:space="preserve">Hold an annual “say-on-pay” shareholder advisory vote on executive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Retain an independent executive compensation consultant to the Compensation and Talent Management Committee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02.6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Align pay with performance using balanced performance measures that are linked to strategic business objectives in short-and long-term incentives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Align executive compensation with shareholder returns through performance-based equity incentive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Annually review performance measures and goals for our short-and long-term incentives by the independent Compensation and Talent Management Committee to ensure we use diversified measures with challenging, but attainable targets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Require the achievement of a minimum acceptable level of financial performance for any payment to be made pursuant to the STIP and include caps on payouts </w:t>
                            </w:r>
                          </w:p>
                        </w:tc>
                      </w:tr>
                    </w:tbl>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185"/>
                        <w:gridCol w:w="60"/>
                        <w:gridCol w:w="884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left"/>
                              <w:rPr/>
                            </w:pPr>
                            <w:r>
                              <w:rPr/>
                              <w:t xml:space="preserve">Require stock ownership and retention of a portion of equity-based awards by senior officers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185"/>
                        <w:gridCol w:w="60"/>
                        <w:gridCol w:w="7985"/>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pPr>
                            <w:r>
                              <w:rPr/>
                              <w:t xml:space="preserve">Hold an annual “say-on-pay” shareholder advisory vote on executive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Retain an independent executive compensation consultant to the Compensation and Talent Management Committee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30">
                <wp:simplePos x="0" y="0"/>
                <wp:positionH relativeFrom="column">
                  <wp:align>left</wp:align>
                </wp:positionH>
                <wp:positionV relativeFrom="line">
                  <wp:posOffset>635</wp:posOffset>
                </wp:positionV>
                <wp:extent cx="3175000" cy="5113655"/>
                <wp:effectExtent l="0" t="0" r="0" b="0"/>
                <wp:wrapSquare wrapText="right"/>
                <wp:docPr id="192" name="Frame14"/>
                <a:graphic xmlns:a="http://schemas.openxmlformats.org/drawingml/2006/main">
                  <a:graphicData uri="http://schemas.microsoft.com/office/word/2010/wordprocessingShape">
                    <wps:wsp>
                      <wps:cNvSpPr txBox="1"/>
                      <wps:spPr>
                        <a:xfrm>
                          <a:off x="0" y="0"/>
                          <a:ext cx="3175000" cy="511365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Regularly review executive compensation governance market practices, particularly when considering the adoption of new practices or changes in existing programs or policies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Conduct annual assessments of any potential risks in our incentive compensation programs and policies and related internal controls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Annually review with the Compensation and Talent Management Committee share utilization resulting from our compensation practices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Provide for the forfeiture of equity awards upon certain restrictive covenant breaches and other actions constituting cause for termination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Maintain an insider trading policy that requires directors, senior officers, and other designated officers of the Company to contact our General Counsel and Corporate Secretary prior to sales or purchases of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Maintain a double trigger for the accelerated vesting provisions under the 2025 Equity Incentive Plan (“Plan”) and the Senior Executive Severance Plan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185"/>
                              <w:gridCol w:w="60"/>
                              <w:gridCol w:w="845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8450" w:type="dxa"/>
                                  <w:tcBorders/>
                                  <w:vAlign w:val="center"/>
                                </w:tcPr>
                                <w:p>
                                  <w:pPr>
                                    <w:pStyle w:val="TableContents"/>
                                    <w:bidi w:val="0"/>
                                    <w:spacing w:before="0" w:after="283"/>
                                    <w:jc w:val="left"/>
                                    <w:rPr/>
                                  </w:pPr>
                                  <w:r>
                                    <w:rPr/>
                                    <w:t xml:space="preserve">Condition severance benefits for senior officers on compliance with restrictive covenants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02.6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Regularly review executive compensation governance market practices, particularly when considering the adoption of new practices or changes in existing programs or policies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Conduct annual assessments of any potential risks in our incentive compensation programs and policies and related internal controls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Annually review with the Compensation and Talent Management Committee share utilization resulting from our compensation practices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Provide for the forfeiture of equity awards upon certain restrictive covenant breaches and other actions constituting cause for termination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Maintain an insider trading policy that requires directors, senior officers, and other designated officers of the Company to contact our General Counsel and Corporate Secretary prior to sales or purchases of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Maintain a double trigger for the accelerated vesting provisions under the 2025 Equity Incentive Plan (“Plan”) and the Senior Executive Severance Plan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185"/>
                        <w:gridCol w:w="60"/>
                        <w:gridCol w:w="845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8450" w:type="dxa"/>
                            <w:tcBorders/>
                            <w:vAlign w:val="center"/>
                          </w:tcPr>
                          <w:p>
                            <w:pPr>
                              <w:pStyle w:val="TableContents"/>
                              <w:bidi w:val="0"/>
                              <w:spacing w:before="0" w:after="283"/>
                              <w:jc w:val="left"/>
                              <w:rPr/>
                            </w:pPr>
                            <w:r>
                              <w:rPr/>
                              <w:t xml:space="preserve">Condition severance benefits for senior officers on compliance with restrictive covenants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193"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68" descr=""/>
                          <pic:cNvPicPr>
                            <a:picLocks noChangeAspect="1" noChangeArrowheads="1"/>
                          </pic:cNvPicPr>
                        </pic:nvPicPr>
                        <pic:blipFill>
                          <a:blip r:embed="rId180"/>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Compensation Discussion and Analysis </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333375"/>
            <wp:effectExtent l="0" t="0" r="0" b="0"/>
            <wp:docPr id="194"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69" descr=""/>
                    <pic:cNvPicPr>
                      <a:picLocks noChangeAspect="1" noChangeArrowheads="1"/>
                    </pic:cNvPicPr>
                  </pic:nvPicPr>
                  <pic:blipFill>
                    <a:blip r:embed="rId181"/>
                    <a:stretch>
                      <a:fillRect/>
                    </a:stretch>
                  </pic:blipFill>
                  <pic:spPr bwMode="auto">
                    <a:xfrm>
                      <a:off x="0" y="0"/>
                      <a:ext cx="7810500" cy="333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31">
                <wp:simplePos x="0" y="0"/>
                <wp:positionH relativeFrom="column">
                  <wp:align>left</wp:align>
                </wp:positionH>
                <wp:positionV relativeFrom="line">
                  <wp:posOffset>635</wp:posOffset>
                </wp:positionV>
                <wp:extent cx="3110230" cy="3352165"/>
                <wp:effectExtent l="0" t="0" r="0" b="0"/>
                <wp:wrapSquare wrapText="right"/>
                <wp:docPr id="195" name="Frame15"/>
                <a:graphic xmlns:a="http://schemas.openxmlformats.org/drawingml/2006/main">
                  <a:graphicData uri="http://schemas.microsoft.com/office/word/2010/wordprocessingShape">
                    <wps:wsp>
                      <wps:cNvSpPr txBox="1"/>
                      <wps:spPr>
                        <a:xfrm>
                          <a:off x="0" y="0"/>
                          <a:ext cx="3110230" cy="3352165"/>
                        </a:xfrm>
                        <a:prstGeom prst="rect"/>
                        <a:solidFill>
                          <a:srgbClr val="FFFFFF"/>
                        </a:solidFill>
                      </wps:spPr>
                      <wps:txbx>
                        <w:txbxContent>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185"/>
                              <w:gridCol w:w="60"/>
                              <w:gridCol w:w="854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left"/>
                                    <w:rPr/>
                                  </w:pPr>
                                  <w:r>
                                    <w:rPr/>
                                    <w:t xml:space="preserve">Provide employment agreements for senior officers (except where standard local practice) </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185"/>
                              <w:gridCol w:w="60"/>
                              <w:gridCol w:w="857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left"/>
                                    <w:rPr/>
                                  </w:pPr>
                                  <w:r>
                                    <w:rPr/>
                                    <w:t xml:space="preserve">Allow directors or senior officers to engage in hedging or pledging of Company securities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185"/>
                              <w:gridCol w:w="60"/>
                              <w:gridCol w:w="4925"/>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283"/>
                                    <w:jc w:val="left"/>
                                    <w:rPr/>
                                  </w:pPr>
                                  <w:r>
                                    <w:rPr/>
                                    <w:t xml:space="preserve">Allow the repricing or backdating of equity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Pay dividend equivalents on restricted stock units before achievement of performance hurdle and completion of vesting period </w:t>
                                  </w:r>
                                </w:p>
                              </w:tc>
                            </w:tr>
                          </w:tbl>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185"/>
                              <w:gridCol w:w="60"/>
                              <w:gridCol w:w="4265"/>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xml:space="preserve">Pay dividends on performance share awards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63.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185"/>
                        <w:gridCol w:w="60"/>
                        <w:gridCol w:w="854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left"/>
                              <w:rPr/>
                            </w:pPr>
                            <w:r>
                              <w:rPr/>
                              <w:t xml:space="preserve">Provide employment agreements for senior officers (except where standard local practice) </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185"/>
                        <w:gridCol w:w="60"/>
                        <w:gridCol w:w="857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left"/>
                              <w:rPr/>
                            </w:pPr>
                            <w:r>
                              <w:rPr/>
                              <w:t xml:space="preserve">Allow directors or senior officers to engage in hedging or pledging of Company securities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185"/>
                        <w:gridCol w:w="60"/>
                        <w:gridCol w:w="4925"/>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283"/>
                              <w:jc w:val="left"/>
                              <w:rPr/>
                            </w:pPr>
                            <w:r>
                              <w:rPr/>
                              <w:t xml:space="preserve">Allow the repricing or backdating of equity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Pay dividend equivalents on restricted stock units before achievement of performance hurdle and completion of vesting period </w:t>
                            </w:r>
                          </w:p>
                        </w:tc>
                      </w:tr>
                    </w:tbl>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185"/>
                        <w:gridCol w:w="60"/>
                        <w:gridCol w:w="4265"/>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xml:space="preserve">Pay dividends on performance share awards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32">
                <wp:simplePos x="0" y="0"/>
                <wp:positionH relativeFrom="column">
                  <wp:align>left</wp:align>
                </wp:positionH>
                <wp:positionV relativeFrom="line">
                  <wp:posOffset>635</wp:posOffset>
                </wp:positionV>
                <wp:extent cx="3175000" cy="2646680"/>
                <wp:effectExtent l="0" t="0" r="0" b="0"/>
                <wp:wrapSquare wrapText="right"/>
                <wp:docPr id="196" name="Frame16"/>
                <a:graphic xmlns:a="http://schemas.openxmlformats.org/drawingml/2006/main">
                  <a:graphicData uri="http://schemas.microsoft.com/office/word/2010/wordprocessingShape">
                    <wps:wsp>
                      <wps:cNvSpPr txBox="1"/>
                      <wps:spPr>
                        <a:xfrm>
                          <a:off x="0" y="0"/>
                          <a:ext cx="3175000" cy="264668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Provide tax reimbursements for perquisites or tax gross-ups for excise taxes incurred upon change-in-control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Grant incentive awards to senior officers that are not subject to the Company’s Incentive Compensation Recovery (“Clawback”) Policy </w:t>
                                  </w:r>
                                </w:p>
                              </w:tc>
                            </w:tr>
                          </w:tbl>
                          <w:p>
                            <w:pPr>
                              <w:pStyle w:val="TextBody"/>
                              <w:bidi w:val="0"/>
                              <w:spacing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185"/>
                              <w:gridCol w:w="60"/>
                              <w:gridCol w:w="950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left"/>
                                    <w:rPr/>
                                  </w:pPr>
                                  <w:r>
                                    <w:rPr/>
                                    <w:t xml:space="preserve">Accrue additional retirement benefits under any supplemental executive retirement plans (“SERPs”) </w:t>
                                  </w:r>
                                </w:p>
                              </w:tc>
                            </w:tr>
                          </w:tbl>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185"/>
                              <w:gridCol w:w="60"/>
                              <w:gridCol w:w="2855"/>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pPr>
                                  <w:r>
                                    <w:rPr/>
                                    <w:t xml:space="preserve">Provide excessive perquisites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08.4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Provide tax reimbursements for perquisites or tax gross-ups for excise taxes incurred upon change-in-control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xml:space="preserve">Grant incentive awards to senior officers that are not subject to the Company’s Incentive Compensation Recovery (“Clawback”) Policy </w:t>
                            </w:r>
                          </w:p>
                        </w:tc>
                      </w:tr>
                    </w:tbl>
                    <w:p>
                      <w:pPr>
                        <w:pStyle w:val="TextBody"/>
                        <w:bidi w:val="0"/>
                        <w:spacing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185"/>
                        <w:gridCol w:w="60"/>
                        <w:gridCol w:w="950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left"/>
                              <w:rPr/>
                            </w:pPr>
                            <w:r>
                              <w:rPr/>
                              <w:t xml:space="preserve">Accrue additional retirement benefits under any supplemental executive retirement plans (“SERPs”) </w:t>
                            </w:r>
                          </w:p>
                        </w:tc>
                      </w:tr>
                    </w:tbl>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185"/>
                        <w:gridCol w:w="60"/>
                        <w:gridCol w:w="2855"/>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pPr>
                            <w:r>
                              <w:rPr/>
                              <w:t xml:space="preserve">Provide excessive perquisites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What Guides Our Program </w:t>
      </w:r>
    </w:p>
    <w:p>
      <w:pPr>
        <w:pStyle w:val="TextBody"/>
        <w:bidi w:val="0"/>
        <w:spacing w:before="240" w:after="0"/>
        <w:jc w:val="left"/>
        <w:rPr>
          <w:rFonts w:ascii="arial" w:hAnsi="arial"/>
          <w:b/>
          <w:sz w:val="24"/>
        </w:rPr>
      </w:pPr>
      <w:bookmarkStart w:id="52" w:name="txa2837686_206"/>
      <w:bookmarkStart w:id="53" w:name="toc37355_46"/>
      <w:bookmarkEnd w:id="52"/>
      <w:bookmarkEnd w:id="53"/>
      <w:r>
        <w:rPr>
          <w:rFonts w:ascii="arial" w:hAnsi="arial"/>
          <w:b/>
          <w:sz w:val="24"/>
        </w:rPr>
        <w:t xml:space="preserve">Executive Compensation Philosophy, Objectives, and Design </w:t>
      </w:r>
    </w:p>
    <w:p>
      <w:pPr>
        <w:pStyle w:val="TextBody"/>
        <w:bidi w:val="0"/>
        <w:spacing w:before="120" w:after="0"/>
        <w:jc w:val="left"/>
        <w:rPr>
          <w:rFonts w:ascii="arial" w:hAnsi="arial"/>
          <w:sz w:val="18"/>
        </w:rPr>
      </w:pPr>
      <w:r>
        <w:rPr>
          <w:rFonts w:ascii="arial" w:hAnsi="arial"/>
          <w:sz w:val="18"/>
        </w:rPr>
        <w:t xml:space="preserve">Our executive compensation philosophy is to provide market-based pay opportunities with incentive payouts aligned with the achievement of the Company’s overall short- and long-term business strategy, performance goals, and results. The design of our executive compensation programs allocates total compensation to fixed and variable pay elements resulting in a mix of short-term and long-term pay elements. The Committee continually evaluates our executive compensation programs to ensure that the Company provides market-competitive opportunities that enable us to attract and retain highly qualified individuals to lead the organization and drive business success. Our executive compensation programs are designed to achieve the following objectives: </w:t>
      </w:r>
    </w:p>
    <w:p>
      <w:pPr>
        <w:pStyle w:val="TextBody"/>
        <w:bidi w:val="0"/>
        <w:spacing w:before="240" w:after="0"/>
        <w:jc w:val="left"/>
        <w:rPr>
          <w:rFonts w:ascii="arial" w:hAnsi="arial"/>
          <w:i/>
          <w:sz w:val="18"/>
          <w:u w:val="single"/>
        </w:rPr>
      </w:pPr>
      <w:r>
        <w:rPr>
          <w:rFonts w:ascii="arial" w:hAnsi="arial"/>
          <w:i/>
          <w:sz w:val="18"/>
          <w:u w:val="single"/>
        </w:rPr>
        <w:t xml:space="preserve">Pay-for-Performance Framework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18"/>
              </w:rPr>
            </w:pPr>
            <w:r>
              <w:rPr>
                <w:rFonts w:ascii="arial" w:hAnsi="arial"/>
                <w:sz w:val="18"/>
              </w:rPr>
              <w:t xml:space="preserve">Align a significant portion of compensation with the achievement of multiple performance goals that motivate and reward executives based on Company, business unit, and individual performance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18"/>
              </w:rPr>
            </w:pPr>
            <w:r>
              <w:rPr>
                <w:rFonts w:ascii="arial" w:hAnsi="arial"/>
                <w:sz w:val="18"/>
              </w:rPr>
              <w:t xml:space="preserve">Attract and retain exceptional talent with the leadership abilities and experience necessary to develop and execute business strategies, achieve outstanding results, and build long-term shareholder value.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75"/>
        <w:gridCol w:w="170"/>
        <w:gridCol w:w="60"/>
        <w:gridCol w:w="4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rFonts w:ascii="arial" w:hAnsi="arial"/>
                <w:sz w:val="18"/>
              </w:rPr>
            </w:pPr>
            <w:r>
              <w:rPr>
                <w:rFonts w:ascii="arial" w:hAnsi="arial"/>
                <w:sz w:val="18"/>
              </w:rPr>
              <w:t xml:space="preserve">Support achievement of the Company’s vision and strategy.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70"/>
        <w:gridCol w:w="60"/>
        <w:gridCol w:w="85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0"/>
              <w:jc w:val="left"/>
              <w:rPr>
                <w:rFonts w:ascii="arial" w:hAnsi="arial"/>
                <w:sz w:val="18"/>
              </w:rPr>
            </w:pPr>
            <w:r>
              <w:rPr>
                <w:rFonts w:ascii="arial" w:hAnsi="arial"/>
                <w:sz w:val="18"/>
              </w:rPr>
              <w:t xml:space="preserve">Create an ownership mindset that closely aligns the interests of management with those of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18"/>
              </w:rPr>
            </w:pPr>
            <w:r>
              <w:rPr>
                <w:rFonts w:ascii="arial" w:hAnsi="arial"/>
                <w:sz w:val="18"/>
              </w:rPr>
              <w:t xml:space="preserve">Provide appropriate balance between the achievement of both short- and long-term performance objectives, with clear emphasis on affordability, managing the sustainability of the business, and mitigation of risk. </w:t>
            </w:r>
          </w:p>
        </w:tc>
      </w:tr>
    </w:tbl>
    <w:p>
      <w:pPr>
        <w:pStyle w:val="TextBody"/>
        <w:bidi w:val="0"/>
        <w:spacing w:before="80" w:after="0"/>
        <w:jc w:val="left"/>
        <w:rPr>
          <w:rFonts w:ascii="arial" w:hAnsi="arial"/>
          <w:sz w:val="18"/>
        </w:rPr>
      </w:pPr>
      <w:r>
        <w:rPr>
          <w:rFonts w:ascii="arial" w:hAnsi="arial"/>
          <w:sz w:val="18"/>
        </w:rPr>
        <w:t xml:space="preserve">The Committee believes that a majority of a senior officer’s compensation should be “at risk” and based upon the achievement of corporate and business unit results, the Company’s share price performance, as well as the individual’s performance. As a result, senior officers participate in incentive programs that provide them with the opportunity to earn awards that are directly tied to the Company’s performance and that drive sustainable long-term shareholder value. The Company’s compensation programs provide an incentive for senior officers to meet and exceed performance goals. </w:t>
      </w:r>
    </w:p>
    <w:p>
      <w:pPr>
        <w:pStyle w:val="TextBody"/>
        <w:bidi w:val="0"/>
        <w:spacing w:before="80" w:after="0"/>
        <w:jc w:val="left"/>
        <w:rPr>
          <w:rFonts w:ascii="arial" w:hAnsi="arial"/>
          <w:sz w:val="18"/>
        </w:rPr>
      </w:pPr>
      <w:r>
        <w:rPr>
          <w:rFonts w:ascii="arial" w:hAnsi="arial"/>
          <w:sz w:val="18"/>
        </w:rPr>
        <w:t xml:space="preserve">Executives are held accountable for results and rewarded with above target payout amounts for performance that exceeds target goals. When target goals are not met, award payouts are designed to deliver below target payouts or no payouts. We believe the combination of our annual and long-term equity incentive awards align the interests of our senior officers with the interests of our shareholders. </w:t>
      </w:r>
    </w:p>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50 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197"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70" descr=""/>
                          <pic:cNvPicPr>
                            <a:picLocks noChangeAspect="1" noChangeArrowheads="1"/>
                          </pic:cNvPicPr>
                        </pic:nvPicPr>
                        <pic:blipFill>
                          <a:blip r:embed="rId182"/>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i/>
          <w:sz w:val="18"/>
        </w:rPr>
      </w:pPr>
      <w:bookmarkStart w:id="54" w:name="toc37355_48"/>
      <w:bookmarkEnd w:id="54"/>
      <w:r>
        <w:rPr>
          <w:rFonts w:ascii="arial" w:hAnsi="arial"/>
          <w:i/>
          <w:sz w:val="18"/>
        </w:rPr>
        <w:t xml:space="preserve">Elements of Compensation </w:t>
      </w:r>
    </w:p>
    <w:p>
      <w:pPr>
        <w:pStyle w:val="TextBody"/>
        <w:bidi w:val="0"/>
        <w:spacing w:before="80" w:after="0"/>
        <w:jc w:val="left"/>
        <w:rPr>
          <w:rFonts w:ascii="arial" w:hAnsi="arial"/>
          <w:sz w:val="18"/>
        </w:rPr>
      </w:pPr>
      <w:r>
        <w:rPr>
          <w:rFonts w:ascii="arial" w:hAnsi="arial"/>
          <w:sz w:val="18"/>
        </w:rPr>
        <w:t xml:space="preserve">The elements of our executive compensation programs listed below support our compensation philosophy: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44"/>
        <w:gridCol w:w="60"/>
        <w:gridCol w:w="1745"/>
        <w:gridCol w:w="60"/>
        <w:gridCol w:w="3533"/>
        <w:gridCol w:w="60"/>
        <w:gridCol w:w="2076"/>
        <w:gridCol w:w="60"/>
        <w:gridCol w:w="1267"/>
      </w:tblGrid>
      <w:tr>
        <w:trPr/>
        <w:tc>
          <w:tcPr>
            <w:tcW w:w="13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1344" w:type="dxa"/>
            <w:tcBorders>
              <w:bottom w:val="single" w:sz="8" w:space="0" w:color="33302B"/>
            </w:tcBorders>
            <w:tcMar>
              <w:bottom w:w="28" w:type="dxa"/>
            </w:tcMar>
            <w:vAlign w:val="center"/>
          </w:tcPr>
          <w:p>
            <w:pPr>
              <w:pStyle w:val="TableContents"/>
              <w:bidi w:val="0"/>
              <w:spacing w:before="0" w:after="0"/>
              <w:jc w:val="left"/>
              <w:rPr>
                <w:rFonts w:ascii="arial" w:hAnsi="arial"/>
                <w:b/>
                <w:color w:val="00AE4F"/>
                <w:sz w:val="16"/>
              </w:rPr>
            </w:pPr>
            <w:r>
              <w:rPr>
                <w:rFonts w:ascii="arial" w:hAnsi="arial"/>
                <w:b/>
                <w:color w:val="00AE4F"/>
                <w:sz w:val="16"/>
              </w:rPr>
              <w:t>Compensation</w:t>
            </w:r>
          </w:p>
          <w:p>
            <w:pPr>
              <w:pStyle w:val="TableContents"/>
              <w:bidi w:val="0"/>
              <w:spacing w:before="0" w:after="20"/>
              <w:jc w:val="left"/>
              <w:rPr>
                <w:rFonts w:ascii="arial" w:hAnsi="arial"/>
                <w:b/>
                <w:color w:val="00AE4F"/>
                <w:sz w:val="16"/>
              </w:rPr>
            </w:pPr>
            <w:r>
              <w:rPr>
                <w:rFonts w:ascii="arial" w:hAnsi="arial"/>
                <w:b/>
                <w:color w:val="00AE4F"/>
                <w:sz w:val="16"/>
              </w:rPr>
              <w:t>Element</w:t>
            </w:r>
          </w:p>
        </w:tc>
        <w:tc>
          <w:tcPr>
            <w:tcW w:w="60" w:type="dxa"/>
            <w:tcBorders>
              <w:bottom w:val="single" w:sz="8" w:space="0" w:color="33302B"/>
            </w:tcBorders>
            <w:tcMar>
              <w:bottom w:w="28" w:type="dxa"/>
            </w:tcMar>
            <w:vAlign w:val="center"/>
          </w:tcPr>
          <w:p>
            <w:pPr>
              <w:pStyle w:val="TableContents"/>
              <w:bidi w:val="0"/>
              <w:spacing w:before="0" w:after="283"/>
              <w:jc w:val="left"/>
              <w:rPr/>
            </w:pPr>
            <w:r>
              <w:rPr/>
              <w:t> </w:t>
            </w:r>
          </w:p>
        </w:tc>
        <w:tc>
          <w:tcPr>
            <w:tcW w:w="1745" w:type="dxa"/>
            <w:tcBorders>
              <w:bottom w:val="single" w:sz="8" w:space="0" w:color="33302B"/>
            </w:tcBorders>
            <w:tcMar>
              <w:bottom w:w="28" w:type="dxa"/>
            </w:tcMar>
            <w:vAlign w:val="center"/>
          </w:tcPr>
          <w:p>
            <w:pPr>
              <w:pStyle w:val="TableContents"/>
              <w:bidi w:val="0"/>
              <w:spacing w:before="0" w:after="283"/>
              <w:jc w:val="left"/>
              <w:rPr>
                <w:b/>
                <w:color w:val="00AE4F"/>
              </w:rPr>
            </w:pPr>
            <w:r>
              <w:rPr>
                <w:b/>
                <w:color w:val="00AE4F"/>
              </w:rPr>
              <w:t>Type</w:t>
            </w:r>
          </w:p>
        </w:tc>
        <w:tc>
          <w:tcPr>
            <w:tcW w:w="60" w:type="dxa"/>
            <w:tcBorders>
              <w:bottom w:val="single" w:sz="8" w:space="0" w:color="33302B"/>
            </w:tcBorders>
            <w:tcMar>
              <w:bottom w:w="28" w:type="dxa"/>
            </w:tcMar>
            <w:vAlign w:val="center"/>
          </w:tcPr>
          <w:p>
            <w:pPr>
              <w:pStyle w:val="TableContents"/>
              <w:bidi w:val="0"/>
              <w:spacing w:before="0" w:after="283"/>
              <w:jc w:val="left"/>
              <w:rPr/>
            </w:pPr>
            <w:r>
              <w:rPr/>
              <w:t> </w:t>
            </w:r>
          </w:p>
        </w:tc>
        <w:tc>
          <w:tcPr>
            <w:tcW w:w="3533" w:type="dxa"/>
            <w:tcBorders>
              <w:bottom w:val="single" w:sz="8" w:space="0" w:color="33302B"/>
            </w:tcBorders>
            <w:tcMar>
              <w:bottom w:w="28" w:type="dxa"/>
            </w:tcMar>
            <w:vAlign w:val="center"/>
          </w:tcPr>
          <w:p>
            <w:pPr>
              <w:pStyle w:val="TableContents"/>
              <w:bidi w:val="0"/>
              <w:spacing w:before="0" w:after="283"/>
              <w:jc w:val="left"/>
              <w:rPr>
                <w:b/>
                <w:color w:val="00AE4F"/>
              </w:rPr>
            </w:pPr>
            <w:r>
              <w:rPr>
                <w:b/>
                <w:color w:val="00AE4F"/>
              </w:rPr>
              <w:t>Considerations</w:t>
            </w:r>
          </w:p>
        </w:tc>
        <w:tc>
          <w:tcPr>
            <w:tcW w:w="60" w:type="dxa"/>
            <w:tcBorders>
              <w:bottom w:val="single" w:sz="8" w:space="0" w:color="33302B"/>
            </w:tcBorders>
            <w:tcMar>
              <w:bottom w:w="28" w:type="dxa"/>
            </w:tcMar>
            <w:vAlign w:val="center"/>
          </w:tcPr>
          <w:p>
            <w:pPr>
              <w:pStyle w:val="TableContents"/>
              <w:bidi w:val="0"/>
              <w:spacing w:before="0" w:after="283"/>
              <w:jc w:val="left"/>
              <w:rPr/>
            </w:pPr>
            <w:r>
              <w:rPr/>
              <w:t> </w:t>
            </w:r>
          </w:p>
        </w:tc>
        <w:tc>
          <w:tcPr>
            <w:tcW w:w="2076" w:type="dxa"/>
            <w:tcBorders>
              <w:bottom w:val="single" w:sz="8" w:space="0" w:color="33302B"/>
            </w:tcBorders>
            <w:tcMar>
              <w:bottom w:w="28" w:type="dxa"/>
            </w:tcMar>
            <w:vAlign w:val="center"/>
          </w:tcPr>
          <w:p>
            <w:pPr>
              <w:pStyle w:val="TableContents"/>
              <w:bidi w:val="0"/>
              <w:spacing w:before="0" w:after="283"/>
              <w:jc w:val="left"/>
              <w:rPr>
                <w:b/>
                <w:color w:val="00AE4F"/>
              </w:rPr>
            </w:pPr>
            <w:r>
              <w:rPr>
                <w:b/>
                <w:color w:val="00AE4F"/>
              </w:rPr>
              <w:t>Objectives</w:t>
            </w:r>
          </w:p>
        </w:tc>
        <w:tc>
          <w:tcPr>
            <w:tcW w:w="60" w:type="dxa"/>
            <w:tcBorders>
              <w:bottom w:val="single" w:sz="8" w:space="0" w:color="33302B"/>
            </w:tcBorders>
            <w:tcMar>
              <w:bottom w:w="28" w:type="dxa"/>
            </w:tcMar>
            <w:vAlign w:val="center"/>
          </w:tcPr>
          <w:p>
            <w:pPr>
              <w:pStyle w:val="TableContents"/>
              <w:bidi w:val="0"/>
              <w:spacing w:before="0" w:after="283"/>
              <w:jc w:val="left"/>
              <w:rPr/>
            </w:pPr>
            <w:r>
              <w:rPr/>
              <w:t> </w:t>
            </w:r>
          </w:p>
        </w:tc>
        <w:tc>
          <w:tcPr>
            <w:tcW w:w="1267" w:type="dxa"/>
            <w:tcBorders>
              <w:bottom w:val="single" w:sz="8" w:space="0" w:color="33302B"/>
            </w:tcBorders>
            <w:tcMar>
              <w:bottom w:w="28" w:type="dxa"/>
            </w:tcMar>
            <w:vAlign w:val="center"/>
          </w:tcPr>
          <w:p>
            <w:pPr>
              <w:pStyle w:val="TableContents"/>
              <w:bidi w:val="0"/>
              <w:spacing w:before="0" w:after="283"/>
              <w:jc w:val="left"/>
              <w:rPr>
                <w:b/>
                <w:color w:val="00AE4F"/>
              </w:rPr>
            </w:pPr>
            <w:r>
              <w:rPr>
                <w:b/>
                <w:color w:val="00AE4F"/>
              </w:rPr>
              <w:t xml:space="preserve">For More </w:t>
              <w:br/>
              <w:t>Information</w:t>
            </w:r>
          </w:p>
        </w:tc>
      </w:tr>
      <w:tr>
        <w:trPr/>
        <w:tc>
          <w:tcPr>
            <w:tcW w:w="1344" w:type="dxa"/>
            <w:tcBorders/>
            <w:shd w:fill="EAEAE9" w:val="clear"/>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c>
          <w:tcPr>
            <w:tcW w:w="3593" w:type="dxa"/>
            <w:gridSpan w:val="2"/>
            <w:tcBorders/>
            <w:vAlign w:val="center"/>
          </w:tcPr>
          <w:p>
            <w:pPr>
              <w:pStyle w:val="TableContents"/>
              <w:bidi w:val="0"/>
              <w:spacing w:before="0" w:after="283"/>
              <w:jc w:val="left"/>
              <w:rPr>
                <w:sz w:val="4"/>
                <w:szCs w:val="4"/>
              </w:rPr>
            </w:pPr>
            <w:r>
              <w:rPr>
                <w:sz w:val="4"/>
                <w:szCs w:val="4"/>
              </w:rPr>
            </w:r>
          </w:p>
        </w:tc>
        <w:tc>
          <w:tcPr>
            <w:tcW w:w="2136" w:type="dxa"/>
            <w:gridSpan w:val="2"/>
            <w:tcBorders/>
            <w:vAlign w:val="center"/>
          </w:tcPr>
          <w:p>
            <w:pPr>
              <w:pStyle w:val="TableContents"/>
              <w:bidi w:val="0"/>
              <w:spacing w:before="0" w:after="283"/>
              <w:jc w:val="left"/>
              <w:rPr>
                <w:sz w:val="4"/>
                <w:szCs w:val="4"/>
              </w:rPr>
            </w:pPr>
            <w:r>
              <w:rPr>
                <w:sz w:val="4"/>
                <w:szCs w:val="4"/>
              </w:rPr>
            </w:r>
          </w:p>
        </w:tc>
        <w:tc>
          <w:tcPr>
            <w:tcW w:w="1327" w:type="dxa"/>
            <w:gridSpan w:val="2"/>
            <w:tcBorders/>
            <w:vAlign w:val="center"/>
          </w:tcPr>
          <w:p>
            <w:pPr>
              <w:pStyle w:val="TableContents"/>
              <w:bidi w:val="0"/>
              <w:spacing w:before="0" w:after="283"/>
              <w:jc w:val="left"/>
              <w:rPr>
                <w:sz w:val="4"/>
                <w:szCs w:val="4"/>
              </w:rPr>
            </w:pPr>
            <w:r>
              <w:rPr>
                <w:sz w:val="4"/>
                <w:szCs w:val="4"/>
              </w:rPr>
            </w:r>
          </w:p>
        </w:tc>
      </w:tr>
      <w:tr>
        <w:trPr/>
        <w:tc>
          <w:tcPr>
            <w:tcW w:w="1344" w:type="dxa"/>
            <w:tcBorders>
              <w:bottom w:val="single" w:sz="6" w:space="0" w:color="84827F"/>
            </w:tcBorders>
            <w:shd w:fill="EAEAE9" w:val="clear"/>
            <w:tcMar>
              <w:bottom w:w="80" w:type="dxa"/>
            </w:tcMar>
            <w:vAlign w:val="center"/>
          </w:tcPr>
          <w:p>
            <w:pPr>
              <w:pStyle w:val="TableContents"/>
              <w:bidi w:val="0"/>
              <w:spacing w:before="0" w:after="0"/>
              <w:jc w:val="left"/>
              <w:rPr>
                <w:rFonts w:ascii="arial" w:hAnsi="arial"/>
                <w:b/>
                <w:sz w:val="16"/>
              </w:rPr>
            </w:pPr>
            <w:r>
              <w:rPr>
                <w:rFonts w:ascii="arial" w:hAnsi="arial"/>
                <w:b/>
                <w:sz w:val="16"/>
              </w:rPr>
              <w:t>Base Salary</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1745" w:type="dxa"/>
            <w:tcBorders>
              <w:bottom w:val="single" w:sz="6" w:space="0" w:color="84827F"/>
            </w:tcBorders>
            <w:tcMar>
              <w:bottom w:w="80" w:type="dxa"/>
            </w:tcMar>
            <w:vAlign w:val="center"/>
          </w:tcPr>
          <w:p>
            <w:pPr>
              <w:pStyle w:val="TableContents"/>
              <w:bidi w:val="0"/>
              <w:spacing w:before="0" w:after="283"/>
              <w:jc w:val="left"/>
              <w:rPr/>
            </w:pPr>
            <w:r>
              <w:rPr/>
              <w:t>Fixed Compensation</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3533" w:type="dxa"/>
            <w:tcBorders>
              <w:bottom w:val="single" w:sz="6" w:space="0" w:color="84827F"/>
            </w:tcBorders>
            <w:tcMar>
              <w:bottom w:w="80" w:type="dxa"/>
            </w:tcMar>
            <w:vAlign w:val="center"/>
          </w:tcPr>
          <w:p>
            <w:pPr>
              <w:pStyle w:val="TableContents"/>
              <w:bidi w:val="0"/>
              <w:spacing w:before="0" w:after="0"/>
              <w:jc w:val="left"/>
              <w:rPr/>
            </w:pPr>
            <w:r>
              <w:rPr/>
              <w:t>•  </w:t>
            </w:r>
            <w:r>
              <w:rPr>
                <w:rFonts w:ascii="arial" w:hAnsi="arial"/>
                <w:sz w:val="16"/>
              </w:rPr>
              <w:t>Reviewed annually</w:t>
            </w:r>
          </w:p>
          <w:p>
            <w:pPr>
              <w:pStyle w:val="TableContents"/>
              <w:bidi w:val="0"/>
              <w:spacing w:before="0" w:after="20"/>
              <w:jc w:val="left"/>
              <w:rPr/>
            </w:pPr>
            <w:r>
              <w:rPr/>
              <w:t>•  </w:t>
            </w:r>
            <w:r>
              <w:rPr>
                <w:rFonts w:ascii="arial" w:hAnsi="arial"/>
                <w:sz w:val="16"/>
              </w:rPr>
              <w:t>Adjusted, when appropriate based on role and scope of responsibilities, skills, experience, sustained individual contribution, and comparison to market- comparable jobs</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2076" w:type="dxa"/>
            <w:tcBorders>
              <w:bottom w:val="single" w:sz="6" w:space="0" w:color="84827F"/>
            </w:tcBorders>
            <w:tcMar>
              <w:bottom w:w="80" w:type="dxa"/>
            </w:tcMar>
            <w:vAlign w:val="center"/>
          </w:tcPr>
          <w:p>
            <w:pPr>
              <w:pStyle w:val="TableContents"/>
              <w:bidi w:val="0"/>
              <w:spacing w:before="0" w:after="0"/>
              <w:jc w:val="left"/>
              <w:rPr/>
            </w:pPr>
            <w:r>
              <w:rPr/>
              <w:t>•  </w:t>
            </w:r>
            <w:r>
              <w:rPr>
                <w:rFonts w:ascii="arial" w:hAnsi="arial"/>
                <w:sz w:val="16"/>
              </w:rPr>
              <w:t>Provide competitive compensation for day-to-day responsibilities</w:t>
            </w:r>
          </w:p>
          <w:p>
            <w:pPr>
              <w:pStyle w:val="TableContents"/>
              <w:bidi w:val="0"/>
              <w:spacing w:before="0" w:after="0"/>
              <w:jc w:val="left"/>
              <w:rPr/>
            </w:pPr>
            <w:r>
              <w:rPr/>
              <w:t>•  </w:t>
            </w:r>
            <w:r>
              <w:rPr>
                <w:rFonts w:ascii="arial" w:hAnsi="arial"/>
                <w:sz w:val="16"/>
              </w:rPr>
              <w:t>Attract and retain qualified senior officers</w:t>
            </w:r>
          </w:p>
          <w:p>
            <w:pPr>
              <w:pStyle w:val="TableContents"/>
              <w:bidi w:val="0"/>
              <w:spacing w:before="0" w:after="20"/>
              <w:jc w:val="left"/>
              <w:rPr/>
            </w:pPr>
            <w:r>
              <w:rPr/>
              <w:t>•  </w:t>
            </w:r>
            <w:r>
              <w:rPr>
                <w:rFonts w:ascii="arial" w:hAnsi="arial"/>
                <w:sz w:val="16"/>
              </w:rPr>
              <w:t>Balance risk-taking</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1267" w:type="dxa"/>
            <w:tcBorders>
              <w:bottom w:val="single" w:sz="6" w:space="0" w:color="84827F"/>
            </w:tcBorders>
            <w:tcMar>
              <w:bottom w:w="80" w:type="dxa"/>
            </w:tcMar>
            <w:vAlign w:val="center"/>
          </w:tcPr>
          <w:p>
            <w:pPr>
              <w:pStyle w:val="TableContents"/>
              <w:bidi w:val="0"/>
              <w:spacing w:before="0" w:after="0"/>
              <w:jc w:val="left"/>
              <w:rPr>
                <w:rFonts w:ascii="arial" w:hAnsi="arial"/>
                <w:b/>
                <w:color w:val="00AE4F"/>
                <w:sz w:val="16"/>
              </w:rPr>
            </w:pPr>
            <w:r>
              <w:rPr>
                <w:rFonts w:ascii="arial" w:hAnsi="arial"/>
                <w:b/>
                <w:color w:val="00AE4F"/>
                <w:sz w:val="16"/>
              </w:rPr>
              <w:t>Page 60</w:t>
            </w:r>
          </w:p>
        </w:tc>
      </w:tr>
      <w:tr>
        <w:trPr/>
        <w:tc>
          <w:tcPr>
            <w:tcW w:w="1344" w:type="dxa"/>
            <w:tcBorders/>
            <w:shd w:fill="EAEAE9" w:val="clear"/>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c>
          <w:tcPr>
            <w:tcW w:w="3593" w:type="dxa"/>
            <w:gridSpan w:val="2"/>
            <w:tcBorders/>
            <w:vAlign w:val="center"/>
          </w:tcPr>
          <w:p>
            <w:pPr>
              <w:pStyle w:val="TableContents"/>
              <w:bidi w:val="0"/>
              <w:spacing w:before="0" w:after="283"/>
              <w:jc w:val="left"/>
              <w:rPr>
                <w:sz w:val="4"/>
                <w:szCs w:val="4"/>
              </w:rPr>
            </w:pPr>
            <w:r>
              <w:rPr>
                <w:sz w:val="4"/>
                <w:szCs w:val="4"/>
              </w:rPr>
            </w:r>
          </w:p>
        </w:tc>
        <w:tc>
          <w:tcPr>
            <w:tcW w:w="2136" w:type="dxa"/>
            <w:gridSpan w:val="2"/>
            <w:tcBorders/>
            <w:vAlign w:val="center"/>
          </w:tcPr>
          <w:p>
            <w:pPr>
              <w:pStyle w:val="TableContents"/>
              <w:bidi w:val="0"/>
              <w:spacing w:before="0" w:after="283"/>
              <w:jc w:val="left"/>
              <w:rPr>
                <w:sz w:val="4"/>
                <w:szCs w:val="4"/>
              </w:rPr>
            </w:pPr>
            <w:r>
              <w:rPr>
                <w:sz w:val="4"/>
                <w:szCs w:val="4"/>
              </w:rPr>
            </w:r>
          </w:p>
        </w:tc>
        <w:tc>
          <w:tcPr>
            <w:tcW w:w="1327" w:type="dxa"/>
            <w:gridSpan w:val="2"/>
            <w:tcBorders/>
            <w:vAlign w:val="center"/>
          </w:tcPr>
          <w:p>
            <w:pPr>
              <w:pStyle w:val="TableContents"/>
              <w:bidi w:val="0"/>
              <w:spacing w:before="0" w:after="283"/>
              <w:jc w:val="left"/>
              <w:rPr>
                <w:sz w:val="4"/>
                <w:szCs w:val="4"/>
              </w:rPr>
            </w:pPr>
            <w:r>
              <w:rPr>
                <w:sz w:val="4"/>
                <w:szCs w:val="4"/>
              </w:rPr>
            </w:r>
          </w:p>
        </w:tc>
      </w:tr>
      <w:tr>
        <w:trPr/>
        <w:tc>
          <w:tcPr>
            <w:tcW w:w="1344" w:type="dxa"/>
            <w:tcBorders>
              <w:bottom w:val="single" w:sz="6" w:space="0" w:color="84827F"/>
            </w:tcBorders>
            <w:shd w:fill="EAEAE9" w:val="clear"/>
            <w:tcMar>
              <w:bottom w:w="80" w:type="dxa"/>
            </w:tcMar>
            <w:vAlign w:val="center"/>
          </w:tcPr>
          <w:p>
            <w:pPr>
              <w:pStyle w:val="TableContents"/>
              <w:bidi w:val="0"/>
              <w:spacing w:before="0" w:after="0"/>
              <w:jc w:val="left"/>
              <w:rPr>
                <w:rFonts w:ascii="arial" w:hAnsi="arial"/>
                <w:b/>
                <w:sz w:val="16"/>
              </w:rPr>
            </w:pPr>
            <w:r>
              <w:rPr>
                <w:rFonts w:ascii="arial" w:hAnsi="arial"/>
                <w:b/>
                <w:sz w:val="16"/>
              </w:rPr>
              <w:t>Short-Term Incentive Plan (STIP)</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1745" w:type="dxa"/>
            <w:tcBorders>
              <w:bottom w:val="single" w:sz="6" w:space="0" w:color="84827F"/>
            </w:tcBorders>
            <w:tcMar>
              <w:bottom w:w="80" w:type="dxa"/>
            </w:tcMar>
            <w:vAlign w:val="center"/>
          </w:tcPr>
          <w:p>
            <w:pPr>
              <w:pStyle w:val="TableContents"/>
              <w:bidi w:val="0"/>
              <w:spacing w:before="0" w:after="283"/>
              <w:jc w:val="left"/>
              <w:rPr/>
            </w:pPr>
            <w:r>
              <w:rPr/>
              <w:t>Variable At-Risk Performance- Based Compensation</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3533" w:type="dxa"/>
            <w:tcBorders>
              <w:bottom w:val="single" w:sz="6" w:space="0" w:color="84827F"/>
            </w:tcBorders>
            <w:tcMar>
              <w:bottom w:w="80" w:type="dxa"/>
            </w:tcMar>
            <w:vAlign w:val="center"/>
          </w:tcPr>
          <w:p>
            <w:pPr>
              <w:pStyle w:val="TableContents"/>
              <w:bidi w:val="0"/>
              <w:spacing w:before="0" w:after="0"/>
              <w:jc w:val="left"/>
              <w:rPr/>
            </w:pPr>
            <w:r>
              <w:rPr/>
              <w:t>•  </w:t>
            </w:r>
            <w:r>
              <w:rPr>
                <w:rFonts w:ascii="arial" w:hAnsi="arial"/>
                <w:sz w:val="16"/>
              </w:rPr>
              <w:t>Annual performance period</w:t>
            </w:r>
          </w:p>
          <w:p>
            <w:pPr>
              <w:pStyle w:val="TableContents"/>
              <w:bidi w:val="0"/>
              <w:spacing w:before="0" w:after="0"/>
              <w:jc w:val="left"/>
              <w:rPr/>
            </w:pPr>
            <w:r>
              <w:rPr/>
              <w:t>•  </w:t>
            </w:r>
            <w:r>
              <w:rPr>
                <w:rFonts w:ascii="arial" w:hAnsi="arial"/>
                <w:sz w:val="16"/>
              </w:rPr>
              <w:t>Target payout opportunity established as percentage of earnings for each senior officer based on role</w:t>
            </w:r>
          </w:p>
          <w:p>
            <w:pPr>
              <w:pStyle w:val="TableContents"/>
              <w:bidi w:val="0"/>
              <w:spacing w:before="0" w:after="0"/>
              <w:jc w:val="left"/>
              <w:rPr/>
            </w:pPr>
            <w:r>
              <w:rPr/>
              <w:t>•  </w:t>
            </w:r>
            <w:r>
              <w:rPr>
                <w:rFonts w:ascii="arial" w:hAnsi="arial"/>
                <w:sz w:val="16"/>
              </w:rPr>
              <w:t>Performance measures selected to align with our business strategy</w:t>
            </w:r>
          </w:p>
          <w:p>
            <w:pPr>
              <w:pStyle w:val="TableContents"/>
              <w:bidi w:val="0"/>
              <w:spacing w:before="0" w:after="0"/>
              <w:jc w:val="left"/>
              <w:rPr/>
            </w:pPr>
            <w:r>
              <w:rPr/>
              <w:t>•  </w:t>
            </w:r>
            <w:r>
              <w:rPr>
                <w:rFonts w:ascii="arial" w:hAnsi="arial"/>
                <w:sz w:val="16"/>
              </w:rPr>
              <w:t>Multiple performance measures that reflect key operational and financial measures of success</w:t>
            </w:r>
          </w:p>
          <w:p>
            <w:pPr>
              <w:pStyle w:val="TableContents"/>
              <w:bidi w:val="0"/>
              <w:spacing w:before="0" w:after="20"/>
              <w:jc w:val="left"/>
              <w:rPr/>
            </w:pPr>
            <w:r>
              <w:rPr/>
              <w:t>•  </w:t>
            </w:r>
            <w:r>
              <w:rPr>
                <w:rFonts w:ascii="arial" w:hAnsi="arial"/>
                <w:sz w:val="16"/>
              </w:rPr>
              <w:t>Payout based on achievement of predetermined goals</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2076" w:type="dxa"/>
            <w:tcBorders>
              <w:bottom w:val="single" w:sz="6" w:space="0" w:color="84827F"/>
            </w:tcBorders>
            <w:tcMar>
              <w:bottom w:w="80" w:type="dxa"/>
            </w:tcMar>
            <w:vAlign w:val="center"/>
          </w:tcPr>
          <w:p>
            <w:pPr>
              <w:pStyle w:val="TableContents"/>
              <w:bidi w:val="0"/>
              <w:spacing w:before="0" w:after="0"/>
              <w:jc w:val="left"/>
              <w:rPr/>
            </w:pPr>
            <w:r>
              <w:rPr/>
              <w:t>•  </w:t>
            </w:r>
            <w:r>
              <w:rPr>
                <w:rFonts w:ascii="arial" w:hAnsi="arial"/>
                <w:sz w:val="16"/>
              </w:rPr>
              <w:t>Motivate and reward senior officers for achievement of critical near-term performance goals that support the Company’s strategic business objectives</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1267" w:type="dxa"/>
            <w:tcBorders>
              <w:bottom w:val="single" w:sz="6" w:space="0" w:color="84827F"/>
            </w:tcBorders>
            <w:tcMar>
              <w:bottom w:w="80" w:type="dxa"/>
            </w:tcMar>
            <w:vAlign w:val="center"/>
          </w:tcPr>
          <w:p>
            <w:pPr>
              <w:pStyle w:val="TableContents"/>
              <w:bidi w:val="0"/>
              <w:spacing w:before="0" w:after="0"/>
              <w:jc w:val="left"/>
              <w:rPr>
                <w:rFonts w:ascii="arial" w:hAnsi="arial"/>
                <w:b/>
                <w:color w:val="00AE4F"/>
                <w:sz w:val="16"/>
              </w:rPr>
            </w:pPr>
            <w:r>
              <w:rPr>
                <w:rFonts w:ascii="arial" w:hAnsi="arial"/>
                <w:b/>
                <w:color w:val="00AE4F"/>
                <w:sz w:val="16"/>
              </w:rPr>
              <w:t>Page 61</w:t>
            </w:r>
          </w:p>
        </w:tc>
      </w:tr>
      <w:tr>
        <w:trPr/>
        <w:tc>
          <w:tcPr>
            <w:tcW w:w="1344" w:type="dxa"/>
            <w:tcBorders/>
            <w:shd w:fill="EAEAE9" w:val="clear"/>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c>
          <w:tcPr>
            <w:tcW w:w="5729" w:type="dxa"/>
            <w:gridSpan w:val="4"/>
            <w:tcBorders/>
            <w:shd w:fill="EAEAE9" w:val="clear"/>
            <w:vAlign w:val="center"/>
          </w:tcPr>
          <w:p>
            <w:pPr>
              <w:pStyle w:val="TableContents"/>
              <w:bidi w:val="0"/>
              <w:spacing w:before="0" w:after="283"/>
              <w:jc w:val="left"/>
              <w:rPr>
                <w:sz w:val="4"/>
                <w:szCs w:val="4"/>
              </w:rPr>
            </w:pPr>
            <w:r>
              <w:rPr>
                <w:sz w:val="4"/>
                <w:szCs w:val="4"/>
              </w:rPr>
            </w:r>
          </w:p>
        </w:tc>
        <w:tc>
          <w:tcPr>
            <w:tcW w:w="1327" w:type="dxa"/>
            <w:gridSpan w:val="2"/>
            <w:tcBorders/>
            <w:shd w:fill="EAEAE9" w:val="clear"/>
            <w:vAlign w:val="center"/>
          </w:tcPr>
          <w:p>
            <w:pPr>
              <w:pStyle w:val="TableContents"/>
              <w:bidi w:val="0"/>
              <w:spacing w:before="0" w:after="283"/>
              <w:jc w:val="left"/>
              <w:rPr>
                <w:sz w:val="4"/>
                <w:szCs w:val="4"/>
              </w:rPr>
            </w:pPr>
            <w:r>
              <w:rPr>
                <w:sz w:val="4"/>
                <w:szCs w:val="4"/>
              </w:rPr>
            </w:r>
          </w:p>
        </w:tc>
      </w:tr>
      <w:tr>
        <w:trPr/>
        <w:tc>
          <w:tcPr>
            <w:tcW w:w="1344" w:type="dxa"/>
            <w:vMerge w:val="restart"/>
            <w:tcBorders/>
            <w:shd w:fill="EAEAE9" w:val="clear"/>
            <w:vAlign w:val="center"/>
          </w:tcPr>
          <w:p>
            <w:pPr>
              <w:pStyle w:val="TableContents"/>
              <w:bidi w:val="0"/>
              <w:spacing w:before="0" w:after="0"/>
              <w:jc w:val="left"/>
              <w:rPr>
                <w:rFonts w:ascii="arial" w:hAnsi="arial"/>
                <w:b/>
                <w:sz w:val="16"/>
              </w:rPr>
            </w:pPr>
            <w:r>
              <w:rPr>
                <w:rFonts w:ascii="arial" w:hAnsi="arial"/>
                <w:b/>
                <w:sz w:val="16"/>
              </w:rPr>
              <w:t>Long Term Incentives (LTI)</w:t>
            </w:r>
          </w:p>
        </w:tc>
        <w:tc>
          <w:tcPr>
            <w:tcW w:w="60" w:type="dxa"/>
            <w:vMerge w:val="restart"/>
            <w:tcBorders>
              <w:bottom w:val="single" w:sz="6" w:space="0" w:color="84827F"/>
            </w:tcBorders>
            <w:tcMar>
              <w:bottom w:w="28" w:type="dxa"/>
            </w:tcMar>
            <w:vAlign w:val="center"/>
          </w:tcPr>
          <w:p>
            <w:pPr>
              <w:pStyle w:val="TableContents"/>
              <w:bidi w:val="0"/>
              <w:spacing w:before="0" w:after="283"/>
              <w:jc w:val="left"/>
              <w:rPr/>
            </w:pPr>
            <w:r>
              <w:rPr/>
              <w:t> </w:t>
            </w:r>
          </w:p>
        </w:tc>
        <w:tc>
          <w:tcPr>
            <w:tcW w:w="1745" w:type="dxa"/>
            <w:vMerge w:val="restart"/>
            <w:tcBorders>
              <w:bottom w:val="single" w:sz="6" w:space="0" w:color="84827F"/>
            </w:tcBorders>
            <w:tcMar>
              <w:bottom w:w="80" w:type="dxa"/>
            </w:tcMar>
            <w:vAlign w:val="center"/>
          </w:tcPr>
          <w:p>
            <w:pPr>
              <w:pStyle w:val="TableContents"/>
              <w:bidi w:val="0"/>
              <w:spacing w:before="0" w:after="283"/>
              <w:jc w:val="left"/>
              <w:rPr/>
            </w:pPr>
            <w:r>
              <w:rPr/>
              <w:t>Time-Based Fixed Compensation</w:t>
            </w:r>
          </w:p>
        </w:tc>
        <w:tc>
          <w:tcPr>
            <w:tcW w:w="60" w:type="dxa"/>
            <w:tcBorders/>
            <w:shd w:fill="EAEAE9" w:val="clear"/>
            <w:vAlign w:val="center"/>
          </w:tcPr>
          <w:p>
            <w:pPr>
              <w:pStyle w:val="TableContents"/>
              <w:bidi w:val="0"/>
              <w:spacing w:before="0" w:after="283"/>
              <w:jc w:val="left"/>
              <w:rPr/>
            </w:pPr>
            <w:r>
              <w:rPr/>
              <w:t> </w:t>
            </w:r>
          </w:p>
        </w:tc>
        <w:tc>
          <w:tcPr>
            <w:tcW w:w="5669" w:type="dxa"/>
            <w:gridSpan w:val="3"/>
            <w:tcBorders/>
            <w:shd w:fill="EAEAE9" w:val="clear"/>
            <w:vAlign w:val="center"/>
          </w:tcPr>
          <w:p>
            <w:pPr>
              <w:pStyle w:val="TableContents"/>
              <w:bidi w:val="0"/>
              <w:spacing w:before="0" w:after="20"/>
              <w:jc w:val="left"/>
              <w:rPr>
                <w:rFonts w:ascii="arial" w:hAnsi="arial"/>
                <w:b/>
                <w:sz w:val="16"/>
              </w:rPr>
            </w:pPr>
            <w:r>
              <w:rPr>
                <w:rFonts w:ascii="arial" w:hAnsi="arial"/>
                <w:b/>
                <w:sz w:val="16"/>
              </w:rPr>
              <w:t>Restricted Stock</w:t>
            </w:r>
          </w:p>
        </w:tc>
        <w:tc>
          <w:tcPr>
            <w:tcW w:w="60" w:type="dxa"/>
            <w:tcBorders/>
            <w:shd w:fill="EAEAE9" w:val="clear"/>
            <w:vAlign w:val="center"/>
          </w:tcPr>
          <w:p>
            <w:pPr>
              <w:pStyle w:val="TableContents"/>
              <w:bidi w:val="0"/>
              <w:spacing w:before="0" w:after="283"/>
              <w:jc w:val="left"/>
              <w:rPr/>
            </w:pPr>
            <w:r>
              <w:rPr/>
              <w:t> </w:t>
            </w:r>
          </w:p>
        </w:tc>
        <w:tc>
          <w:tcPr>
            <w:tcW w:w="1267" w:type="dxa"/>
            <w:tcBorders/>
            <w:shd w:fill="EAEAE9" w:val="clear"/>
            <w:vAlign w:val="center"/>
          </w:tcPr>
          <w:p>
            <w:pPr>
              <w:pStyle w:val="TableContents"/>
              <w:bidi w:val="0"/>
              <w:spacing w:before="0" w:after="20"/>
              <w:jc w:val="left"/>
              <w:rPr>
                <w:rFonts w:ascii="arial" w:hAnsi="arial"/>
                <w:b/>
                <w:color w:val="00AE4F"/>
                <w:sz w:val="16"/>
              </w:rPr>
            </w:pPr>
            <w:r>
              <w:rPr>
                <w:rFonts w:ascii="arial" w:hAnsi="arial"/>
                <w:b/>
                <w:color w:val="00AE4F"/>
                <w:sz w:val="16"/>
              </w:rPr>
              <w:t>Page 65</w:t>
            </w:r>
          </w:p>
        </w:tc>
      </w:tr>
      <w:tr>
        <w:trPr/>
        <w:tc>
          <w:tcPr>
            <w:tcW w:w="1344" w:type="dxa"/>
            <w:vMerge w:val="continue"/>
            <w:tcBorders/>
            <w:shd w:fill="EAEAE9" w:val="clear"/>
            <w:vAlign w:val="center"/>
          </w:tcPr>
          <w:p>
            <w:pPr>
              <w:pStyle w:val="Normal"/>
              <w:bidi w:val="0"/>
              <w:jc w:val="left"/>
              <w:rPr/>
            </w:pPr>
            <w:r>
              <w:rPr/>
            </w:r>
          </w:p>
        </w:tc>
        <w:tc>
          <w:tcPr>
            <w:tcW w:w="60" w:type="dxa"/>
            <w:vMerge w:val="continue"/>
            <w:tcBorders>
              <w:bottom w:val="single" w:sz="6" w:space="0" w:color="84827F"/>
            </w:tcBorders>
            <w:tcMar>
              <w:bottom w:w="28" w:type="dxa"/>
            </w:tcMar>
            <w:vAlign w:val="center"/>
          </w:tcPr>
          <w:p>
            <w:pPr>
              <w:pStyle w:val="Normal"/>
              <w:bidi w:val="0"/>
              <w:jc w:val="left"/>
              <w:rPr/>
            </w:pPr>
            <w:r>
              <w:rPr/>
            </w:r>
          </w:p>
        </w:tc>
        <w:tc>
          <w:tcPr>
            <w:tcW w:w="1745" w:type="dxa"/>
            <w:vMerge w:val="continue"/>
            <w:tcBorders>
              <w:bottom w:val="single" w:sz="6" w:space="0" w:color="84827F"/>
            </w:tcBorders>
            <w:tcMar>
              <w:bottom w:w="80" w:type="dxa"/>
            </w:tcMar>
            <w:vAlign w:val="center"/>
          </w:tcPr>
          <w:p>
            <w:pPr>
              <w:pStyle w:val="Normal"/>
              <w:bidi w:val="0"/>
              <w:jc w:val="left"/>
              <w:rPr/>
            </w:pPr>
            <w:r>
              <w:rPr/>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3533" w:type="dxa"/>
            <w:tcBorders>
              <w:bottom w:val="single" w:sz="6" w:space="0" w:color="84827F"/>
            </w:tcBorders>
            <w:tcMar>
              <w:bottom w:w="80" w:type="dxa"/>
            </w:tcM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Accounts for 25% for CEO and 40% for other named executive officers of total LTI award opportunity</w:t>
            </w:r>
          </w:p>
          <w:p>
            <w:pPr>
              <w:pStyle w:val="TableContents"/>
              <w:bidi w:val="0"/>
              <w:spacing w:before="0" w:after="20"/>
              <w:jc w:val="left"/>
              <w:rPr/>
            </w:pPr>
            <w:r>
              <w:rPr/>
              <w:t>•  </w:t>
            </w:r>
            <w:r>
              <w:rPr>
                <w:rFonts w:ascii="arial" w:hAnsi="arial"/>
                <w:sz w:val="16"/>
              </w:rPr>
              <w:t>Shares vest ratably over three years</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2076" w:type="dxa"/>
            <w:tcBorders>
              <w:bottom w:val="single" w:sz="6" w:space="0" w:color="84827F"/>
            </w:tcBorders>
            <w:tcMar>
              <w:bottom w:w="80" w:type="dxa"/>
            </w:tcM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Align interests of senior officers and shareholders</w:t>
            </w:r>
          </w:p>
          <w:p>
            <w:pPr>
              <w:pStyle w:val="TableContents"/>
              <w:bidi w:val="0"/>
              <w:spacing w:before="0" w:after="0"/>
              <w:jc w:val="left"/>
              <w:rPr/>
            </w:pPr>
            <w:r>
              <w:rPr/>
              <w:t>•  </w:t>
            </w:r>
            <w:r>
              <w:rPr>
                <w:rFonts w:ascii="arial" w:hAnsi="arial"/>
                <w:sz w:val="16"/>
              </w:rPr>
              <w:t>Support retention</w:t>
            </w:r>
          </w:p>
          <w:p>
            <w:pPr>
              <w:pStyle w:val="TableContents"/>
              <w:bidi w:val="0"/>
              <w:spacing w:before="0" w:after="20"/>
              <w:jc w:val="left"/>
              <w:rPr/>
            </w:pPr>
            <w:r>
              <w:rPr/>
              <w:t>•  </w:t>
            </w:r>
            <w:r>
              <w:rPr>
                <w:rFonts w:ascii="arial" w:hAnsi="arial"/>
                <w:sz w:val="16"/>
              </w:rPr>
              <w:t>Support meaningful stock ownership</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1267" w:type="dxa"/>
            <w:tcBorders>
              <w:bottom w:val="single" w:sz="6" w:space="0" w:color="84827F"/>
            </w:tcBorders>
            <w:tcMar>
              <w:bottom w:w="28" w:type="dxa"/>
            </w:tcMar>
            <w:vAlign w:val="center"/>
          </w:tcPr>
          <w:p>
            <w:pPr>
              <w:pStyle w:val="TableContents"/>
              <w:bidi w:val="0"/>
              <w:spacing w:before="0" w:after="283"/>
              <w:jc w:val="left"/>
              <w:rPr/>
            </w:pPr>
            <w:r>
              <w:rPr/>
              <w:t> </w:t>
            </w:r>
          </w:p>
        </w:tc>
      </w:tr>
      <w:tr>
        <w:trPr/>
        <w:tc>
          <w:tcPr>
            <w:tcW w:w="1344" w:type="dxa"/>
            <w:tcBorders/>
            <w:shd w:fill="EAEAE9" w:val="clear"/>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c>
          <w:tcPr>
            <w:tcW w:w="5729" w:type="dxa"/>
            <w:gridSpan w:val="4"/>
            <w:tcBorders/>
            <w:shd w:fill="EAEAE9" w:val="clear"/>
            <w:vAlign w:val="center"/>
          </w:tcPr>
          <w:p>
            <w:pPr>
              <w:pStyle w:val="TableContents"/>
              <w:bidi w:val="0"/>
              <w:spacing w:before="0" w:after="283"/>
              <w:jc w:val="left"/>
              <w:rPr>
                <w:sz w:val="4"/>
                <w:szCs w:val="4"/>
              </w:rPr>
            </w:pPr>
            <w:r>
              <w:rPr>
                <w:sz w:val="4"/>
                <w:szCs w:val="4"/>
              </w:rPr>
            </w:r>
          </w:p>
        </w:tc>
        <w:tc>
          <w:tcPr>
            <w:tcW w:w="1327" w:type="dxa"/>
            <w:gridSpan w:val="2"/>
            <w:tcBorders/>
            <w:shd w:fill="EAEAE9" w:val="clear"/>
            <w:vAlign w:val="center"/>
          </w:tcPr>
          <w:p>
            <w:pPr>
              <w:pStyle w:val="TableContents"/>
              <w:bidi w:val="0"/>
              <w:spacing w:before="0" w:after="283"/>
              <w:jc w:val="left"/>
              <w:rPr>
                <w:sz w:val="4"/>
                <w:szCs w:val="4"/>
              </w:rPr>
            </w:pPr>
            <w:r>
              <w:rPr>
                <w:sz w:val="4"/>
                <w:szCs w:val="4"/>
              </w:rPr>
            </w:r>
          </w:p>
        </w:tc>
      </w:tr>
      <w:tr>
        <w:trPr/>
        <w:tc>
          <w:tcPr>
            <w:tcW w:w="1344" w:type="dxa"/>
            <w:tcBorders/>
            <w:shd w:fill="EAEAE9" w:val="clear"/>
            <w:vAlign w:val="center"/>
          </w:tcPr>
          <w:p>
            <w:pPr>
              <w:pStyle w:val="TableContents"/>
              <w:bidi w:val="0"/>
              <w:spacing w:before="0" w:after="283"/>
              <w:jc w:val="left"/>
              <w:rPr>
                <w:sz w:val="4"/>
                <w:szCs w:val="4"/>
              </w:rPr>
            </w:pPr>
            <w:r>
              <w:rPr>
                <w:sz w:val="4"/>
                <w:szCs w:val="4"/>
              </w:rPr>
            </w:r>
          </w:p>
        </w:tc>
        <w:tc>
          <w:tcPr>
            <w:tcW w:w="60" w:type="dxa"/>
            <w:vMerge w:val="restart"/>
            <w:tcBorders>
              <w:bottom w:val="single" w:sz="6" w:space="0" w:color="84827F"/>
            </w:tcBorders>
            <w:tcMar>
              <w:bottom w:w="28" w:type="dxa"/>
            </w:tcMar>
            <w:vAlign w:val="center"/>
          </w:tcPr>
          <w:p>
            <w:pPr>
              <w:pStyle w:val="TableContents"/>
              <w:bidi w:val="0"/>
              <w:spacing w:before="0" w:after="283"/>
              <w:jc w:val="left"/>
              <w:rPr/>
            </w:pPr>
            <w:r>
              <w:rPr/>
              <w:t> </w:t>
            </w:r>
          </w:p>
        </w:tc>
        <w:tc>
          <w:tcPr>
            <w:tcW w:w="1745" w:type="dxa"/>
            <w:vMerge w:val="restart"/>
            <w:tcBorders>
              <w:bottom w:val="single" w:sz="6" w:space="0" w:color="84827F"/>
            </w:tcBorders>
            <w:tcMar>
              <w:bottom w:w="80" w:type="dxa"/>
            </w:tcMar>
            <w:vAlign w:val="center"/>
          </w:tcPr>
          <w:p>
            <w:pPr>
              <w:pStyle w:val="TableContents"/>
              <w:bidi w:val="0"/>
              <w:spacing w:before="0" w:after="20"/>
              <w:jc w:val="left"/>
              <w:rPr>
                <w:rFonts w:ascii="arial" w:hAnsi="arial"/>
                <w:sz w:val="16"/>
              </w:rPr>
            </w:pPr>
            <w:r>
              <w:rPr>
                <w:rFonts w:ascii="arial" w:hAnsi="arial"/>
                <w:sz w:val="16"/>
              </w:rPr>
              <w:t xml:space="preserve">Variable At-Risk Performance- </w:t>
              <w:br/>
              <w:t>Based Compensation</w:t>
            </w:r>
          </w:p>
        </w:tc>
        <w:tc>
          <w:tcPr>
            <w:tcW w:w="60" w:type="dxa"/>
            <w:tcBorders/>
            <w:shd w:fill="EAEAE9" w:val="clear"/>
            <w:vAlign w:val="center"/>
          </w:tcPr>
          <w:p>
            <w:pPr>
              <w:pStyle w:val="TableContents"/>
              <w:bidi w:val="0"/>
              <w:spacing w:before="0" w:after="283"/>
              <w:jc w:val="left"/>
              <w:rPr/>
            </w:pPr>
            <w:r>
              <w:rPr/>
              <w:t> </w:t>
            </w:r>
          </w:p>
        </w:tc>
        <w:tc>
          <w:tcPr>
            <w:tcW w:w="5669" w:type="dxa"/>
            <w:gridSpan w:val="3"/>
            <w:tcBorders/>
            <w:shd w:fill="EAEAE9" w:val="clear"/>
            <w:vAlign w:val="center"/>
          </w:tcPr>
          <w:p>
            <w:pPr>
              <w:pStyle w:val="TableContents"/>
              <w:bidi w:val="0"/>
              <w:spacing w:before="0" w:after="0"/>
              <w:jc w:val="left"/>
              <w:rPr/>
            </w:pPr>
            <w:r>
              <w:rPr/>
              <w:t> </w:t>
            </w:r>
          </w:p>
          <w:p>
            <w:pPr>
              <w:pStyle w:val="TableContents"/>
              <w:bidi w:val="0"/>
              <w:spacing w:before="0" w:after="20"/>
              <w:jc w:val="left"/>
              <w:rPr>
                <w:rFonts w:ascii="arial" w:hAnsi="arial"/>
                <w:b/>
                <w:sz w:val="16"/>
              </w:rPr>
            </w:pPr>
            <w:r>
              <w:rPr>
                <w:rFonts w:ascii="arial" w:hAnsi="arial"/>
                <w:b/>
                <w:sz w:val="16"/>
              </w:rPr>
              <w:t>Performance Shares</w:t>
            </w:r>
          </w:p>
        </w:tc>
        <w:tc>
          <w:tcPr>
            <w:tcW w:w="60" w:type="dxa"/>
            <w:tcBorders/>
            <w:shd w:fill="EAEAE9" w:val="clear"/>
            <w:vAlign w:val="center"/>
          </w:tcPr>
          <w:p>
            <w:pPr>
              <w:pStyle w:val="TableContents"/>
              <w:bidi w:val="0"/>
              <w:spacing w:before="0" w:after="283"/>
              <w:jc w:val="left"/>
              <w:rPr/>
            </w:pPr>
            <w:r>
              <w:rPr/>
              <w:t> </w:t>
            </w:r>
          </w:p>
        </w:tc>
        <w:tc>
          <w:tcPr>
            <w:tcW w:w="1267" w:type="dxa"/>
            <w:tcBorders/>
            <w:shd w:fill="EAEAE9"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AE4F"/>
                <w:sz w:val="16"/>
              </w:rPr>
            </w:pPr>
            <w:r>
              <w:rPr>
                <w:rFonts w:ascii="arial" w:hAnsi="arial"/>
                <w:b/>
                <w:color w:val="00AE4F"/>
                <w:sz w:val="16"/>
              </w:rPr>
              <w:t>Page 63</w:t>
            </w:r>
          </w:p>
        </w:tc>
      </w:tr>
      <w:tr>
        <w:trPr/>
        <w:tc>
          <w:tcPr>
            <w:tcW w:w="1344" w:type="dxa"/>
            <w:tcBorders>
              <w:bottom w:val="single" w:sz="6" w:space="0" w:color="84827F"/>
            </w:tcBorders>
            <w:shd w:fill="EAEAE9" w:val="clear"/>
            <w:tcMar>
              <w:bottom w:w="28" w:type="dxa"/>
            </w:tcMar>
            <w:vAlign w:val="center"/>
          </w:tcPr>
          <w:p>
            <w:pPr>
              <w:pStyle w:val="TableContents"/>
              <w:bidi w:val="0"/>
              <w:spacing w:before="0" w:after="283"/>
              <w:jc w:val="left"/>
              <w:rPr/>
            </w:pPr>
            <w:r>
              <w:rPr/>
              <w:t> </w:t>
            </w:r>
          </w:p>
        </w:tc>
        <w:tc>
          <w:tcPr>
            <w:tcW w:w="60" w:type="dxa"/>
            <w:vMerge w:val="continue"/>
            <w:tcBorders>
              <w:bottom w:val="single" w:sz="6" w:space="0" w:color="84827F"/>
            </w:tcBorders>
            <w:tcMar>
              <w:bottom w:w="28" w:type="dxa"/>
            </w:tcMar>
            <w:vAlign w:val="center"/>
          </w:tcPr>
          <w:p>
            <w:pPr>
              <w:pStyle w:val="Normal"/>
              <w:bidi w:val="0"/>
              <w:jc w:val="left"/>
              <w:rPr/>
            </w:pPr>
            <w:r>
              <w:rPr/>
            </w:r>
          </w:p>
        </w:tc>
        <w:tc>
          <w:tcPr>
            <w:tcW w:w="1745" w:type="dxa"/>
            <w:vMerge w:val="continue"/>
            <w:tcBorders>
              <w:bottom w:val="single" w:sz="6" w:space="0" w:color="84827F"/>
            </w:tcBorders>
            <w:tcMar>
              <w:bottom w:w="80" w:type="dxa"/>
            </w:tcMar>
            <w:vAlign w:val="center"/>
          </w:tcPr>
          <w:p>
            <w:pPr>
              <w:pStyle w:val="Normal"/>
              <w:bidi w:val="0"/>
              <w:jc w:val="left"/>
              <w:rPr/>
            </w:pPr>
            <w:r>
              <w:rPr/>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3533" w:type="dxa"/>
            <w:tcBorders>
              <w:bottom w:val="single" w:sz="6" w:space="0" w:color="84827F"/>
            </w:tcBorders>
            <w:tcMar>
              <w:bottom w:w="80" w:type="dxa"/>
            </w:tcM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Accounts for 75% for CEO and 60% for other named executive officers of total LTI award opportunity</w:t>
            </w:r>
          </w:p>
          <w:p>
            <w:pPr>
              <w:pStyle w:val="TableContents"/>
              <w:bidi w:val="0"/>
              <w:spacing w:before="0" w:after="0"/>
              <w:jc w:val="left"/>
              <w:rPr/>
            </w:pPr>
            <w:r>
              <w:rPr/>
              <w:t>•  </w:t>
            </w:r>
            <w:r>
              <w:rPr>
                <w:rFonts w:ascii="arial" w:hAnsi="arial"/>
                <w:sz w:val="16"/>
              </w:rPr>
              <w:t>Provides opportunity to earn shares based on achievement of multiple specific performance goals</w:t>
            </w:r>
          </w:p>
          <w:p>
            <w:pPr>
              <w:pStyle w:val="TableContents"/>
              <w:bidi w:val="0"/>
              <w:spacing w:before="0" w:after="20"/>
              <w:jc w:val="left"/>
              <w:rPr/>
            </w:pPr>
            <w:r>
              <w:rPr/>
              <w:t>•  </w:t>
            </w:r>
            <w:r>
              <w:rPr>
                <w:rFonts w:ascii="arial" w:hAnsi="arial"/>
                <w:sz w:val="16"/>
              </w:rPr>
              <w:t>Given the continued complexity of goal setting in the current business environment, financial measures for 2025-2027 LTI awards are established and assessed independently for each of three one-year performance periods (2025, 2026, and 2027) with goals set early in each performance period</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2076" w:type="dxa"/>
            <w:tcBorders>
              <w:bottom w:val="single" w:sz="6" w:space="0" w:color="84827F"/>
            </w:tcBorders>
            <w:tcMar>
              <w:bottom w:w="80" w:type="dxa"/>
            </w:tcMar>
            <w:vAlign w:val="center"/>
          </w:tcPr>
          <w:p>
            <w:pPr>
              <w:pStyle w:val="TableContents"/>
              <w:bidi w:val="0"/>
              <w:spacing w:before="0" w:after="0"/>
              <w:jc w:val="left"/>
              <w:rPr/>
            </w:pPr>
            <w:r>
              <w:rPr/>
              <w:t>•  </w:t>
            </w:r>
            <w:r>
              <w:rPr>
                <w:rFonts w:ascii="arial" w:hAnsi="arial"/>
                <w:sz w:val="16"/>
              </w:rPr>
              <w:t>Drive long-term value creation for shareholders</w:t>
            </w:r>
          </w:p>
          <w:p>
            <w:pPr>
              <w:pStyle w:val="TableContents"/>
              <w:bidi w:val="0"/>
              <w:spacing w:before="0" w:after="0"/>
              <w:jc w:val="left"/>
              <w:rPr/>
            </w:pPr>
            <w:r>
              <w:rPr/>
              <w:t>•  </w:t>
            </w:r>
            <w:r>
              <w:rPr>
                <w:rFonts w:ascii="arial" w:hAnsi="arial"/>
                <w:sz w:val="16"/>
              </w:rPr>
              <w:t>Motivate and reward senior officers for achievement of strategic business objectives over a three-year period</w:t>
            </w:r>
          </w:p>
          <w:p>
            <w:pPr>
              <w:pStyle w:val="TableContents"/>
              <w:bidi w:val="0"/>
              <w:spacing w:before="0" w:after="20"/>
              <w:jc w:val="left"/>
              <w:rPr/>
            </w:pPr>
            <w:r>
              <w:rPr/>
              <w:t>•  </w:t>
            </w:r>
            <w:r>
              <w:rPr>
                <w:rFonts w:ascii="arial" w:hAnsi="arial"/>
                <w:sz w:val="16"/>
              </w:rPr>
              <w:t>Align the interests of senior officers with the long-term interests of the Company and shareholders</w:t>
            </w:r>
          </w:p>
        </w:tc>
        <w:tc>
          <w:tcPr>
            <w:tcW w:w="60" w:type="dxa"/>
            <w:tcBorders>
              <w:bottom w:val="single" w:sz="6" w:space="0" w:color="84827F"/>
            </w:tcBorders>
            <w:tcMar>
              <w:bottom w:w="28" w:type="dxa"/>
            </w:tcMar>
            <w:vAlign w:val="center"/>
          </w:tcPr>
          <w:p>
            <w:pPr>
              <w:pStyle w:val="TableContents"/>
              <w:bidi w:val="0"/>
              <w:spacing w:before="0" w:after="283"/>
              <w:jc w:val="left"/>
              <w:rPr/>
            </w:pPr>
            <w:r>
              <w:rPr/>
              <w:t> </w:t>
            </w:r>
          </w:p>
        </w:tc>
        <w:tc>
          <w:tcPr>
            <w:tcW w:w="1267" w:type="dxa"/>
            <w:tcBorders>
              <w:bottom w:val="single" w:sz="6" w:space="0" w:color="84827F"/>
            </w:tcBorders>
            <w:tcMar>
              <w:bottom w:w="28" w:type="dxa"/>
            </w:tcMar>
            <w:vAlign w:val="center"/>
          </w:tcPr>
          <w:p>
            <w:pPr>
              <w:pStyle w:val="TableContents"/>
              <w:bidi w:val="0"/>
              <w:spacing w:before="0" w:after="283"/>
              <w:jc w:val="left"/>
              <w:rPr/>
            </w:pPr>
            <w:r>
              <w:rPr/>
              <w:t> </w:t>
            </w:r>
          </w:p>
        </w:tc>
      </w:tr>
      <w:tr>
        <w:trPr/>
        <w:tc>
          <w:tcPr>
            <w:tcW w:w="1344"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198"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71" descr=""/>
                          <pic:cNvPicPr>
                            <a:picLocks noChangeAspect="1" noChangeArrowheads="1"/>
                          </pic:cNvPicPr>
                        </pic:nvPicPr>
                        <pic:blipFill>
                          <a:blip r:embed="rId183"/>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i/>
          <w:sz w:val="20"/>
        </w:rPr>
      </w:pPr>
      <w:r>
        <w:rPr>
          <w:rFonts w:ascii="arial" w:hAnsi="arial"/>
          <w:i/>
          <w:sz w:val="20"/>
        </w:rPr>
        <w:t xml:space="preserve">Pay Mix </w:t>
      </w:r>
    </w:p>
    <w:p>
      <w:pPr>
        <w:pStyle w:val="TextBody"/>
        <w:bidi w:val="0"/>
        <w:spacing w:before="120" w:after="0"/>
        <w:jc w:val="left"/>
        <w:rPr>
          <w:rFonts w:ascii="arial" w:hAnsi="arial"/>
          <w:sz w:val="18"/>
        </w:rPr>
      </w:pPr>
      <w:r>
        <w:rPr>
          <w:rFonts w:ascii="arial" w:hAnsi="arial"/>
          <w:sz w:val="18"/>
        </w:rPr>
        <w:t xml:space="preserve">We structure executive compensation so that the senior officer roles have a greater proportion of performance-based pay. The CEO has the highest percentage of at-risk compensation through elevated STIP and LTI targets compared to other named executive officers. At-risk compensation includes annual cash incentives and performance shares contingent upon achieving pre-established performance goals. While restricted shares are not classified as at-risk, they align with shareholder experience by reflecting stock price performance from grant date to vesting. The following charts illustrate the Target Total Direct Compensation mix for our CEO and other named executive officers, including base salary, STIP (at target), restricted shares and performance shares (at target), and excluding one-time awards. </w:t>
      </w:r>
    </w:p>
    <w:p>
      <w:pPr>
        <w:pStyle w:val="TextBody"/>
        <w:bidi w:val="0"/>
        <w:spacing w:before="240" w:after="0"/>
        <w:jc w:val="center"/>
        <w:rPr>
          <w:rFonts w:ascii="arial" w:hAnsi="arial"/>
          <w:b/>
          <w:sz w:val="24"/>
        </w:rPr>
      </w:pPr>
      <w:r>
        <w:rPr>
          <w:rFonts w:ascii="arial" w:hAnsi="arial"/>
          <w:b/>
          <w:sz w:val="24"/>
        </w:rPr>
        <w:t xml:space="preserve">Target Compensation Opportunity Mix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2990850"/>
            <wp:effectExtent l="0" t="0" r="0" b="0"/>
            <wp:docPr id="199"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72" descr=""/>
                    <pic:cNvPicPr>
                      <a:picLocks noChangeAspect="1" noChangeArrowheads="1"/>
                    </pic:cNvPicPr>
                  </pic:nvPicPr>
                  <pic:blipFill>
                    <a:blip r:embed="rId184"/>
                    <a:stretch>
                      <a:fillRect/>
                    </a:stretch>
                  </pic:blipFill>
                  <pic:spPr bwMode="auto">
                    <a:xfrm>
                      <a:off x="0" y="0"/>
                      <a:ext cx="7810500" cy="2990850"/>
                    </a:xfrm>
                    <a:prstGeom prst="rect">
                      <a:avLst/>
                    </a:prstGeom>
                  </pic:spPr>
                </pic:pic>
              </a:graphicData>
            </a:graphic>
          </wp:inline>
        </w:drawing>
      </w:r>
      <w:r>
        <w:rPr/>
        <w:t xml:space="preserve"> </w:t>
      </w:r>
    </w:p>
    <w:p>
      <w:pPr>
        <w:pStyle w:val="TextBody"/>
        <w:bidi w:val="0"/>
        <w:spacing w:before="360" w:after="0"/>
        <w:jc w:val="left"/>
        <w:rPr>
          <w:rFonts w:ascii="arial" w:hAnsi="arial"/>
          <w:b/>
          <w:sz w:val="24"/>
        </w:rPr>
      </w:pPr>
      <w:bookmarkStart w:id="55" w:name="txa2837686_2010"/>
      <w:bookmarkStart w:id="56" w:name="toc37355_50"/>
      <w:bookmarkEnd w:id="55"/>
      <w:bookmarkEnd w:id="56"/>
      <w:r>
        <w:rPr>
          <w:rFonts w:ascii="arial" w:hAnsi="arial"/>
          <w:b/>
          <w:sz w:val="24"/>
        </w:rPr>
        <w:t xml:space="preserve">Process for Determining Executive Compensation </w:t>
      </w:r>
    </w:p>
    <w:p>
      <w:pPr>
        <w:pStyle w:val="TextBody"/>
        <w:bidi w:val="0"/>
        <w:spacing w:before="80" w:after="0"/>
        <w:jc w:val="left"/>
        <w:rPr>
          <w:rFonts w:ascii="arial" w:hAnsi="arial"/>
          <w:sz w:val="18"/>
        </w:rPr>
      </w:pPr>
      <w:r>
        <w:rPr>
          <w:rFonts w:ascii="arial" w:hAnsi="arial"/>
          <w:sz w:val="18"/>
        </w:rPr>
        <w:t xml:space="preserve">The Committee manages the Company’s executive compensation programs, reviewing goals, legal requirement, best practices, and governance trends. The Committee and members of the Board of Directors set the CEO pay, which follows the same structure as other named executive officers (base salary, STIP, and LTI). The CEO does not participate in recommendations or discussions related to his own compensation. Each year, the Committee sets pay for senior officers based on performance, ethics, goal achievement, market comparisons, the recommendations of the CEO, and other factors. It also reviews the costs and benefits of the compensation plans. Under the Kelly Services, Inc. 2025 Equity Incentive Plan, the Committee may delegate its authority to the CEO and/or to other executives to grant Awards under the Plan to Employees who are not Section 16 Reporting Persons or Senior Vice Presidents.The CEO shall periodically notify the Committee of any grants made pursuant to such delegation of authority. </w:t>
      </w:r>
    </w:p>
    <w:p>
      <w:pPr>
        <w:pStyle w:val="TextBody"/>
        <w:bidi w:val="0"/>
        <w:spacing w:before="80" w:after="0"/>
        <w:jc w:val="left"/>
        <w:rPr>
          <w:rFonts w:ascii="arial" w:hAnsi="arial"/>
          <w:sz w:val="18"/>
        </w:rPr>
      </w:pPr>
      <w:r>
        <w:rPr>
          <w:rFonts w:ascii="arial" w:hAnsi="arial"/>
          <w:sz w:val="18"/>
        </w:rPr>
        <w:t xml:space="preserve">The responsibilities of the Committee are defined in its charter, which can be found on the Company’s website at </w:t>
      </w:r>
      <w:r>
        <w:rPr>
          <w:rFonts w:ascii="arial" w:hAnsi="arial"/>
          <w:i/>
          <w:sz w:val="18"/>
        </w:rPr>
        <w:t>kellyservices.com</w:t>
      </w:r>
      <w:r>
        <w:rPr>
          <w:rFonts w:ascii="arial" w:hAnsi="arial"/>
          <w:sz w:val="18"/>
        </w:rPr>
        <w:t xml:space="preserve">. </w:t>
      </w:r>
    </w:p>
    <w:p>
      <w:pPr>
        <w:pStyle w:val="TextBody"/>
        <w:bidi w:val="0"/>
        <w:spacing w:before="240" w:after="0"/>
        <w:jc w:val="left"/>
        <w:rPr>
          <w:rFonts w:ascii="arial" w:hAnsi="arial"/>
          <w:i/>
          <w:sz w:val="20"/>
        </w:rPr>
      </w:pPr>
      <w:bookmarkStart w:id="57" w:name="txa2837686_2012"/>
      <w:bookmarkStart w:id="58" w:name="toc37355_52"/>
      <w:bookmarkEnd w:id="57"/>
      <w:bookmarkEnd w:id="58"/>
      <w:r>
        <w:rPr>
          <w:rFonts w:ascii="arial" w:hAnsi="arial"/>
          <w:i/>
          <w:sz w:val="20"/>
        </w:rPr>
        <w:t xml:space="preserve">Role of the Independent Compensation Consultant </w:t>
      </w:r>
    </w:p>
    <w:p>
      <w:pPr>
        <w:pStyle w:val="TextBody"/>
        <w:bidi w:val="0"/>
        <w:spacing w:before="80" w:after="0"/>
        <w:jc w:val="left"/>
        <w:rPr>
          <w:rFonts w:ascii="arial" w:hAnsi="arial"/>
          <w:sz w:val="18"/>
        </w:rPr>
      </w:pPr>
      <w:r>
        <w:rPr>
          <w:rFonts w:ascii="arial" w:hAnsi="arial"/>
          <w:sz w:val="18"/>
        </w:rPr>
        <w:t xml:space="preserve">The Committee has exclusive authority to select, retain, and, when appropriate, replace its independent compensation advisor. In early 2025, the Committee undertook a formal request-for-proposal (RFP) process to evaluate the qualifications, independence, and capabilities of several leading advisory firms. As a result of that process, the Committee appointed Pearl Meyer as its new independent compensation consultant, replacing Pay Governance LLC, which served in the role through the first half of 2025. </w:t>
      </w:r>
    </w:p>
    <w:p>
      <w:pPr>
        <w:pStyle w:val="TextBody"/>
        <w:bidi w:val="0"/>
        <w:spacing w:before="80" w:after="0"/>
        <w:jc w:val="left"/>
        <w:rPr>
          <w:rFonts w:ascii="arial" w:hAnsi="arial"/>
          <w:sz w:val="18"/>
        </w:rPr>
      </w:pPr>
      <w:r>
        <w:rPr>
          <w:rFonts w:ascii="arial" w:hAnsi="arial"/>
          <w:sz w:val="18"/>
        </w:rPr>
        <w:t xml:space="preserve">Under the Committee’s direction: </w:t>
      </w:r>
    </w:p>
    <w:p>
      <w:pPr>
        <w:pStyle w:val="TextBody"/>
        <w:bidi w:val="0"/>
        <w:spacing w:before="80" w:after="0"/>
        <w:jc w:val="left"/>
        <w:rPr>
          <w:rFonts w:ascii="arial" w:hAnsi="arial"/>
          <w:sz w:val="18"/>
        </w:rPr>
      </w:pPr>
      <w:r>
        <w:rPr>
          <w:rFonts w:ascii="arial" w:hAnsi="arial"/>
          <w:sz w:val="18"/>
        </w:rPr>
        <w:t xml:space="preserve">The Committee’s independent compensation consultant provides market benchmarking on executive pay, incentive design advice, annual CD&amp;A input, peer group composition and shareholder engagement counsel, and director compensation recommendations, and does not provide any other services to the Company. Both firms reported directly to the Committee and operated independently of management. The Committee conducts an annual review of its advisor’s independence in accordance with Nasdaq listing standards. The Committee determined that its compensation consultants were independent and that no conflicts of interest existed in connection with their engagement. </w:t>
      </w:r>
    </w:p>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52 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200"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73" descr=""/>
                          <pic:cNvPicPr>
                            <a:picLocks noChangeAspect="1" noChangeArrowheads="1"/>
                          </pic:cNvPicPr>
                        </pic:nvPicPr>
                        <pic:blipFill>
                          <a:blip r:embed="rId185"/>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i/>
          <w:sz w:val="20"/>
        </w:rPr>
      </w:pPr>
      <w:bookmarkStart w:id="59" w:name="txa2837686_2013"/>
      <w:bookmarkStart w:id="60" w:name="toc37355_53"/>
      <w:bookmarkEnd w:id="59"/>
      <w:bookmarkEnd w:id="60"/>
      <w:r>
        <w:rPr>
          <w:rFonts w:ascii="arial" w:hAnsi="arial"/>
          <w:i/>
          <w:sz w:val="20"/>
        </w:rPr>
        <w:t xml:space="preserve">Role of Management </w:t>
      </w:r>
    </w:p>
    <w:p>
      <w:pPr>
        <w:pStyle w:val="TextBody"/>
        <w:bidi w:val="0"/>
        <w:spacing w:before="80" w:after="0"/>
        <w:jc w:val="left"/>
        <w:rPr>
          <w:rFonts w:ascii="arial" w:hAnsi="arial"/>
          <w:sz w:val="18"/>
        </w:rPr>
      </w:pPr>
      <w:r>
        <w:rPr>
          <w:rFonts w:ascii="arial" w:hAnsi="arial"/>
          <w:sz w:val="18"/>
        </w:rPr>
        <w:t xml:space="preserve">The Committee consults with the CEO and the Chief People Officer to obtain feedback with respect to the strategic direction of our executive compensation programs. </w:t>
      </w:r>
    </w:p>
    <w:p>
      <w:pPr>
        <w:pStyle w:val="TextBody"/>
        <w:bidi w:val="0"/>
        <w:spacing w:before="80" w:after="0"/>
        <w:jc w:val="left"/>
        <w:rPr>
          <w:rFonts w:ascii="arial" w:hAnsi="arial"/>
          <w:sz w:val="18"/>
        </w:rPr>
      </w:pPr>
      <w:r>
        <w:rPr>
          <w:rFonts w:ascii="arial" w:hAnsi="arial"/>
          <w:sz w:val="18"/>
        </w:rPr>
        <w:t xml:space="preserve">The CEO makes recommendations for each of the executive officers about elements of their total compensation. His recommendations are based on the assessment of each executive officer’s performance, as well as the performance of their respective business or function and other factors. The Committee takes into consideration the recommendations of the CEO when determining the compensation of the other executive officers. </w:t>
      </w:r>
    </w:p>
    <w:p>
      <w:pPr>
        <w:pStyle w:val="TextBody"/>
        <w:bidi w:val="0"/>
        <w:spacing w:before="80" w:after="0"/>
        <w:jc w:val="left"/>
        <w:rPr>
          <w:rFonts w:ascii="arial" w:hAnsi="arial"/>
          <w:sz w:val="18"/>
        </w:rPr>
      </w:pPr>
      <w:r>
        <w:rPr>
          <w:rFonts w:ascii="arial" w:hAnsi="arial"/>
          <w:sz w:val="18"/>
        </w:rPr>
        <w:t xml:space="preserve">In addition, the CFO provides periodic financial updates and information to the Committee to aid in establishing incentive plan goals and determining payout amounts. </w:t>
      </w:r>
    </w:p>
    <w:p>
      <w:pPr>
        <w:pStyle w:val="TextBody"/>
        <w:bidi w:val="0"/>
        <w:spacing w:before="80" w:after="0"/>
        <w:jc w:val="left"/>
        <w:rPr>
          <w:rFonts w:ascii="arial" w:hAnsi="arial"/>
          <w:sz w:val="18"/>
        </w:rPr>
      </w:pPr>
      <w:r>
        <w:rPr>
          <w:rFonts w:ascii="arial" w:hAnsi="arial"/>
          <w:sz w:val="18"/>
        </w:rPr>
        <w:t xml:space="preserve">The Committee consults with the Corporate Secretary and its independent compensation consultant on matters related to executive and director stock ownership requirements and director compensation. </w:t>
      </w:r>
    </w:p>
    <w:p>
      <w:pPr>
        <w:pStyle w:val="TextBody"/>
        <w:bidi w:val="0"/>
        <w:spacing w:before="240" w:after="0"/>
        <w:jc w:val="left"/>
        <w:rPr>
          <w:rFonts w:ascii="arial" w:hAnsi="arial"/>
          <w:i/>
          <w:sz w:val="20"/>
        </w:rPr>
      </w:pPr>
      <w:bookmarkStart w:id="61" w:name="txa2837686_2014"/>
      <w:bookmarkStart w:id="62" w:name="toc37355_54"/>
      <w:bookmarkEnd w:id="61"/>
      <w:bookmarkEnd w:id="62"/>
      <w:r>
        <w:rPr>
          <w:rFonts w:ascii="arial" w:hAnsi="arial"/>
          <w:i/>
          <w:sz w:val="20"/>
        </w:rPr>
        <w:t xml:space="preserve">Comparator Data </w:t>
      </w:r>
    </w:p>
    <w:p>
      <w:pPr>
        <w:pStyle w:val="TextBody"/>
        <w:bidi w:val="0"/>
        <w:spacing w:before="80" w:after="0"/>
        <w:jc w:val="left"/>
        <w:rPr>
          <w:rFonts w:ascii="arial" w:hAnsi="arial"/>
          <w:sz w:val="18"/>
        </w:rPr>
      </w:pPr>
      <w:r>
        <w:rPr>
          <w:rFonts w:ascii="arial" w:hAnsi="arial"/>
          <w:sz w:val="18"/>
        </w:rPr>
        <w:t xml:space="preserve">The Committee uses third-party survey data for comparably sized general industry companies and available data from a select group of peer companies in determining the competitive positioning of our compensation programs. Comparator data is also used as one of several inputs to establish the individual compensation opportunities of each of our senior officers, including the named executive officers. </w:t>
      </w:r>
    </w:p>
    <w:p>
      <w:pPr>
        <w:pStyle w:val="TextBody"/>
        <w:bidi w:val="0"/>
        <w:spacing w:before="80" w:after="0"/>
        <w:jc w:val="left"/>
        <w:rPr>
          <w:rFonts w:ascii="arial" w:hAnsi="arial"/>
          <w:sz w:val="18"/>
        </w:rPr>
      </w:pPr>
      <w:r>
        <w:rPr>
          <w:rFonts w:ascii="arial" w:hAnsi="arial"/>
          <w:sz w:val="18"/>
        </w:rPr>
        <w:t xml:space="preserve">Each senior officer’s performance is reviewed (see Senior Officer Performance Reviews and Succession Planning below) and compensation decisions are made on an annual basis (or as a senior officer’s duties and responsibilities change). Base salaries, target STIP, and target LTI opportunities are benchmarked against a group of comparable executive positions in general industry companies of similar revenue size as reflected in multiple third-party surveys. We seek to establish target total direct compensation opportunities (defined as base salary, target STIP, and target LTI) for our named executive officers that are near a competitive range of the median of the market data. </w:t>
      </w:r>
    </w:p>
    <w:p>
      <w:pPr>
        <w:pStyle w:val="TextBody"/>
        <w:bidi w:val="0"/>
        <w:spacing w:before="80" w:after="0"/>
        <w:jc w:val="left"/>
        <w:rPr>
          <w:rFonts w:ascii="arial" w:hAnsi="arial"/>
          <w:sz w:val="18"/>
        </w:rPr>
      </w:pPr>
      <w:r>
        <w:rPr>
          <w:rFonts w:ascii="arial" w:hAnsi="arial"/>
          <w:sz w:val="18"/>
        </w:rPr>
        <w:t xml:space="preserve">Compensation ultimately earned from these opportunities can vary from the targeted levels based on Company, business unit, and individual performance. Various other factors are taken into consideration and in certain circumstances, we may target pay above or below the competitive median. Individual target total direct compensation may be above or below the median depending on Company performance, cost considerations, the role’s scope of responsibilities, individual experience and performance, and any succession, retention, or internal equity considerations. The Company has taken a conservative approach to target long-term incentive opportunities generally below market median for senior officers. This approach supports the Company’s efforts to reduce costs in connection with its investment strategy and its goal to become more profitable. </w:t>
      </w:r>
    </w:p>
    <w:p>
      <w:pPr>
        <w:pStyle w:val="TextBody"/>
        <w:bidi w:val="0"/>
        <w:spacing w:before="80" w:after="0"/>
        <w:jc w:val="left"/>
        <w:rPr>
          <w:rFonts w:ascii="arial" w:hAnsi="arial"/>
          <w:sz w:val="18"/>
        </w:rPr>
      </w:pPr>
      <w:r>
        <w:rPr>
          <w:rFonts w:ascii="arial" w:hAnsi="arial"/>
          <w:sz w:val="18"/>
        </w:rPr>
        <w:t xml:space="preserve">In setting 2025 target compensation, the Committee performed a competitive executive compensation analysis, which included an analysis of third-party survey data prepared internally by the Company’s executive compensation group, and a peer group review of CEO and CFO pay prepared by the independent compensation consultant. Third-party general industry survey data from Aon, Pearl Meyer, and WTW were used to prepare the survey analysis. Specific companies that participated in the third-party surveys were unknown and not a factor in the Committee’s deliberations. The independent compensation consultant reviewed the survey analysis for the Committee. </w:t>
      </w:r>
    </w:p>
    <w:p>
      <w:pPr>
        <w:pStyle w:val="TextBody"/>
        <w:bidi w:val="0"/>
        <w:spacing w:before="80" w:after="0"/>
        <w:jc w:val="left"/>
        <w:rPr>
          <w:rFonts w:ascii="arial" w:hAnsi="arial"/>
          <w:sz w:val="18"/>
        </w:rPr>
      </w:pPr>
      <w:r>
        <w:rPr>
          <w:rFonts w:ascii="arial" w:hAnsi="arial"/>
          <w:sz w:val="18"/>
        </w:rPr>
        <w:t xml:space="preserve">The Committee and management were supported by the independent compensation consultant in the second half of 2024 in developing a group of peer companies to be used for market comparison purposes in terms of CEO and CFO pay levels and executive pay practices. We do not believe many companies compete directly with us in all areas of our business or are of similar size. However, in order to have a reference group of publicly traded comparators, the independent compensation consultant identified a group of relevant companies that compare to Kelly in at least some areas of our business. The resulting group of twelve comparator companies consists solely of staffing and HR-focused companies with generally similar annual revenues and recent market cap. The majority are multi-national/ global companies headquartered in U.S. The following group of companies includes direct peers and a balanced mix of some significantly smaller and larger companies in similar industries and was unchanged from last year. The peer group was used by the Committee and management as another reference point when assessing 2025 executive pay practices and CEO and CFO pay levels: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47"/>
        <w:gridCol w:w="60"/>
        <w:gridCol w:w="3957"/>
        <w:gridCol w:w="60"/>
        <w:gridCol w:w="2981"/>
      </w:tblGrid>
      <w:tr>
        <w:trPr/>
        <w:tc>
          <w:tcPr>
            <w:tcW w:w="31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bottom w:val="single" w:sz="8" w:space="0" w:color="000000"/>
            </w:tcBorders>
            <w:tcMar>
              <w:bottom w:w="80" w:type="dxa"/>
            </w:tcMar>
            <w:vAlign w:val="center"/>
          </w:tcPr>
          <w:p>
            <w:pPr>
              <w:pStyle w:val="TableContents"/>
              <w:bidi w:val="0"/>
              <w:spacing w:before="0" w:after="283"/>
              <w:jc w:val="center"/>
              <w:rPr>
                <w:b/>
                <w:color w:val="00AE4F"/>
                <w:sz w:val="18"/>
              </w:rPr>
            </w:pPr>
            <w:r>
              <w:rPr>
                <w:b/>
                <w:color w:val="00AE4F"/>
                <w:sz w:val="18"/>
              </w:rPr>
              <w:t>2025 Peer Group</w:t>
            </w:r>
          </w:p>
        </w:tc>
      </w:tr>
      <w:tr>
        <w:trPr/>
        <w:tc>
          <w:tcPr>
            <w:tcW w:w="3147" w:type="dxa"/>
            <w:tcBorders/>
            <w:vAlign w:val="center"/>
          </w:tcPr>
          <w:p>
            <w:pPr>
              <w:pStyle w:val="TableContents"/>
              <w:bidi w:val="0"/>
              <w:spacing w:before="0" w:after="283"/>
              <w:jc w:val="left"/>
              <w:rPr>
                <w:sz w:val="4"/>
                <w:szCs w:val="4"/>
              </w:rPr>
            </w:pPr>
            <w:r>
              <w:rPr>
                <w:sz w:val="4"/>
                <w:szCs w:val="4"/>
              </w:rPr>
            </w:r>
          </w:p>
        </w:tc>
        <w:tc>
          <w:tcPr>
            <w:tcW w:w="4017" w:type="dxa"/>
            <w:gridSpan w:val="2"/>
            <w:tcBorders/>
            <w:vAlign w:val="center"/>
          </w:tcPr>
          <w:p>
            <w:pPr>
              <w:pStyle w:val="TableContents"/>
              <w:bidi w:val="0"/>
              <w:spacing w:before="0" w:after="283"/>
              <w:jc w:val="left"/>
              <w:rPr>
                <w:sz w:val="4"/>
                <w:szCs w:val="4"/>
              </w:rPr>
            </w:pPr>
            <w:r>
              <w:rPr>
                <w:sz w:val="4"/>
                <w:szCs w:val="4"/>
              </w:rPr>
            </w:r>
          </w:p>
        </w:tc>
        <w:tc>
          <w:tcPr>
            <w:tcW w:w="3041" w:type="dxa"/>
            <w:gridSpan w:val="2"/>
            <w:tcBorders/>
            <w:vAlign w:val="center"/>
          </w:tcPr>
          <w:p>
            <w:pPr>
              <w:pStyle w:val="TableContents"/>
              <w:bidi w:val="0"/>
              <w:spacing w:before="0" w:after="283"/>
              <w:jc w:val="left"/>
              <w:rPr>
                <w:sz w:val="4"/>
                <w:szCs w:val="4"/>
              </w:rPr>
            </w:pPr>
            <w:r>
              <w:rPr>
                <w:sz w:val="4"/>
                <w:szCs w:val="4"/>
              </w:rPr>
            </w:r>
          </w:p>
        </w:tc>
      </w:tr>
      <w:tr>
        <w:trPr/>
        <w:tc>
          <w:tcPr>
            <w:tcW w:w="3147" w:type="dxa"/>
            <w:tcBorders/>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Korn Ferry</w:t>
            </w:r>
          </w:p>
        </w:tc>
        <w:tc>
          <w:tcPr>
            <w:tcW w:w="60" w:type="dxa"/>
            <w:tcBorders/>
            <w:vAlign w:val="center"/>
          </w:tcPr>
          <w:p>
            <w:pPr>
              <w:pStyle w:val="TableContents"/>
              <w:bidi w:val="0"/>
              <w:spacing w:before="0" w:after="283"/>
              <w:jc w:val="left"/>
              <w:rPr/>
            </w:pPr>
            <w:r>
              <w:rPr/>
              <w:t> </w:t>
            </w:r>
          </w:p>
        </w:tc>
        <w:tc>
          <w:tcPr>
            <w:tcW w:w="3957" w:type="dxa"/>
            <w:tcBorders/>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Barrett Business Services, Inc.</w:t>
            </w:r>
          </w:p>
        </w:tc>
        <w:tc>
          <w:tcPr>
            <w:tcW w:w="60" w:type="dxa"/>
            <w:tcBorders/>
            <w:vAlign w:val="center"/>
          </w:tcPr>
          <w:p>
            <w:pPr>
              <w:pStyle w:val="TableContents"/>
              <w:bidi w:val="0"/>
              <w:spacing w:before="0" w:after="283"/>
              <w:jc w:val="left"/>
              <w:rPr/>
            </w:pPr>
            <w:r>
              <w:rPr/>
              <w:t> </w:t>
            </w:r>
          </w:p>
        </w:tc>
        <w:tc>
          <w:tcPr>
            <w:tcW w:w="2981" w:type="dxa"/>
            <w:tcBorders/>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ManpowerGroup Inc.</w:t>
            </w:r>
          </w:p>
        </w:tc>
      </w:tr>
      <w:tr>
        <w:trPr/>
        <w:tc>
          <w:tcPr>
            <w:tcW w:w="3147" w:type="dxa"/>
            <w:tcBorders/>
            <w:vAlign w:val="center"/>
          </w:tcPr>
          <w:p>
            <w:pPr>
              <w:pStyle w:val="TableContents"/>
              <w:bidi w:val="0"/>
              <w:spacing w:before="0" w:after="283"/>
              <w:jc w:val="left"/>
              <w:rPr>
                <w:sz w:val="4"/>
                <w:szCs w:val="4"/>
              </w:rPr>
            </w:pPr>
            <w:r>
              <w:rPr>
                <w:sz w:val="4"/>
                <w:szCs w:val="4"/>
              </w:rPr>
            </w:r>
          </w:p>
        </w:tc>
        <w:tc>
          <w:tcPr>
            <w:tcW w:w="4017" w:type="dxa"/>
            <w:gridSpan w:val="2"/>
            <w:tcBorders/>
            <w:vAlign w:val="center"/>
          </w:tcPr>
          <w:p>
            <w:pPr>
              <w:pStyle w:val="TableContents"/>
              <w:bidi w:val="0"/>
              <w:spacing w:before="0" w:after="283"/>
              <w:jc w:val="left"/>
              <w:rPr>
                <w:sz w:val="4"/>
                <w:szCs w:val="4"/>
              </w:rPr>
            </w:pPr>
            <w:r>
              <w:rPr>
                <w:sz w:val="4"/>
                <w:szCs w:val="4"/>
              </w:rPr>
            </w:r>
          </w:p>
        </w:tc>
        <w:tc>
          <w:tcPr>
            <w:tcW w:w="3041" w:type="dxa"/>
            <w:gridSpan w:val="2"/>
            <w:tcBorders/>
            <w:vAlign w:val="center"/>
          </w:tcPr>
          <w:p>
            <w:pPr>
              <w:pStyle w:val="TableContents"/>
              <w:bidi w:val="0"/>
              <w:spacing w:before="0" w:after="283"/>
              <w:jc w:val="left"/>
              <w:rPr>
                <w:sz w:val="4"/>
                <w:szCs w:val="4"/>
              </w:rPr>
            </w:pPr>
            <w:r>
              <w:rPr>
                <w:sz w:val="4"/>
                <w:szCs w:val="4"/>
              </w:rPr>
            </w:r>
          </w:p>
        </w:tc>
      </w:tr>
      <w:tr>
        <w:trPr/>
        <w:tc>
          <w:tcPr>
            <w:tcW w:w="3147" w:type="dxa"/>
            <w:tcBorders/>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Adecco Group AG</w:t>
            </w:r>
          </w:p>
        </w:tc>
        <w:tc>
          <w:tcPr>
            <w:tcW w:w="60" w:type="dxa"/>
            <w:tcBorders/>
            <w:vAlign w:val="center"/>
          </w:tcPr>
          <w:p>
            <w:pPr>
              <w:pStyle w:val="TableContents"/>
              <w:bidi w:val="0"/>
              <w:spacing w:before="0" w:after="283"/>
              <w:jc w:val="left"/>
              <w:rPr/>
            </w:pPr>
            <w:r>
              <w:rPr/>
              <w:t> </w:t>
            </w:r>
          </w:p>
        </w:tc>
        <w:tc>
          <w:tcPr>
            <w:tcW w:w="3957" w:type="dxa"/>
            <w:tcBorders/>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Heidrick &amp; Struggles International, Inc.</w:t>
            </w:r>
          </w:p>
        </w:tc>
        <w:tc>
          <w:tcPr>
            <w:tcW w:w="60" w:type="dxa"/>
            <w:tcBorders/>
            <w:vAlign w:val="center"/>
          </w:tcPr>
          <w:p>
            <w:pPr>
              <w:pStyle w:val="TableContents"/>
              <w:bidi w:val="0"/>
              <w:spacing w:before="0" w:after="283"/>
              <w:jc w:val="left"/>
              <w:rPr/>
            </w:pPr>
            <w:r>
              <w:rPr/>
              <w:t> </w:t>
            </w:r>
          </w:p>
        </w:tc>
        <w:tc>
          <w:tcPr>
            <w:tcW w:w="2981" w:type="dxa"/>
            <w:tcBorders/>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Randstad NV</w:t>
            </w:r>
          </w:p>
        </w:tc>
      </w:tr>
      <w:tr>
        <w:trPr/>
        <w:tc>
          <w:tcPr>
            <w:tcW w:w="3147" w:type="dxa"/>
            <w:tcBorders/>
            <w:vAlign w:val="center"/>
          </w:tcPr>
          <w:p>
            <w:pPr>
              <w:pStyle w:val="TableContents"/>
              <w:bidi w:val="0"/>
              <w:spacing w:before="0" w:after="283"/>
              <w:jc w:val="left"/>
              <w:rPr>
                <w:sz w:val="4"/>
                <w:szCs w:val="4"/>
              </w:rPr>
            </w:pPr>
            <w:r>
              <w:rPr>
                <w:sz w:val="4"/>
                <w:szCs w:val="4"/>
              </w:rPr>
            </w:r>
          </w:p>
        </w:tc>
        <w:tc>
          <w:tcPr>
            <w:tcW w:w="4017" w:type="dxa"/>
            <w:gridSpan w:val="2"/>
            <w:tcBorders/>
            <w:vAlign w:val="center"/>
          </w:tcPr>
          <w:p>
            <w:pPr>
              <w:pStyle w:val="TableContents"/>
              <w:bidi w:val="0"/>
              <w:spacing w:before="0" w:after="283"/>
              <w:jc w:val="left"/>
              <w:rPr>
                <w:sz w:val="4"/>
                <w:szCs w:val="4"/>
              </w:rPr>
            </w:pPr>
            <w:r>
              <w:rPr>
                <w:sz w:val="4"/>
                <w:szCs w:val="4"/>
              </w:rPr>
            </w:r>
          </w:p>
        </w:tc>
        <w:tc>
          <w:tcPr>
            <w:tcW w:w="3041" w:type="dxa"/>
            <w:gridSpan w:val="2"/>
            <w:tcBorders/>
            <w:vAlign w:val="center"/>
          </w:tcPr>
          <w:p>
            <w:pPr>
              <w:pStyle w:val="TableContents"/>
              <w:bidi w:val="0"/>
              <w:spacing w:before="0" w:after="283"/>
              <w:jc w:val="left"/>
              <w:rPr>
                <w:sz w:val="4"/>
                <w:szCs w:val="4"/>
              </w:rPr>
            </w:pPr>
            <w:r>
              <w:rPr>
                <w:sz w:val="4"/>
                <w:szCs w:val="4"/>
              </w:rPr>
            </w:r>
          </w:p>
        </w:tc>
      </w:tr>
      <w:tr>
        <w:trPr/>
        <w:tc>
          <w:tcPr>
            <w:tcW w:w="3147" w:type="dxa"/>
            <w:tcBorders/>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AMN Healthcare Services, Inc.</w:t>
            </w:r>
          </w:p>
        </w:tc>
        <w:tc>
          <w:tcPr>
            <w:tcW w:w="60" w:type="dxa"/>
            <w:tcBorders/>
            <w:vAlign w:val="center"/>
          </w:tcPr>
          <w:p>
            <w:pPr>
              <w:pStyle w:val="TableContents"/>
              <w:bidi w:val="0"/>
              <w:spacing w:before="0" w:after="283"/>
              <w:jc w:val="left"/>
              <w:rPr/>
            </w:pPr>
            <w:r>
              <w:rPr/>
              <w:t> </w:t>
            </w:r>
          </w:p>
        </w:tc>
        <w:tc>
          <w:tcPr>
            <w:tcW w:w="3957" w:type="dxa"/>
            <w:tcBorders/>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Insperity, Inc.</w:t>
            </w:r>
          </w:p>
        </w:tc>
        <w:tc>
          <w:tcPr>
            <w:tcW w:w="60" w:type="dxa"/>
            <w:tcBorders/>
            <w:vAlign w:val="center"/>
          </w:tcPr>
          <w:p>
            <w:pPr>
              <w:pStyle w:val="TableContents"/>
              <w:bidi w:val="0"/>
              <w:spacing w:before="0" w:after="283"/>
              <w:jc w:val="left"/>
              <w:rPr/>
            </w:pPr>
            <w:r>
              <w:rPr/>
              <w:t> </w:t>
            </w:r>
          </w:p>
        </w:tc>
        <w:tc>
          <w:tcPr>
            <w:tcW w:w="2981" w:type="dxa"/>
            <w:tcBorders/>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Robert Half International Inc.</w:t>
            </w:r>
          </w:p>
        </w:tc>
      </w:tr>
      <w:tr>
        <w:trPr/>
        <w:tc>
          <w:tcPr>
            <w:tcW w:w="3147" w:type="dxa"/>
            <w:tcBorders/>
            <w:vAlign w:val="center"/>
          </w:tcPr>
          <w:p>
            <w:pPr>
              <w:pStyle w:val="TableContents"/>
              <w:bidi w:val="0"/>
              <w:spacing w:before="0" w:after="283"/>
              <w:jc w:val="left"/>
              <w:rPr>
                <w:sz w:val="4"/>
                <w:szCs w:val="4"/>
              </w:rPr>
            </w:pPr>
            <w:r>
              <w:rPr>
                <w:sz w:val="4"/>
                <w:szCs w:val="4"/>
              </w:rPr>
            </w:r>
          </w:p>
        </w:tc>
        <w:tc>
          <w:tcPr>
            <w:tcW w:w="4017" w:type="dxa"/>
            <w:gridSpan w:val="2"/>
            <w:tcBorders/>
            <w:vAlign w:val="center"/>
          </w:tcPr>
          <w:p>
            <w:pPr>
              <w:pStyle w:val="TableContents"/>
              <w:bidi w:val="0"/>
              <w:spacing w:before="0" w:after="283"/>
              <w:jc w:val="left"/>
              <w:rPr>
                <w:sz w:val="4"/>
                <w:szCs w:val="4"/>
              </w:rPr>
            </w:pPr>
            <w:r>
              <w:rPr>
                <w:sz w:val="4"/>
                <w:szCs w:val="4"/>
              </w:rPr>
            </w:r>
          </w:p>
        </w:tc>
        <w:tc>
          <w:tcPr>
            <w:tcW w:w="3041" w:type="dxa"/>
            <w:gridSpan w:val="2"/>
            <w:tcBorders/>
            <w:vAlign w:val="center"/>
          </w:tcPr>
          <w:p>
            <w:pPr>
              <w:pStyle w:val="TableContents"/>
              <w:bidi w:val="0"/>
              <w:spacing w:before="0" w:after="283"/>
              <w:jc w:val="left"/>
              <w:rPr>
                <w:sz w:val="4"/>
                <w:szCs w:val="4"/>
              </w:rPr>
            </w:pPr>
            <w:r>
              <w:rPr>
                <w:sz w:val="4"/>
                <w:szCs w:val="4"/>
              </w:rPr>
            </w:r>
          </w:p>
        </w:tc>
      </w:tr>
      <w:tr>
        <w:trPr/>
        <w:tc>
          <w:tcPr>
            <w:tcW w:w="3147" w:type="dxa"/>
            <w:tcBorders>
              <w:bottom w:val="single" w:sz="6" w:space="0" w:color="7F7F7F"/>
            </w:tcBorders>
            <w:tcMar>
              <w:bottom w:w="4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ASGN Inc.</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3957" w:type="dxa"/>
            <w:tcBorders>
              <w:bottom w:val="single" w:sz="6" w:space="0" w:color="7F7F7F"/>
            </w:tcBorders>
            <w:tcMar>
              <w:bottom w:w="4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Kforce Inc.</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2981" w:type="dxa"/>
            <w:tcBorders>
              <w:bottom w:val="single" w:sz="6" w:space="0" w:color="7F7F7F"/>
            </w:tcBorders>
            <w:tcMar>
              <w:bottom w:w="40" w:type="dxa"/>
            </w:tcMar>
            <w:vAlign w:val="center"/>
          </w:tcPr>
          <w:p>
            <w:pPr>
              <w:pStyle w:val="TableContents"/>
              <w:bidi w:val="0"/>
              <w:spacing w:before="0" w:after="0"/>
              <w:jc w:val="left"/>
              <w:rPr>
                <w:color w:val="00AE4F"/>
              </w:rPr>
            </w:pPr>
            <w:r>
              <w:rPr>
                <w:color w:val="00AE4F"/>
              </w:rPr>
              <w:t>●</w:t>
            </w:r>
          </w:p>
          <w:p>
            <w:pPr>
              <w:pStyle w:val="TableContents"/>
              <w:bidi w:val="0"/>
              <w:spacing w:before="0" w:after="0"/>
              <w:jc w:val="left"/>
              <w:rPr>
                <w:rFonts w:ascii="arial" w:hAnsi="arial"/>
              </w:rPr>
            </w:pPr>
            <w:r>
              <w:rPr>
                <w:rFonts w:ascii="arial" w:hAnsi="arial"/>
              </w:rPr>
              <w:t>TrueBlue, Inc.</w:t>
            </w:r>
          </w:p>
        </w:tc>
      </w:tr>
    </w:tbl>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201"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74" descr=""/>
                          <pic:cNvPicPr>
                            <a:picLocks noChangeAspect="1" noChangeArrowheads="1"/>
                          </pic:cNvPicPr>
                        </pic:nvPicPr>
                        <pic:blipFill>
                          <a:blip r:embed="rId186"/>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Committee considers peer group and general industry survey data as a point of reference, not the sole factor in determining senior officers’ compensation. The third-party survey data and peer group analysis represent “Market Data” when referenced throughout this Compensation Discussion and Analysis. The Committee considers all resources provided as part of a holistic process that also includes officer performance and the recommendations of the Company’s CEO regarding total compensation for senior officers. </w:t>
      </w:r>
    </w:p>
    <w:p>
      <w:pPr>
        <w:pStyle w:val="TextBody"/>
        <w:bidi w:val="0"/>
        <w:spacing w:before="80" w:after="0"/>
        <w:jc w:val="left"/>
        <w:rPr>
          <w:rFonts w:ascii="arial" w:hAnsi="arial"/>
          <w:sz w:val="18"/>
        </w:rPr>
      </w:pPr>
      <w:r>
        <w:rPr>
          <w:rFonts w:ascii="arial" w:hAnsi="arial"/>
          <w:sz w:val="18"/>
        </w:rPr>
        <w:t xml:space="preserve">In addition to Market Data and for use as background information, management provides the Committee with comprehensive detail illustrating historical target and actual total compensation data and long-term incentive grant detail that includes grant date fair value as well as the intrinsic value of outstanding award opportunities. </w:t>
      </w:r>
    </w:p>
    <w:p>
      <w:pPr>
        <w:pStyle w:val="TextBody"/>
        <w:bidi w:val="0"/>
        <w:spacing w:before="80" w:after="0"/>
        <w:jc w:val="left"/>
        <w:rPr>
          <w:rFonts w:ascii="arial" w:hAnsi="arial"/>
          <w:sz w:val="18"/>
        </w:rPr>
      </w:pPr>
      <w:r>
        <w:rPr>
          <w:rFonts w:ascii="arial" w:hAnsi="arial"/>
          <w:sz w:val="18"/>
        </w:rPr>
        <w:t xml:space="preserve">The Committee reviews this detail for the senior officers and believes it is useful multi-year reference information, along with other perspectives, when making compensation decisions to reflect the Company’s executive compensation philosophy and performance. </w:t>
      </w:r>
    </w:p>
    <w:p>
      <w:pPr>
        <w:pStyle w:val="TextBody"/>
        <w:bidi w:val="0"/>
        <w:spacing w:before="240" w:after="0"/>
        <w:jc w:val="left"/>
        <w:rPr>
          <w:rFonts w:ascii="arial" w:hAnsi="arial"/>
          <w:i/>
          <w:sz w:val="20"/>
        </w:rPr>
      </w:pPr>
      <w:bookmarkStart w:id="63" w:name="txa2837686_2015"/>
      <w:bookmarkStart w:id="64" w:name="toc37355_55"/>
      <w:bookmarkEnd w:id="63"/>
      <w:bookmarkEnd w:id="64"/>
      <w:r>
        <w:rPr>
          <w:rFonts w:ascii="arial" w:hAnsi="arial"/>
          <w:i/>
          <w:sz w:val="20"/>
        </w:rPr>
        <w:t xml:space="preserve">Senior Officer Performance Reviews and Succession Planning </w:t>
      </w:r>
    </w:p>
    <w:p>
      <w:pPr>
        <w:pStyle w:val="TextBody"/>
        <w:bidi w:val="0"/>
        <w:spacing w:before="80" w:after="0"/>
        <w:jc w:val="left"/>
        <w:rPr>
          <w:rFonts w:ascii="arial" w:hAnsi="arial"/>
          <w:sz w:val="18"/>
        </w:rPr>
      </w:pPr>
      <w:r>
        <w:rPr>
          <w:rFonts w:ascii="arial" w:hAnsi="arial"/>
          <w:sz w:val="18"/>
        </w:rPr>
        <w:t xml:space="preserve">Annually, the Committee conducts a comprehensive review of performance, leadership development initiatives, and succession planning for senior officers. Combined, these processes are used to identify, develop, and evaluate the Company’s senior officers. </w:t>
      </w:r>
    </w:p>
    <w:p>
      <w:pPr>
        <w:pStyle w:val="TextBody"/>
        <w:bidi w:val="0"/>
        <w:spacing w:before="120" w:after="0"/>
        <w:jc w:val="left"/>
        <w:rPr>
          <w:rFonts w:ascii="arial" w:hAnsi="arial"/>
          <w:sz w:val="18"/>
        </w:rPr>
      </w:pPr>
      <w:r>
        <w:rPr>
          <w:rFonts w:ascii="arial" w:hAnsi="arial"/>
          <w:sz w:val="18"/>
        </w:rPr>
        <w:t xml:space="preserve">The Chief People Officer, with input from the CEO, prepares detailed executive performance review information for each of the senior officers, including named executive officers (other than the CEO). The performance review information for each of the senior officers includes key annual initiatives, performance results, and development opportunities. The CEO reviews the performance of the other senior officers and presents their individual performance assessments, development plans, and succession strategies to the Committee. </w:t>
      </w:r>
    </w:p>
    <w:p>
      <w:pPr>
        <w:pStyle w:val="TextBody"/>
        <w:bidi w:val="0"/>
        <w:spacing w:before="80" w:after="0"/>
        <w:jc w:val="left"/>
        <w:rPr>
          <w:rFonts w:ascii="arial" w:hAnsi="arial"/>
          <w:sz w:val="18"/>
        </w:rPr>
      </w:pPr>
      <w:r>
        <w:rPr>
          <w:rFonts w:ascii="arial" w:hAnsi="arial"/>
          <w:sz w:val="18"/>
        </w:rPr>
        <w:t xml:space="preserve">During the individual performance assessments, the Committee asks questions, renders advice, and makes recommendations on matters that include individual development needs, succession planning, and retention. Senior officers are not present during the discussion of their performance by the Committee. The Committee uses each executive’s individual performance assessment, the compensation analysis discussed in the previous section, and the recommendations of the CEO, to determine compensation for the senior officers. </w:t>
      </w:r>
    </w:p>
    <w:p>
      <w:pPr>
        <w:pStyle w:val="TextBody"/>
        <w:bidi w:val="0"/>
        <w:spacing w:before="80" w:after="0"/>
        <w:jc w:val="left"/>
        <w:rPr>
          <w:rFonts w:ascii="arial" w:hAnsi="arial"/>
          <w:sz w:val="18"/>
        </w:rPr>
      </w:pPr>
      <w:r>
        <w:rPr>
          <w:rFonts w:ascii="arial" w:hAnsi="arial"/>
          <w:sz w:val="18"/>
        </w:rPr>
        <w:t>As our CEO joined Kelly in September 2025, at the November meeting, he presented the progress of his onboarding plan and the Committee provided feedback.</w:t>
      </w:r>
    </w:p>
    <w:p>
      <w:pPr>
        <w:pStyle w:val="TextBody"/>
        <w:bidi w:val="0"/>
        <w:spacing w:before="80" w:after="0"/>
        <w:jc w:val="left"/>
        <w:rPr>
          <w:rFonts w:ascii="arial" w:hAnsi="arial"/>
          <w:sz w:val="18"/>
        </w:rPr>
      </w:pPr>
      <w:r>
        <w:rPr>
          <w:rFonts w:ascii="arial" w:hAnsi="arial"/>
          <w:sz w:val="18"/>
        </w:rPr>
        <w:t xml:space="preserve">Periodic sessions are held to discuss talent and development for multiple levels of the organization, increasing transparency and understanding of talent across leadership teams and business units. Development plans are crafted to prepare emerging talent for future opportunities, including stretch assignments, formal training, experiential learning opportunities and formal coaching. </w:t>
      </w:r>
    </w:p>
    <w:p>
      <w:pPr>
        <w:pStyle w:val="TextBody"/>
        <w:bidi w:val="0"/>
        <w:spacing w:before="80" w:after="0"/>
        <w:jc w:val="left"/>
        <w:rPr>
          <w:rFonts w:ascii="arial" w:hAnsi="arial"/>
          <w:sz w:val="18"/>
        </w:rPr>
      </w:pPr>
      <w:r>
        <w:rPr>
          <w:rFonts w:ascii="arial" w:hAnsi="arial"/>
          <w:sz w:val="18"/>
        </w:rPr>
        <w:t>The Board approves the Company’s executive succession plan annually, including updates, and in connection with the performance assessments. The plan includes all executives at the senior officer level, as well as their potential successors from within the Company in the event of an emergency or departure of a senior officer. Documentation includes detailed executive performance review information as discussed above, readiness assessments, and a review of the health and unique attributes of succession pipelines.</w:t>
      </w:r>
    </w:p>
    <w:p>
      <w:pPr>
        <w:pStyle w:val="TextBody"/>
        <w:bidi w:val="0"/>
        <w:spacing w:before="240" w:after="0"/>
        <w:jc w:val="left"/>
        <w:rPr>
          <w:rFonts w:ascii="arial" w:hAnsi="arial"/>
          <w:b/>
          <w:sz w:val="24"/>
        </w:rPr>
      </w:pPr>
      <w:bookmarkStart w:id="65" w:name="txa2837686_2016"/>
      <w:bookmarkStart w:id="66" w:name="toc37355_56"/>
      <w:bookmarkEnd w:id="65"/>
      <w:bookmarkEnd w:id="66"/>
      <w:r>
        <w:rPr>
          <w:rFonts w:ascii="arial" w:hAnsi="arial"/>
          <w:b/>
          <w:sz w:val="24"/>
        </w:rPr>
        <w:t xml:space="preserve">Compensation Programs: Decisions and Actions in 2025 </w:t>
      </w:r>
    </w:p>
    <w:p>
      <w:pPr>
        <w:pStyle w:val="TextBody"/>
        <w:bidi w:val="0"/>
        <w:spacing w:before="80" w:after="0"/>
        <w:jc w:val="left"/>
        <w:rPr>
          <w:rFonts w:ascii="arial" w:hAnsi="arial"/>
          <w:i/>
          <w:sz w:val="20"/>
        </w:rPr>
      </w:pPr>
      <w:bookmarkStart w:id="67" w:name="txa2837686_2017"/>
      <w:bookmarkStart w:id="68" w:name="toc37355_57"/>
      <w:bookmarkEnd w:id="67"/>
      <w:bookmarkEnd w:id="68"/>
      <w:r>
        <w:rPr>
          <w:rFonts w:ascii="arial" w:hAnsi="arial"/>
          <w:i/>
          <w:sz w:val="20"/>
        </w:rPr>
        <w:t xml:space="preserve">Base Salary </w:t>
      </w:r>
    </w:p>
    <w:p>
      <w:pPr>
        <w:pStyle w:val="TextBody"/>
        <w:bidi w:val="0"/>
        <w:spacing w:before="80" w:after="0"/>
        <w:jc w:val="left"/>
        <w:rPr>
          <w:rFonts w:ascii="arial" w:hAnsi="arial"/>
          <w:sz w:val="18"/>
        </w:rPr>
      </w:pPr>
      <w:r>
        <w:rPr>
          <w:rFonts w:ascii="arial" w:hAnsi="arial"/>
          <w:sz w:val="18"/>
        </w:rPr>
        <w:t xml:space="preserve">We set base salaries for named executive officers within a competitive range of market median to attract and retain talent. Based on November 2025 Market Data, our named executive officers’ base salaries were, on average, within this competitive range. Base salary is one component of target total direct compensation and may be adjusted to achieve overall compensation objectives. </w:t>
      </w:r>
    </w:p>
    <w:p>
      <w:pPr>
        <w:pStyle w:val="TextBody"/>
        <w:bidi w:val="0"/>
        <w:spacing w:before="80" w:after="0"/>
        <w:jc w:val="left"/>
        <w:rPr>
          <w:rFonts w:ascii="arial" w:hAnsi="arial"/>
          <w:sz w:val="18"/>
        </w:rPr>
      </w:pPr>
      <w:r>
        <w:rPr>
          <w:rFonts w:ascii="arial" w:hAnsi="arial"/>
          <w:sz w:val="18"/>
        </w:rPr>
        <w:t xml:space="preserve">The Committee reviews the base salaries annually (or when duties change) considering role scope and responsibilities, individual experience and performance, Market Data positioning, internal pay equity, CEO recommendations, and the Company’s salary adjustment budget. </w:t>
      </w:r>
    </w:p>
    <w:p>
      <w:pPr>
        <w:pStyle w:val="TextBody"/>
        <w:bidi w:val="0"/>
        <w:spacing w:before="80" w:after="0"/>
        <w:jc w:val="left"/>
        <w:rPr>
          <w:rFonts w:ascii="arial" w:hAnsi="arial"/>
          <w:sz w:val="18"/>
        </w:rPr>
      </w:pPr>
      <w:r>
        <w:rPr>
          <w:rFonts w:ascii="arial" w:hAnsi="arial"/>
          <w:sz w:val="18"/>
        </w:rPr>
        <w:t xml:space="preserve">Annual total compensation reviews for all employees, including the named executive officers, typically occur in the first quarter of the year. The Company performed a compensation review which resulted in three named executive officers receiving a base salary increase, to better align with market and overall scope of their roles, for 2025. </w:t>
      </w:r>
    </w:p>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54 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202"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75" descr=""/>
                          <pic:cNvPicPr>
                            <a:picLocks noChangeAspect="1" noChangeArrowheads="1"/>
                          </pic:cNvPicPr>
                        </pic:nvPicPr>
                        <pic:blipFill>
                          <a:blip r:embed="rId187"/>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In consideration of the factors noted above the following base salaries for the named executive officers were approved by the Committee in 2025: </w:t>
      </w:r>
    </w:p>
    <w:p>
      <w:pPr>
        <w:pStyle w:val="TextBody"/>
        <w:bidi w:val="0"/>
        <w:spacing w:before="0" w:after="0"/>
        <w:jc w:val="left"/>
        <w:rPr/>
      </w:pPr>
      <w:r>
        <w:rPr/>
        <w:t> </w:t>
      </w:r>
    </w:p>
    <w:tbl>
      <w:tblPr>
        <w:tblW w:w="6809" w:type="dxa"/>
        <w:jc w:val="left"/>
        <w:tblInd w:w="0" w:type="dxa"/>
        <w:tblLayout w:type="fixed"/>
        <w:tblCellMar>
          <w:top w:w="0" w:type="dxa"/>
          <w:left w:w="0" w:type="dxa"/>
          <w:bottom w:w="0" w:type="dxa"/>
          <w:right w:w="0" w:type="dxa"/>
        </w:tblCellMar>
      </w:tblPr>
      <w:tblGrid>
        <w:gridCol w:w="2675"/>
        <w:gridCol w:w="120"/>
        <w:gridCol w:w="60"/>
        <w:gridCol w:w="140"/>
        <w:gridCol w:w="800"/>
        <w:gridCol w:w="60"/>
        <w:gridCol w:w="120"/>
        <w:gridCol w:w="60"/>
        <w:gridCol w:w="140"/>
        <w:gridCol w:w="980"/>
        <w:gridCol w:w="60"/>
        <w:gridCol w:w="120"/>
        <w:gridCol w:w="111"/>
        <w:gridCol w:w="111"/>
        <w:gridCol w:w="820"/>
        <w:gridCol w:w="432"/>
      </w:tblGrid>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2675" w:type="dxa"/>
            <w:tcBorders>
              <w:bottom w:val="single" w:sz="8" w:space="0" w:color="000000"/>
            </w:tcBorders>
            <w:tcMar>
              <w:bottom w:w="40" w:type="dxa"/>
            </w:tcMar>
            <w:vAlign w:val="center"/>
          </w:tcPr>
          <w:p>
            <w:pPr>
              <w:pStyle w:val="TableContents"/>
              <w:bidi w:val="0"/>
              <w:spacing w:before="0" w:after="283"/>
              <w:jc w:val="left"/>
              <w:rPr>
                <w:color w:val="00AE4F"/>
              </w:rPr>
            </w:pPr>
            <w:r>
              <w:rPr>
                <w:color w:val="00AE4F"/>
              </w:rPr>
              <w:t>  </w:t>
            </w:r>
            <w:r>
              <w:rPr>
                <w:b/>
                <w:color w:val="00AE4F"/>
              </w:rPr>
              <w:t>Named Executive Officer</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60"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2024 Base</w:t>
              <w:br/>
              <w:t>Salary</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40"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2025 Base</w:t>
              <w:br/>
              <w:t>Salary</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74"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Adjustment%</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180" w:type="dxa"/>
            <w:gridSpan w:val="5"/>
            <w:tcBorders/>
            <w:vAlign w:val="center"/>
          </w:tcPr>
          <w:p>
            <w:pPr>
              <w:pStyle w:val="TableContents"/>
              <w:bidi w:val="0"/>
              <w:spacing w:before="0" w:after="283"/>
              <w:jc w:val="left"/>
              <w:rPr>
                <w:sz w:val="4"/>
                <w:szCs w:val="4"/>
              </w:rPr>
            </w:pPr>
            <w:r>
              <w:rPr>
                <w:sz w:val="4"/>
                <w:szCs w:val="4"/>
              </w:rPr>
            </w:r>
          </w:p>
        </w:tc>
        <w:tc>
          <w:tcPr>
            <w:tcW w:w="1360" w:type="dxa"/>
            <w:gridSpan w:val="5"/>
            <w:tcBorders/>
            <w:vAlign w:val="center"/>
          </w:tcPr>
          <w:p>
            <w:pPr>
              <w:pStyle w:val="TableContents"/>
              <w:bidi w:val="0"/>
              <w:spacing w:before="0" w:after="283"/>
              <w:jc w:val="left"/>
              <w:rPr>
                <w:sz w:val="4"/>
                <w:szCs w:val="4"/>
              </w:rPr>
            </w:pPr>
            <w:r>
              <w:rPr>
                <w:sz w:val="4"/>
                <w:szCs w:val="4"/>
              </w:rPr>
            </w:r>
          </w:p>
        </w:tc>
        <w:tc>
          <w:tcPr>
            <w:tcW w:w="1594" w:type="dxa"/>
            <w:gridSpan w:val="5"/>
            <w:tcBorders/>
            <w:vAlign w:val="center"/>
          </w:tcPr>
          <w:p>
            <w:pPr>
              <w:pStyle w:val="TableContents"/>
              <w:bidi w:val="0"/>
              <w:spacing w:before="0" w:after="283"/>
              <w:jc w:val="left"/>
              <w:rPr>
                <w:sz w:val="4"/>
                <w:szCs w:val="4"/>
              </w:rPr>
            </w:pPr>
            <w:r>
              <w:rPr>
                <w:sz w:val="4"/>
                <w:szCs w:val="4"/>
              </w:rPr>
            </w:r>
          </w:p>
        </w:tc>
      </w:tr>
      <w:tr>
        <w:trPr/>
        <w:tc>
          <w:tcPr>
            <w:tcW w:w="267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Christopher D. Layden</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40" w:type="dxa"/>
            </w:tcMar>
            <w:vAlign w:val="center"/>
          </w:tcPr>
          <w:p>
            <w:pPr>
              <w:pStyle w:val="TableContents"/>
              <w:bidi w:val="0"/>
              <w:spacing w:before="0" w:after="283"/>
              <w:jc w:val="left"/>
              <w:rPr/>
            </w:pPr>
            <w:r>
              <w:rPr/>
              <w:t> </w:t>
            </w:r>
          </w:p>
        </w:tc>
        <w:tc>
          <w:tcPr>
            <w:tcW w:w="800" w:type="dxa"/>
            <w:tcBorders>
              <w:bottom w:val="single" w:sz="6" w:space="0" w:color="7F7F7F"/>
            </w:tcBorders>
            <w:tcMar>
              <w:bottom w:w="40" w:type="dxa"/>
            </w:tcMar>
            <w:vAlign w:val="center"/>
          </w:tcPr>
          <w:p>
            <w:pPr>
              <w:pStyle w:val="TableContents"/>
              <w:bidi w:val="0"/>
              <w:spacing w:before="0" w:after="283"/>
              <w:jc w:val="righ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980" w:type="dxa"/>
            <w:tcBorders>
              <w:bottom w:val="single" w:sz="6" w:space="0" w:color="7F7F7F"/>
            </w:tcBorders>
            <w:tcMar>
              <w:bottom w:w="40" w:type="dxa"/>
            </w:tcMar>
            <w:vAlign w:val="center"/>
          </w:tcPr>
          <w:p>
            <w:pPr>
              <w:pStyle w:val="TableContents"/>
              <w:bidi w:val="0"/>
              <w:spacing w:before="0" w:after="283"/>
              <w:jc w:val="right"/>
              <w:rPr/>
            </w:pPr>
            <w:r>
              <w:rPr/>
              <w:t>1,000,000</w:t>
            </w:r>
          </w:p>
        </w:tc>
        <w:tc>
          <w:tcPr>
            <w:tcW w:w="6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11" w:type="dxa"/>
            <w:tcBorders>
              <w:bottom w:val="single" w:sz="6" w:space="0" w:color="7F7F7F"/>
            </w:tcBorders>
            <w:tcMar>
              <w:bottom w:w="28" w:type="dxa"/>
            </w:tcMar>
            <w:vAlign w:val="center"/>
          </w:tcPr>
          <w:p>
            <w:pPr>
              <w:pStyle w:val="TableContents"/>
              <w:bidi w:val="0"/>
              <w:spacing w:before="0" w:after="283"/>
              <w:jc w:val="left"/>
              <w:rPr/>
            </w:pPr>
            <w:r>
              <w:rPr/>
              <w:t> </w:t>
            </w:r>
          </w:p>
        </w:tc>
        <w:tc>
          <w:tcPr>
            <w:tcW w:w="111" w:type="dxa"/>
            <w:tcBorders>
              <w:bottom w:val="single" w:sz="6" w:space="0" w:color="7F7F7F"/>
            </w:tcBorders>
            <w:tcMar>
              <w:bottom w:w="40" w:type="dxa"/>
            </w:tcMar>
            <w:vAlign w:val="center"/>
          </w:tcPr>
          <w:p>
            <w:pPr>
              <w:pStyle w:val="TableContents"/>
              <w:bidi w:val="0"/>
              <w:spacing w:before="0" w:after="283"/>
              <w:jc w:val="left"/>
              <w:rPr/>
            </w:pPr>
            <w:r>
              <w:rPr/>
              <w:t> </w:t>
            </w:r>
          </w:p>
        </w:tc>
        <w:tc>
          <w:tcPr>
            <w:tcW w:w="820" w:type="dxa"/>
            <w:tcBorders>
              <w:bottom w:val="single" w:sz="6" w:space="0" w:color="7F7F7F"/>
            </w:tcBorders>
            <w:tcMar>
              <w:bottom w:w="40" w:type="dxa"/>
            </w:tcMar>
            <w:vAlign w:val="center"/>
          </w:tcPr>
          <w:p>
            <w:pPr>
              <w:pStyle w:val="TableContents"/>
              <w:bidi w:val="0"/>
              <w:spacing w:before="0" w:after="283"/>
              <w:jc w:val="right"/>
              <w:rPr/>
            </w:pPr>
            <w:r>
              <w:rPr/>
              <w:t>0.0</w:t>
            </w:r>
          </w:p>
        </w:tc>
        <w:tc>
          <w:tcPr>
            <w:tcW w:w="432" w:type="dxa"/>
            <w:tcBorders>
              <w:bottom w:val="single" w:sz="6" w:space="0" w:color="7F7F7F"/>
            </w:tcBorders>
            <w:tcMar>
              <w:bottom w:w="40" w:type="dxa"/>
            </w:tcMar>
            <w:vAlign w:val="center"/>
          </w:tcPr>
          <w:p>
            <w:pPr>
              <w:pStyle w:val="TableContents"/>
              <w:bidi w:val="0"/>
              <w:spacing w:before="0" w:after="283"/>
              <w:jc w:val="left"/>
              <w:rPr/>
            </w:pPr>
            <w:r>
              <w:rPr/>
              <w:t>%</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180" w:type="dxa"/>
            <w:gridSpan w:val="5"/>
            <w:tcBorders/>
            <w:vAlign w:val="center"/>
          </w:tcPr>
          <w:p>
            <w:pPr>
              <w:pStyle w:val="TableContents"/>
              <w:bidi w:val="0"/>
              <w:spacing w:before="0" w:after="283"/>
              <w:jc w:val="left"/>
              <w:rPr>
                <w:sz w:val="4"/>
                <w:szCs w:val="4"/>
              </w:rPr>
            </w:pPr>
            <w:r>
              <w:rPr>
                <w:sz w:val="4"/>
                <w:szCs w:val="4"/>
              </w:rPr>
            </w:r>
          </w:p>
        </w:tc>
        <w:tc>
          <w:tcPr>
            <w:tcW w:w="1360" w:type="dxa"/>
            <w:gridSpan w:val="5"/>
            <w:tcBorders/>
            <w:vAlign w:val="center"/>
          </w:tcPr>
          <w:p>
            <w:pPr>
              <w:pStyle w:val="TableContents"/>
              <w:bidi w:val="0"/>
              <w:spacing w:before="0" w:after="283"/>
              <w:jc w:val="left"/>
              <w:rPr>
                <w:sz w:val="4"/>
                <w:szCs w:val="4"/>
              </w:rPr>
            </w:pPr>
            <w:r>
              <w:rPr>
                <w:sz w:val="4"/>
                <w:szCs w:val="4"/>
              </w:rPr>
            </w:r>
          </w:p>
        </w:tc>
        <w:tc>
          <w:tcPr>
            <w:tcW w:w="1594" w:type="dxa"/>
            <w:gridSpan w:val="5"/>
            <w:tcBorders/>
            <w:vAlign w:val="center"/>
          </w:tcPr>
          <w:p>
            <w:pPr>
              <w:pStyle w:val="TableContents"/>
              <w:bidi w:val="0"/>
              <w:spacing w:before="0" w:after="283"/>
              <w:jc w:val="left"/>
              <w:rPr>
                <w:sz w:val="4"/>
                <w:szCs w:val="4"/>
              </w:rPr>
            </w:pPr>
            <w:r>
              <w:rPr>
                <w:sz w:val="4"/>
                <w:szCs w:val="4"/>
              </w:rPr>
            </w:r>
          </w:p>
        </w:tc>
      </w:tr>
      <w:tr>
        <w:trPr/>
        <w:tc>
          <w:tcPr>
            <w:tcW w:w="267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Troy R. Anderson</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800" w:type="dxa"/>
            <w:tcBorders>
              <w:bottom w:val="single" w:sz="6" w:space="0" w:color="7F7F7F"/>
            </w:tcBorders>
            <w:tcMar>
              <w:bottom w:w="40" w:type="dxa"/>
            </w:tcMar>
            <w:vAlign w:val="center"/>
          </w:tcPr>
          <w:p>
            <w:pPr>
              <w:pStyle w:val="TableContents"/>
              <w:bidi w:val="0"/>
              <w:spacing w:before="0" w:after="283"/>
              <w:jc w:val="right"/>
              <w:rPr/>
            </w:pPr>
            <w:r>
              <w:rPr/>
              <w:t>650,000</w:t>
            </w:r>
          </w:p>
        </w:tc>
        <w:tc>
          <w:tcPr>
            <w:tcW w:w="6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980" w:type="dxa"/>
            <w:tcBorders>
              <w:bottom w:val="single" w:sz="6" w:space="0" w:color="7F7F7F"/>
            </w:tcBorders>
            <w:tcMar>
              <w:bottom w:w="40" w:type="dxa"/>
            </w:tcMar>
            <w:vAlign w:val="center"/>
          </w:tcPr>
          <w:p>
            <w:pPr>
              <w:pStyle w:val="TableContents"/>
              <w:bidi w:val="0"/>
              <w:spacing w:before="0" w:after="283"/>
              <w:jc w:val="right"/>
              <w:rPr/>
            </w:pPr>
            <w:r>
              <w:rPr/>
              <w:t>650,000</w:t>
            </w:r>
          </w:p>
        </w:tc>
        <w:tc>
          <w:tcPr>
            <w:tcW w:w="6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11" w:type="dxa"/>
            <w:tcBorders>
              <w:bottom w:val="single" w:sz="6" w:space="0" w:color="7F7F7F"/>
            </w:tcBorders>
            <w:tcMar>
              <w:bottom w:w="28" w:type="dxa"/>
            </w:tcMar>
            <w:vAlign w:val="center"/>
          </w:tcPr>
          <w:p>
            <w:pPr>
              <w:pStyle w:val="TableContents"/>
              <w:bidi w:val="0"/>
              <w:spacing w:before="0" w:after="283"/>
              <w:jc w:val="left"/>
              <w:rPr/>
            </w:pPr>
            <w:r>
              <w:rPr/>
              <w:t> </w:t>
            </w:r>
          </w:p>
        </w:tc>
        <w:tc>
          <w:tcPr>
            <w:tcW w:w="111" w:type="dxa"/>
            <w:tcBorders>
              <w:bottom w:val="single" w:sz="6" w:space="0" w:color="7F7F7F"/>
            </w:tcBorders>
            <w:tcMar>
              <w:bottom w:w="40" w:type="dxa"/>
            </w:tcMar>
            <w:vAlign w:val="center"/>
          </w:tcPr>
          <w:p>
            <w:pPr>
              <w:pStyle w:val="TableContents"/>
              <w:bidi w:val="0"/>
              <w:spacing w:before="0" w:after="283"/>
              <w:jc w:val="left"/>
              <w:rPr/>
            </w:pPr>
            <w:r>
              <w:rPr/>
              <w:t> </w:t>
            </w:r>
          </w:p>
        </w:tc>
        <w:tc>
          <w:tcPr>
            <w:tcW w:w="820" w:type="dxa"/>
            <w:tcBorders>
              <w:bottom w:val="single" w:sz="6" w:space="0" w:color="7F7F7F"/>
            </w:tcBorders>
            <w:tcMar>
              <w:bottom w:w="40" w:type="dxa"/>
            </w:tcMar>
            <w:vAlign w:val="center"/>
          </w:tcPr>
          <w:p>
            <w:pPr>
              <w:pStyle w:val="TableContents"/>
              <w:bidi w:val="0"/>
              <w:spacing w:before="0" w:after="283"/>
              <w:jc w:val="right"/>
              <w:rPr/>
            </w:pPr>
            <w:r>
              <w:rPr/>
              <w:t>0.0</w:t>
            </w:r>
          </w:p>
        </w:tc>
        <w:tc>
          <w:tcPr>
            <w:tcW w:w="432" w:type="dxa"/>
            <w:tcBorders>
              <w:bottom w:val="single" w:sz="6" w:space="0" w:color="7F7F7F"/>
            </w:tcBorders>
            <w:tcMar>
              <w:bottom w:w="40" w:type="dxa"/>
            </w:tcMar>
            <w:vAlign w:val="center"/>
          </w:tcPr>
          <w:p>
            <w:pPr>
              <w:pStyle w:val="TableContents"/>
              <w:bidi w:val="0"/>
              <w:spacing w:before="0" w:after="283"/>
              <w:jc w:val="left"/>
              <w:rPr/>
            </w:pPr>
            <w:r>
              <w:rPr/>
              <w:t>%</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180" w:type="dxa"/>
            <w:gridSpan w:val="5"/>
            <w:tcBorders/>
            <w:vAlign w:val="center"/>
          </w:tcPr>
          <w:p>
            <w:pPr>
              <w:pStyle w:val="TableContents"/>
              <w:bidi w:val="0"/>
              <w:spacing w:before="0" w:after="283"/>
              <w:jc w:val="left"/>
              <w:rPr>
                <w:sz w:val="4"/>
                <w:szCs w:val="4"/>
              </w:rPr>
            </w:pPr>
            <w:r>
              <w:rPr>
                <w:sz w:val="4"/>
                <w:szCs w:val="4"/>
              </w:rPr>
            </w:r>
          </w:p>
        </w:tc>
        <w:tc>
          <w:tcPr>
            <w:tcW w:w="1360" w:type="dxa"/>
            <w:gridSpan w:val="5"/>
            <w:tcBorders/>
            <w:vAlign w:val="center"/>
          </w:tcPr>
          <w:p>
            <w:pPr>
              <w:pStyle w:val="TableContents"/>
              <w:bidi w:val="0"/>
              <w:spacing w:before="0" w:after="283"/>
              <w:jc w:val="left"/>
              <w:rPr>
                <w:sz w:val="4"/>
                <w:szCs w:val="4"/>
              </w:rPr>
            </w:pPr>
            <w:r>
              <w:rPr>
                <w:sz w:val="4"/>
                <w:szCs w:val="4"/>
              </w:rPr>
            </w:r>
          </w:p>
        </w:tc>
        <w:tc>
          <w:tcPr>
            <w:tcW w:w="1594" w:type="dxa"/>
            <w:gridSpan w:val="5"/>
            <w:tcBorders/>
            <w:vAlign w:val="center"/>
          </w:tcPr>
          <w:p>
            <w:pPr>
              <w:pStyle w:val="TableContents"/>
              <w:bidi w:val="0"/>
              <w:spacing w:before="0" w:after="283"/>
              <w:jc w:val="left"/>
              <w:rPr>
                <w:sz w:val="4"/>
                <w:szCs w:val="4"/>
              </w:rPr>
            </w:pPr>
            <w:r>
              <w:rPr>
                <w:sz w:val="4"/>
                <w:szCs w:val="4"/>
              </w:rPr>
            </w:r>
          </w:p>
        </w:tc>
      </w:tr>
      <w:tr>
        <w:trPr/>
        <w:tc>
          <w:tcPr>
            <w:tcW w:w="267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Tammy L. Browning</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800" w:type="dxa"/>
            <w:tcBorders>
              <w:bottom w:val="single" w:sz="6" w:space="0" w:color="7F7F7F"/>
            </w:tcBorders>
            <w:tcMar>
              <w:bottom w:w="40" w:type="dxa"/>
            </w:tcMar>
            <w:vAlign w:val="center"/>
          </w:tcPr>
          <w:p>
            <w:pPr>
              <w:pStyle w:val="TableContents"/>
              <w:bidi w:val="0"/>
              <w:spacing w:before="0" w:after="283"/>
              <w:jc w:val="right"/>
              <w:rPr/>
            </w:pPr>
            <w:r>
              <w:rPr/>
              <w:t>421,000</w:t>
            </w:r>
          </w:p>
        </w:tc>
        <w:tc>
          <w:tcPr>
            <w:tcW w:w="6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980" w:type="dxa"/>
            <w:tcBorders>
              <w:bottom w:val="single" w:sz="6" w:space="0" w:color="7F7F7F"/>
            </w:tcBorders>
            <w:tcMar>
              <w:bottom w:w="40" w:type="dxa"/>
            </w:tcMar>
            <w:vAlign w:val="center"/>
          </w:tcPr>
          <w:p>
            <w:pPr>
              <w:pStyle w:val="TableContents"/>
              <w:bidi w:val="0"/>
              <w:spacing w:before="0" w:after="283"/>
              <w:jc w:val="right"/>
              <w:rPr/>
            </w:pPr>
            <w:r>
              <w:rPr/>
              <w:t>463,000</w:t>
            </w:r>
          </w:p>
        </w:tc>
        <w:tc>
          <w:tcPr>
            <w:tcW w:w="6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11" w:type="dxa"/>
            <w:tcBorders>
              <w:bottom w:val="single" w:sz="6" w:space="0" w:color="7F7F7F"/>
            </w:tcBorders>
            <w:tcMar>
              <w:bottom w:w="28" w:type="dxa"/>
            </w:tcMar>
            <w:vAlign w:val="center"/>
          </w:tcPr>
          <w:p>
            <w:pPr>
              <w:pStyle w:val="TableContents"/>
              <w:bidi w:val="0"/>
              <w:spacing w:before="0" w:after="283"/>
              <w:jc w:val="left"/>
              <w:rPr/>
            </w:pPr>
            <w:r>
              <w:rPr/>
              <w:t> </w:t>
            </w:r>
          </w:p>
        </w:tc>
        <w:tc>
          <w:tcPr>
            <w:tcW w:w="111" w:type="dxa"/>
            <w:tcBorders>
              <w:bottom w:val="single" w:sz="6" w:space="0" w:color="7F7F7F"/>
            </w:tcBorders>
            <w:tcMar>
              <w:bottom w:w="40" w:type="dxa"/>
            </w:tcMar>
            <w:vAlign w:val="center"/>
          </w:tcPr>
          <w:p>
            <w:pPr>
              <w:pStyle w:val="TableContents"/>
              <w:bidi w:val="0"/>
              <w:spacing w:before="0" w:after="283"/>
              <w:jc w:val="left"/>
              <w:rPr/>
            </w:pPr>
            <w:r>
              <w:rPr/>
              <w:t> </w:t>
            </w:r>
          </w:p>
        </w:tc>
        <w:tc>
          <w:tcPr>
            <w:tcW w:w="820" w:type="dxa"/>
            <w:tcBorders>
              <w:bottom w:val="single" w:sz="6" w:space="0" w:color="7F7F7F"/>
            </w:tcBorders>
            <w:tcMar>
              <w:bottom w:w="40" w:type="dxa"/>
            </w:tcMar>
            <w:vAlign w:val="center"/>
          </w:tcPr>
          <w:p>
            <w:pPr>
              <w:pStyle w:val="TableContents"/>
              <w:bidi w:val="0"/>
              <w:spacing w:before="0" w:after="283"/>
              <w:jc w:val="right"/>
              <w:rPr/>
            </w:pPr>
            <w:r>
              <w:rPr/>
              <w:t>10.0</w:t>
            </w:r>
          </w:p>
        </w:tc>
        <w:tc>
          <w:tcPr>
            <w:tcW w:w="432" w:type="dxa"/>
            <w:tcBorders>
              <w:bottom w:val="single" w:sz="6" w:space="0" w:color="7F7F7F"/>
            </w:tcBorders>
            <w:tcMar>
              <w:bottom w:w="40" w:type="dxa"/>
            </w:tcMar>
            <w:vAlign w:val="center"/>
          </w:tcPr>
          <w:p>
            <w:pPr>
              <w:pStyle w:val="TableContents"/>
              <w:bidi w:val="0"/>
              <w:spacing w:before="0" w:after="283"/>
              <w:jc w:val="left"/>
              <w:rPr/>
            </w:pPr>
            <w:r>
              <w:rPr/>
              <w:t>%</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180" w:type="dxa"/>
            <w:gridSpan w:val="5"/>
            <w:tcBorders/>
            <w:vAlign w:val="center"/>
          </w:tcPr>
          <w:p>
            <w:pPr>
              <w:pStyle w:val="TableContents"/>
              <w:bidi w:val="0"/>
              <w:spacing w:before="0" w:after="283"/>
              <w:jc w:val="left"/>
              <w:rPr>
                <w:sz w:val="4"/>
                <w:szCs w:val="4"/>
              </w:rPr>
            </w:pPr>
            <w:r>
              <w:rPr>
                <w:sz w:val="4"/>
                <w:szCs w:val="4"/>
              </w:rPr>
            </w:r>
          </w:p>
        </w:tc>
        <w:tc>
          <w:tcPr>
            <w:tcW w:w="1360" w:type="dxa"/>
            <w:gridSpan w:val="5"/>
            <w:tcBorders/>
            <w:vAlign w:val="center"/>
          </w:tcPr>
          <w:p>
            <w:pPr>
              <w:pStyle w:val="TableContents"/>
              <w:bidi w:val="0"/>
              <w:spacing w:before="0" w:after="283"/>
              <w:jc w:val="left"/>
              <w:rPr>
                <w:sz w:val="4"/>
                <w:szCs w:val="4"/>
              </w:rPr>
            </w:pPr>
            <w:r>
              <w:rPr>
                <w:sz w:val="4"/>
                <w:szCs w:val="4"/>
              </w:rPr>
            </w:r>
          </w:p>
        </w:tc>
        <w:tc>
          <w:tcPr>
            <w:tcW w:w="1594" w:type="dxa"/>
            <w:gridSpan w:val="5"/>
            <w:tcBorders/>
            <w:vAlign w:val="center"/>
          </w:tcPr>
          <w:p>
            <w:pPr>
              <w:pStyle w:val="TableContents"/>
              <w:bidi w:val="0"/>
              <w:spacing w:before="0" w:after="283"/>
              <w:jc w:val="left"/>
              <w:rPr>
                <w:sz w:val="4"/>
                <w:szCs w:val="4"/>
              </w:rPr>
            </w:pPr>
            <w:r>
              <w:rPr>
                <w:sz w:val="4"/>
                <w:szCs w:val="4"/>
              </w:rPr>
            </w:r>
          </w:p>
        </w:tc>
      </w:tr>
      <w:tr>
        <w:trPr/>
        <w:tc>
          <w:tcPr>
            <w:tcW w:w="267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Vanessa P. Williams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800" w:type="dxa"/>
            <w:tcBorders>
              <w:bottom w:val="single" w:sz="6" w:space="0" w:color="7F7F7F"/>
            </w:tcBorders>
            <w:tcMar>
              <w:bottom w:w="40" w:type="dxa"/>
            </w:tcMar>
            <w:vAlign w:val="center"/>
          </w:tcPr>
          <w:p>
            <w:pPr>
              <w:pStyle w:val="TableContents"/>
              <w:bidi w:val="0"/>
              <w:spacing w:before="0" w:after="283"/>
              <w:jc w:val="right"/>
              <w:rPr/>
            </w:pPr>
            <w:r>
              <w:rPr/>
              <w:t>500,000</w:t>
            </w:r>
          </w:p>
        </w:tc>
        <w:tc>
          <w:tcPr>
            <w:tcW w:w="6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980" w:type="dxa"/>
            <w:tcBorders>
              <w:bottom w:val="single" w:sz="6" w:space="0" w:color="7F7F7F"/>
            </w:tcBorders>
            <w:tcMar>
              <w:bottom w:w="40" w:type="dxa"/>
            </w:tcMar>
            <w:vAlign w:val="center"/>
          </w:tcPr>
          <w:p>
            <w:pPr>
              <w:pStyle w:val="TableContents"/>
              <w:bidi w:val="0"/>
              <w:spacing w:before="0" w:after="283"/>
              <w:jc w:val="right"/>
              <w:rPr/>
            </w:pPr>
            <w:r>
              <w:rPr/>
              <w:t>525,000</w:t>
            </w:r>
          </w:p>
        </w:tc>
        <w:tc>
          <w:tcPr>
            <w:tcW w:w="6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11" w:type="dxa"/>
            <w:tcBorders>
              <w:bottom w:val="single" w:sz="6" w:space="0" w:color="7F7F7F"/>
            </w:tcBorders>
            <w:tcMar>
              <w:bottom w:w="28" w:type="dxa"/>
            </w:tcMar>
            <w:vAlign w:val="center"/>
          </w:tcPr>
          <w:p>
            <w:pPr>
              <w:pStyle w:val="TableContents"/>
              <w:bidi w:val="0"/>
              <w:spacing w:before="0" w:after="283"/>
              <w:jc w:val="left"/>
              <w:rPr/>
            </w:pPr>
            <w:r>
              <w:rPr/>
              <w:t> </w:t>
            </w:r>
          </w:p>
        </w:tc>
        <w:tc>
          <w:tcPr>
            <w:tcW w:w="111" w:type="dxa"/>
            <w:tcBorders>
              <w:bottom w:val="single" w:sz="6" w:space="0" w:color="7F7F7F"/>
            </w:tcBorders>
            <w:tcMar>
              <w:bottom w:w="40" w:type="dxa"/>
            </w:tcMar>
            <w:vAlign w:val="center"/>
          </w:tcPr>
          <w:p>
            <w:pPr>
              <w:pStyle w:val="TableContents"/>
              <w:bidi w:val="0"/>
              <w:spacing w:before="0" w:after="283"/>
              <w:jc w:val="left"/>
              <w:rPr/>
            </w:pPr>
            <w:r>
              <w:rPr/>
              <w:t> </w:t>
            </w:r>
          </w:p>
        </w:tc>
        <w:tc>
          <w:tcPr>
            <w:tcW w:w="820" w:type="dxa"/>
            <w:tcBorders>
              <w:bottom w:val="single" w:sz="6" w:space="0" w:color="7F7F7F"/>
            </w:tcBorders>
            <w:tcMar>
              <w:bottom w:w="40" w:type="dxa"/>
            </w:tcMar>
            <w:vAlign w:val="center"/>
          </w:tcPr>
          <w:p>
            <w:pPr>
              <w:pStyle w:val="TableContents"/>
              <w:bidi w:val="0"/>
              <w:spacing w:before="0" w:after="283"/>
              <w:jc w:val="right"/>
              <w:rPr/>
            </w:pPr>
            <w:r>
              <w:rPr/>
              <w:t>5.0</w:t>
            </w:r>
          </w:p>
        </w:tc>
        <w:tc>
          <w:tcPr>
            <w:tcW w:w="432" w:type="dxa"/>
            <w:tcBorders>
              <w:bottom w:val="single" w:sz="6" w:space="0" w:color="7F7F7F"/>
            </w:tcBorders>
            <w:tcMar>
              <w:bottom w:w="40" w:type="dxa"/>
            </w:tcMar>
            <w:vAlign w:val="center"/>
          </w:tcPr>
          <w:p>
            <w:pPr>
              <w:pStyle w:val="TableContents"/>
              <w:bidi w:val="0"/>
              <w:spacing w:before="0" w:after="283"/>
              <w:jc w:val="left"/>
              <w:rPr/>
            </w:pPr>
            <w:r>
              <w:rPr/>
              <w:t>%</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180" w:type="dxa"/>
            <w:gridSpan w:val="5"/>
            <w:tcBorders/>
            <w:vAlign w:val="center"/>
          </w:tcPr>
          <w:p>
            <w:pPr>
              <w:pStyle w:val="TableContents"/>
              <w:bidi w:val="0"/>
              <w:spacing w:before="0" w:after="283"/>
              <w:jc w:val="left"/>
              <w:rPr>
                <w:sz w:val="4"/>
                <w:szCs w:val="4"/>
              </w:rPr>
            </w:pPr>
            <w:r>
              <w:rPr>
                <w:sz w:val="4"/>
                <w:szCs w:val="4"/>
              </w:rPr>
            </w:r>
          </w:p>
        </w:tc>
        <w:tc>
          <w:tcPr>
            <w:tcW w:w="1360" w:type="dxa"/>
            <w:gridSpan w:val="5"/>
            <w:tcBorders/>
            <w:vAlign w:val="center"/>
          </w:tcPr>
          <w:p>
            <w:pPr>
              <w:pStyle w:val="TableContents"/>
              <w:bidi w:val="0"/>
              <w:spacing w:before="0" w:after="283"/>
              <w:jc w:val="left"/>
              <w:rPr>
                <w:sz w:val="4"/>
                <w:szCs w:val="4"/>
              </w:rPr>
            </w:pPr>
            <w:r>
              <w:rPr>
                <w:sz w:val="4"/>
                <w:szCs w:val="4"/>
              </w:rPr>
            </w:r>
          </w:p>
        </w:tc>
        <w:tc>
          <w:tcPr>
            <w:tcW w:w="1594" w:type="dxa"/>
            <w:gridSpan w:val="5"/>
            <w:tcBorders/>
            <w:vAlign w:val="center"/>
          </w:tcPr>
          <w:p>
            <w:pPr>
              <w:pStyle w:val="TableContents"/>
              <w:bidi w:val="0"/>
              <w:spacing w:before="0" w:after="283"/>
              <w:jc w:val="left"/>
              <w:rPr>
                <w:sz w:val="4"/>
                <w:szCs w:val="4"/>
              </w:rPr>
            </w:pPr>
            <w:r>
              <w:rPr>
                <w:sz w:val="4"/>
                <w:szCs w:val="4"/>
              </w:rPr>
            </w:r>
          </w:p>
        </w:tc>
      </w:tr>
      <w:tr>
        <w:trPr/>
        <w:tc>
          <w:tcPr>
            <w:tcW w:w="267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Nicola M. Soares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800" w:type="dxa"/>
            <w:tcBorders>
              <w:bottom w:val="single" w:sz="6" w:space="0" w:color="7F7F7F"/>
            </w:tcBorders>
            <w:tcMar>
              <w:bottom w:w="40" w:type="dxa"/>
            </w:tcMar>
            <w:vAlign w:val="center"/>
          </w:tcPr>
          <w:p>
            <w:pPr>
              <w:pStyle w:val="TableContents"/>
              <w:bidi w:val="0"/>
              <w:spacing w:before="0" w:after="283"/>
              <w:jc w:val="right"/>
              <w:rPr/>
            </w:pPr>
            <w:r>
              <w:rPr/>
              <w:t>410,000</w:t>
            </w:r>
          </w:p>
        </w:tc>
        <w:tc>
          <w:tcPr>
            <w:tcW w:w="6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980" w:type="dxa"/>
            <w:tcBorders>
              <w:bottom w:val="single" w:sz="6" w:space="0" w:color="7F7F7F"/>
            </w:tcBorders>
            <w:tcMar>
              <w:bottom w:w="40" w:type="dxa"/>
            </w:tcMar>
            <w:vAlign w:val="center"/>
          </w:tcPr>
          <w:p>
            <w:pPr>
              <w:pStyle w:val="TableContents"/>
              <w:bidi w:val="0"/>
              <w:spacing w:before="0" w:after="283"/>
              <w:jc w:val="right"/>
              <w:rPr/>
            </w:pPr>
            <w:r>
              <w:rPr/>
              <w:t>422,000</w:t>
            </w:r>
          </w:p>
        </w:tc>
        <w:tc>
          <w:tcPr>
            <w:tcW w:w="6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11" w:type="dxa"/>
            <w:tcBorders>
              <w:bottom w:val="single" w:sz="6" w:space="0" w:color="7F7F7F"/>
            </w:tcBorders>
            <w:tcMar>
              <w:bottom w:w="28" w:type="dxa"/>
            </w:tcMar>
            <w:vAlign w:val="center"/>
          </w:tcPr>
          <w:p>
            <w:pPr>
              <w:pStyle w:val="TableContents"/>
              <w:bidi w:val="0"/>
              <w:spacing w:before="0" w:after="283"/>
              <w:jc w:val="left"/>
              <w:rPr/>
            </w:pPr>
            <w:r>
              <w:rPr/>
              <w:t> </w:t>
            </w:r>
          </w:p>
        </w:tc>
        <w:tc>
          <w:tcPr>
            <w:tcW w:w="111" w:type="dxa"/>
            <w:tcBorders>
              <w:bottom w:val="single" w:sz="6" w:space="0" w:color="7F7F7F"/>
            </w:tcBorders>
            <w:tcMar>
              <w:bottom w:w="40" w:type="dxa"/>
            </w:tcMar>
            <w:vAlign w:val="center"/>
          </w:tcPr>
          <w:p>
            <w:pPr>
              <w:pStyle w:val="TableContents"/>
              <w:bidi w:val="0"/>
              <w:spacing w:before="0" w:after="283"/>
              <w:jc w:val="left"/>
              <w:rPr/>
            </w:pPr>
            <w:r>
              <w:rPr/>
              <w:t> </w:t>
            </w:r>
          </w:p>
        </w:tc>
        <w:tc>
          <w:tcPr>
            <w:tcW w:w="820" w:type="dxa"/>
            <w:tcBorders>
              <w:bottom w:val="single" w:sz="6" w:space="0" w:color="7F7F7F"/>
            </w:tcBorders>
            <w:tcMar>
              <w:bottom w:w="40" w:type="dxa"/>
            </w:tcMar>
            <w:vAlign w:val="center"/>
          </w:tcPr>
          <w:p>
            <w:pPr>
              <w:pStyle w:val="TableContents"/>
              <w:bidi w:val="0"/>
              <w:spacing w:before="0" w:after="283"/>
              <w:jc w:val="right"/>
              <w:rPr/>
            </w:pPr>
            <w:r>
              <w:rPr/>
              <w:t>2.9</w:t>
            </w:r>
          </w:p>
        </w:tc>
        <w:tc>
          <w:tcPr>
            <w:tcW w:w="432" w:type="dxa"/>
            <w:tcBorders>
              <w:bottom w:val="single" w:sz="6" w:space="0" w:color="7F7F7F"/>
            </w:tcBorders>
            <w:tcMar>
              <w:bottom w:w="40" w:type="dxa"/>
            </w:tcMar>
            <w:vAlign w:val="center"/>
          </w:tcPr>
          <w:p>
            <w:pPr>
              <w:pStyle w:val="TableContents"/>
              <w:bidi w:val="0"/>
              <w:spacing w:before="0" w:after="283"/>
              <w:jc w:val="left"/>
              <w:rPr/>
            </w:pPr>
            <w:r>
              <w:rPr/>
              <w:t>%</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180" w:type="dxa"/>
            <w:gridSpan w:val="5"/>
            <w:tcBorders/>
            <w:vAlign w:val="center"/>
          </w:tcPr>
          <w:p>
            <w:pPr>
              <w:pStyle w:val="TableContents"/>
              <w:bidi w:val="0"/>
              <w:spacing w:before="0" w:after="283"/>
              <w:jc w:val="left"/>
              <w:rPr>
                <w:sz w:val="4"/>
                <w:szCs w:val="4"/>
              </w:rPr>
            </w:pPr>
            <w:r>
              <w:rPr>
                <w:sz w:val="4"/>
                <w:szCs w:val="4"/>
              </w:rPr>
            </w:r>
          </w:p>
        </w:tc>
        <w:tc>
          <w:tcPr>
            <w:tcW w:w="1360" w:type="dxa"/>
            <w:gridSpan w:val="5"/>
            <w:tcBorders/>
            <w:vAlign w:val="center"/>
          </w:tcPr>
          <w:p>
            <w:pPr>
              <w:pStyle w:val="TableContents"/>
              <w:bidi w:val="0"/>
              <w:spacing w:before="0" w:after="283"/>
              <w:jc w:val="left"/>
              <w:rPr>
                <w:sz w:val="4"/>
                <w:szCs w:val="4"/>
              </w:rPr>
            </w:pPr>
            <w:r>
              <w:rPr>
                <w:sz w:val="4"/>
                <w:szCs w:val="4"/>
              </w:rPr>
            </w:r>
          </w:p>
        </w:tc>
        <w:tc>
          <w:tcPr>
            <w:tcW w:w="1594" w:type="dxa"/>
            <w:gridSpan w:val="5"/>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0"/>
              <w:jc w:val="left"/>
              <w:rPr>
                <w:rFonts w:ascii="arial" w:hAnsi="arial"/>
                <w:b/>
                <w:i/>
                <w:sz w:val="18"/>
                <w:u w:val="single"/>
              </w:rPr>
            </w:pPr>
            <w:r>
              <w:rPr>
                <w:rFonts w:ascii="arial" w:hAnsi="arial"/>
                <w:b/>
                <w:i/>
                <w:sz w:val="18"/>
                <w:u w:val="single"/>
              </w:rPr>
              <w:t>Former Executives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0"/>
              <w:jc w:val="left"/>
              <w:rPr/>
            </w:pPr>
            <w:r>
              <w:rPr/>
              <w:t> </w:t>
            </w:r>
          </w:p>
        </w:tc>
        <w:tc>
          <w:tcPr>
            <w:tcW w:w="820" w:type="dxa"/>
            <w:tcBorders/>
            <w:vAlign w:val="center"/>
          </w:tcPr>
          <w:p>
            <w:pPr>
              <w:pStyle w:val="TableContents"/>
              <w:bidi w:val="0"/>
              <w:spacing w:before="0" w:after="0"/>
              <w:jc w:val="left"/>
              <w:rPr/>
            </w:pPr>
            <w:r>
              <w:rPr/>
              <w:t> </w:t>
            </w:r>
          </w:p>
        </w:tc>
        <w:tc>
          <w:tcPr>
            <w:tcW w:w="432" w:type="dxa"/>
            <w:tcBorders/>
            <w:vAlign w:val="center"/>
          </w:tcPr>
          <w:p>
            <w:pPr>
              <w:pStyle w:val="TableContents"/>
              <w:bidi w:val="0"/>
              <w:spacing w:before="0" w:after="0"/>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180" w:type="dxa"/>
            <w:gridSpan w:val="5"/>
            <w:tcBorders/>
            <w:vAlign w:val="center"/>
          </w:tcPr>
          <w:p>
            <w:pPr>
              <w:pStyle w:val="TableContents"/>
              <w:bidi w:val="0"/>
              <w:spacing w:before="0" w:after="283"/>
              <w:jc w:val="left"/>
              <w:rPr>
                <w:sz w:val="4"/>
                <w:szCs w:val="4"/>
              </w:rPr>
            </w:pPr>
            <w:r>
              <w:rPr>
                <w:sz w:val="4"/>
                <w:szCs w:val="4"/>
              </w:rPr>
            </w:r>
          </w:p>
        </w:tc>
        <w:tc>
          <w:tcPr>
            <w:tcW w:w="1360" w:type="dxa"/>
            <w:gridSpan w:val="5"/>
            <w:tcBorders/>
            <w:vAlign w:val="center"/>
          </w:tcPr>
          <w:p>
            <w:pPr>
              <w:pStyle w:val="TableContents"/>
              <w:bidi w:val="0"/>
              <w:spacing w:before="0" w:after="283"/>
              <w:jc w:val="left"/>
              <w:rPr>
                <w:sz w:val="4"/>
                <w:szCs w:val="4"/>
              </w:rPr>
            </w:pPr>
            <w:r>
              <w:rPr>
                <w:sz w:val="4"/>
                <w:szCs w:val="4"/>
              </w:rPr>
            </w:r>
          </w:p>
        </w:tc>
        <w:tc>
          <w:tcPr>
            <w:tcW w:w="1594" w:type="dxa"/>
            <w:gridSpan w:val="5"/>
            <w:tcBorders/>
            <w:vAlign w:val="center"/>
          </w:tcPr>
          <w:p>
            <w:pPr>
              <w:pStyle w:val="TableContents"/>
              <w:bidi w:val="0"/>
              <w:spacing w:before="0" w:after="283"/>
              <w:jc w:val="left"/>
              <w:rPr>
                <w:sz w:val="4"/>
                <w:szCs w:val="4"/>
              </w:rPr>
            </w:pPr>
            <w:r>
              <w:rPr>
                <w:sz w:val="4"/>
                <w:szCs w:val="4"/>
              </w:rPr>
            </w:r>
          </w:p>
        </w:tc>
      </w:tr>
      <w:tr>
        <w:trPr/>
        <w:tc>
          <w:tcPr>
            <w:tcW w:w="267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Peter W. Quigley</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800" w:type="dxa"/>
            <w:tcBorders>
              <w:bottom w:val="single" w:sz="6" w:space="0" w:color="7F7F7F"/>
            </w:tcBorders>
            <w:tcMar>
              <w:bottom w:w="40" w:type="dxa"/>
            </w:tcMar>
            <w:vAlign w:val="center"/>
          </w:tcPr>
          <w:p>
            <w:pPr>
              <w:pStyle w:val="TableContents"/>
              <w:bidi w:val="0"/>
              <w:spacing w:before="0" w:after="283"/>
              <w:jc w:val="right"/>
              <w:rPr/>
            </w:pPr>
            <w:r>
              <w:rPr/>
              <w:t>975,000</w:t>
            </w:r>
          </w:p>
        </w:tc>
        <w:tc>
          <w:tcPr>
            <w:tcW w:w="6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980" w:type="dxa"/>
            <w:tcBorders>
              <w:bottom w:val="single" w:sz="6" w:space="0" w:color="7F7F7F"/>
            </w:tcBorders>
            <w:tcMar>
              <w:bottom w:w="40" w:type="dxa"/>
            </w:tcMar>
            <w:vAlign w:val="center"/>
          </w:tcPr>
          <w:p>
            <w:pPr>
              <w:pStyle w:val="TableContents"/>
              <w:bidi w:val="0"/>
              <w:spacing w:before="0" w:after="283"/>
              <w:jc w:val="right"/>
              <w:rPr/>
            </w:pPr>
            <w:r>
              <w:rPr/>
              <w:t>975,000</w:t>
            </w:r>
          </w:p>
        </w:tc>
        <w:tc>
          <w:tcPr>
            <w:tcW w:w="6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11" w:type="dxa"/>
            <w:tcBorders>
              <w:bottom w:val="single" w:sz="6" w:space="0" w:color="7F7F7F"/>
            </w:tcBorders>
            <w:tcMar>
              <w:bottom w:w="28" w:type="dxa"/>
            </w:tcMar>
            <w:vAlign w:val="center"/>
          </w:tcPr>
          <w:p>
            <w:pPr>
              <w:pStyle w:val="TableContents"/>
              <w:bidi w:val="0"/>
              <w:spacing w:before="0" w:after="283"/>
              <w:jc w:val="left"/>
              <w:rPr/>
            </w:pPr>
            <w:r>
              <w:rPr/>
              <w:t> </w:t>
            </w:r>
          </w:p>
        </w:tc>
        <w:tc>
          <w:tcPr>
            <w:tcW w:w="111" w:type="dxa"/>
            <w:tcBorders>
              <w:bottom w:val="single" w:sz="6" w:space="0" w:color="7F7F7F"/>
            </w:tcBorders>
            <w:tcMar>
              <w:bottom w:w="40" w:type="dxa"/>
            </w:tcMar>
            <w:vAlign w:val="center"/>
          </w:tcPr>
          <w:p>
            <w:pPr>
              <w:pStyle w:val="TableContents"/>
              <w:bidi w:val="0"/>
              <w:spacing w:before="0" w:after="283"/>
              <w:jc w:val="left"/>
              <w:rPr/>
            </w:pPr>
            <w:r>
              <w:rPr/>
              <w:t> </w:t>
            </w:r>
          </w:p>
        </w:tc>
        <w:tc>
          <w:tcPr>
            <w:tcW w:w="820" w:type="dxa"/>
            <w:tcBorders>
              <w:bottom w:val="single" w:sz="6" w:space="0" w:color="7F7F7F"/>
            </w:tcBorders>
            <w:tcMar>
              <w:bottom w:w="40" w:type="dxa"/>
            </w:tcMar>
            <w:vAlign w:val="center"/>
          </w:tcPr>
          <w:p>
            <w:pPr>
              <w:pStyle w:val="TableContents"/>
              <w:bidi w:val="0"/>
              <w:spacing w:before="0" w:after="283"/>
              <w:jc w:val="right"/>
              <w:rPr/>
            </w:pPr>
            <w:r>
              <w:rPr/>
              <w:t>0.0</w:t>
            </w:r>
          </w:p>
        </w:tc>
        <w:tc>
          <w:tcPr>
            <w:tcW w:w="432" w:type="dxa"/>
            <w:tcBorders>
              <w:bottom w:val="single" w:sz="6" w:space="0" w:color="7F7F7F"/>
            </w:tcBorders>
            <w:tcMar>
              <w:bottom w:w="40" w:type="dxa"/>
            </w:tcMar>
            <w:vAlign w:val="center"/>
          </w:tcPr>
          <w:p>
            <w:pPr>
              <w:pStyle w:val="TableContents"/>
              <w:bidi w:val="0"/>
              <w:spacing w:before="0" w:after="283"/>
              <w:jc w:val="left"/>
              <w:rPr/>
            </w:pPr>
            <w:r>
              <w:rPr/>
              <w:t>%</w:t>
            </w:r>
          </w:p>
        </w:tc>
      </w:tr>
    </w:tbl>
    <w:p>
      <w:pPr>
        <w:pStyle w:val="TextBody"/>
        <w:bidi w:val="0"/>
        <w:spacing w:before="120" w:after="0"/>
        <w:jc w:val="left"/>
        <w:rPr>
          <w:rFonts w:ascii="arial" w:hAnsi="arial"/>
          <w:b/>
          <w:sz w:val="18"/>
        </w:rPr>
      </w:pPr>
      <w:r>
        <w:rPr>
          <w:rFonts w:ascii="arial" w:hAnsi="arial"/>
          <w:b/>
          <w:sz w:val="18"/>
        </w:rPr>
        <w:t xml:space="preserve">Notes: </w:t>
      </w:r>
    </w:p>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arial" w:hAnsi="arial"/>
                <w:sz w:val="18"/>
              </w:rPr>
            </w:pPr>
            <w:r>
              <w:rPr>
                <w:rFonts w:ascii="arial" w:hAnsi="arial"/>
                <w:sz w:val="18"/>
              </w:rPr>
              <w:t xml:space="preserve">Amounts represent base salaries in effect on December 31 of each applicable year; </w:t>
            </w:r>
          </w:p>
        </w:tc>
      </w:tr>
    </w:tbl>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75"/>
        <w:gridCol w:w="110"/>
        <w:gridCol w:w="60"/>
        <w:gridCol w:w="7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0"/>
              <w:jc w:val="left"/>
              <w:rPr>
                <w:rFonts w:ascii="arial" w:hAnsi="arial"/>
                <w:sz w:val="18"/>
              </w:rPr>
            </w:pPr>
            <w:r>
              <w:rPr>
                <w:rFonts w:ascii="arial" w:hAnsi="arial"/>
                <w:sz w:val="18"/>
              </w:rPr>
              <w:t xml:space="preserve">Amount for Mr. Layden’s 2025 base salary reflects the terms of his offer of employment. </w:t>
            </w:r>
          </w:p>
        </w:tc>
      </w:tr>
    </w:tbl>
    <w:p>
      <w:pPr>
        <w:pStyle w:val="TextBody"/>
        <w:bidi w:val="0"/>
        <w:spacing w:before="240" w:after="0"/>
        <w:jc w:val="left"/>
        <w:rPr>
          <w:rFonts w:ascii="arial" w:hAnsi="arial"/>
          <w:i/>
          <w:sz w:val="18"/>
        </w:rPr>
      </w:pPr>
      <w:r>
        <w:rPr>
          <w:rFonts w:ascii="arial" w:hAnsi="arial"/>
          <w:i/>
          <w:sz w:val="18"/>
        </w:rPr>
        <w:t xml:space="preserve">Short Term Incentive Plan (“STIP”) </w:t>
      </w:r>
    </w:p>
    <w:p>
      <w:pPr>
        <w:pStyle w:val="TextBody"/>
        <w:bidi w:val="0"/>
        <w:spacing w:before="80" w:after="0"/>
        <w:jc w:val="left"/>
        <w:rPr>
          <w:rFonts w:ascii="arial" w:hAnsi="arial"/>
          <w:sz w:val="18"/>
        </w:rPr>
      </w:pPr>
      <w:r>
        <w:rPr>
          <w:rFonts w:ascii="arial" w:hAnsi="arial"/>
          <w:sz w:val="18"/>
        </w:rPr>
        <w:t xml:space="preserve">The Committee believes named executive officers should earn a meaningful portion of total compensation through annual performance-based incentives. STIP target opportunities increase with the executive’s level responsibility and influence on corporate performance, encouraging achievement short-term goals that align with corporate strategy and improvement of shareholder value. </w:t>
      </w:r>
    </w:p>
    <w:p>
      <w:pPr>
        <w:pStyle w:val="TextBody"/>
        <w:bidi w:val="0"/>
        <w:spacing w:before="80" w:after="0"/>
        <w:jc w:val="left"/>
        <w:rPr>
          <w:rFonts w:ascii="arial" w:hAnsi="arial"/>
          <w:sz w:val="18"/>
        </w:rPr>
      </w:pPr>
      <w:r>
        <w:rPr>
          <w:rFonts w:ascii="arial" w:hAnsi="arial"/>
          <w:sz w:val="18"/>
        </w:rPr>
        <w:t xml:space="preserve">STIP targets are set as a percentage of base salary, generally near market median, and may vary based on individual factors and internal equity. Payouts range from 0% to 200% of target based on achievement of annual performance goals. </w:t>
      </w:r>
    </w:p>
    <w:p>
      <w:pPr>
        <w:pStyle w:val="TextBody"/>
        <w:bidi w:val="0"/>
        <w:spacing w:before="80" w:after="0"/>
        <w:jc w:val="left"/>
        <w:rPr>
          <w:rFonts w:ascii="arial" w:hAnsi="arial"/>
          <w:sz w:val="18"/>
        </w:rPr>
      </w:pPr>
      <w:r>
        <w:rPr>
          <w:rFonts w:ascii="arial" w:hAnsi="arial"/>
          <w:sz w:val="18"/>
        </w:rPr>
        <w:t xml:space="preserve">As part of the Company’s compensation review of overall compensation opportunity, two named executive officers received STIP target opportunity increases, to better align with market and overall scope of their roles, for 2025. </w:t>
      </w:r>
    </w:p>
    <w:p>
      <w:pPr>
        <w:pStyle w:val="TextBody"/>
        <w:bidi w:val="0"/>
        <w:spacing w:before="80" w:after="0"/>
        <w:jc w:val="left"/>
        <w:rPr>
          <w:rFonts w:ascii="arial" w:hAnsi="arial"/>
          <w:sz w:val="18"/>
        </w:rPr>
      </w:pPr>
      <w:r>
        <w:rPr>
          <w:rFonts w:ascii="arial" w:hAnsi="arial"/>
          <w:sz w:val="18"/>
        </w:rPr>
        <w:t xml:space="preserve">The following STIP target percentage opportunities for the named executive officers were approved by the Committee in 2025: </w:t>
      </w:r>
    </w:p>
    <w:p>
      <w:pPr>
        <w:pStyle w:val="TextBody"/>
        <w:bidi w:val="0"/>
        <w:spacing w:before="80" w:after="0"/>
        <w:jc w:val="left"/>
        <w:rPr>
          <w:rFonts w:ascii="arial" w:hAnsi="arial"/>
          <w:sz w:val="18"/>
        </w:rPr>
      </w:pPr>
      <w:r>
        <w:rPr>
          <w:rFonts w:ascii="arial" w:hAnsi="arial"/>
          <w:sz w:val="18"/>
        </w:rPr>
        <w:t xml:space="preserve">The following table shows the 2024 and 2025 STIP target opportunities, as a percentage of base salary, for our named executive officers: </w:t>
      </w:r>
    </w:p>
    <w:p>
      <w:pPr>
        <w:pStyle w:val="TextBody"/>
        <w:bidi w:val="0"/>
        <w:spacing w:before="0" w:after="0"/>
        <w:jc w:val="left"/>
        <w:rPr/>
      </w:pPr>
      <w:r>
        <w:rPr/>
        <w:t> </w:t>
      </w:r>
    </w:p>
    <w:tbl>
      <w:tblPr>
        <w:tblW w:w="4980" w:type="dxa"/>
        <w:jc w:val="left"/>
        <w:tblInd w:w="0" w:type="dxa"/>
        <w:tblLayout w:type="fixed"/>
        <w:tblCellMar>
          <w:top w:w="0" w:type="dxa"/>
          <w:left w:w="0" w:type="dxa"/>
          <w:bottom w:w="0" w:type="dxa"/>
          <w:right w:w="0" w:type="dxa"/>
        </w:tblCellMar>
      </w:tblPr>
      <w:tblGrid>
        <w:gridCol w:w="2585"/>
        <w:gridCol w:w="120"/>
        <w:gridCol w:w="92"/>
        <w:gridCol w:w="92"/>
        <w:gridCol w:w="584"/>
        <w:gridCol w:w="332"/>
        <w:gridCol w:w="60"/>
        <w:gridCol w:w="91"/>
        <w:gridCol w:w="91"/>
        <w:gridCol w:w="580"/>
        <w:gridCol w:w="353"/>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8" w:space="0" w:color="33302B"/>
            </w:tcBorders>
            <w:tcMar>
              <w:bottom w:w="80" w:type="dxa"/>
            </w:tcMar>
            <w:vAlign w:val="center"/>
          </w:tcPr>
          <w:p>
            <w:pPr>
              <w:pStyle w:val="TableContents"/>
              <w:bidi w:val="0"/>
              <w:spacing w:before="0" w:after="283"/>
              <w:jc w:val="left"/>
              <w:rPr>
                <w:b/>
                <w:color w:val="00AE4F"/>
              </w:rPr>
            </w:pPr>
            <w:r>
              <w:rPr>
                <w:b/>
                <w:color w:val="00AE4F"/>
              </w:rPr>
              <w:t>Named Executive Officer</w:t>
            </w:r>
          </w:p>
        </w:tc>
        <w:tc>
          <w:tcPr>
            <w:tcW w:w="120" w:type="dxa"/>
            <w:tcBorders>
              <w:bottom w:val="single" w:sz="8" w:space="0" w:color="33302B"/>
            </w:tcBorders>
            <w:tcMar>
              <w:bottom w:w="28" w:type="dxa"/>
            </w:tcMar>
            <w:vAlign w:val="center"/>
          </w:tcPr>
          <w:p>
            <w:pPr>
              <w:pStyle w:val="TableContents"/>
              <w:bidi w:val="0"/>
              <w:spacing w:before="0" w:after="283"/>
              <w:jc w:val="left"/>
              <w:rPr/>
            </w:pPr>
            <w:r>
              <w:rPr/>
              <w:t>  </w:t>
            </w:r>
          </w:p>
        </w:tc>
        <w:tc>
          <w:tcPr>
            <w:tcW w:w="1100" w:type="dxa"/>
            <w:gridSpan w:val="4"/>
            <w:tcBorders>
              <w:bottom w:val="single" w:sz="8" w:space="0" w:color="33302B"/>
            </w:tcBorders>
            <w:tcMar>
              <w:bottom w:w="80" w:type="dxa"/>
            </w:tcMar>
            <w:vAlign w:val="center"/>
          </w:tcPr>
          <w:p>
            <w:pPr>
              <w:pStyle w:val="TableContents"/>
              <w:bidi w:val="0"/>
              <w:spacing w:before="0" w:after="283"/>
              <w:jc w:val="center"/>
              <w:rPr>
                <w:b/>
                <w:color w:val="00AE4F"/>
              </w:rPr>
            </w:pPr>
            <w:r>
              <w:rPr>
                <w:b/>
                <w:color w:val="00AE4F"/>
              </w:rPr>
              <w:t>2024 STIP</w:t>
              <w:br/>
              <w:t>Target %</w:t>
            </w:r>
          </w:p>
        </w:tc>
        <w:tc>
          <w:tcPr>
            <w:tcW w:w="60" w:type="dxa"/>
            <w:tcBorders>
              <w:bottom w:val="single" w:sz="8" w:space="0" w:color="33302B"/>
            </w:tcBorders>
            <w:tcMar>
              <w:bottom w:w="28" w:type="dxa"/>
            </w:tcMar>
            <w:vAlign w:val="center"/>
          </w:tcPr>
          <w:p>
            <w:pPr>
              <w:pStyle w:val="TableContents"/>
              <w:bidi w:val="0"/>
              <w:spacing w:before="0" w:after="283"/>
              <w:jc w:val="left"/>
              <w:rPr/>
            </w:pPr>
            <w:r>
              <w:rPr/>
              <w:t> </w:t>
            </w:r>
          </w:p>
        </w:tc>
        <w:tc>
          <w:tcPr>
            <w:tcW w:w="1115" w:type="dxa"/>
            <w:gridSpan w:val="4"/>
            <w:tcBorders>
              <w:bottom w:val="single" w:sz="8" w:space="0" w:color="33302B"/>
            </w:tcBorders>
            <w:tcMar>
              <w:bottom w:w="80" w:type="dxa"/>
            </w:tcMar>
            <w:vAlign w:val="center"/>
          </w:tcPr>
          <w:p>
            <w:pPr>
              <w:pStyle w:val="TableContents"/>
              <w:bidi w:val="0"/>
              <w:spacing w:before="0" w:after="283"/>
              <w:jc w:val="center"/>
              <w:rPr>
                <w:b/>
                <w:color w:val="00AE4F"/>
              </w:rPr>
            </w:pPr>
            <w:r>
              <w:rPr>
                <w:b/>
                <w:color w:val="00AE4F"/>
              </w:rPr>
              <w:t>2025 STIP</w:t>
              <w:br/>
              <w:t>Target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Christopher D. Layden</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92" w:type="dxa"/>
            <w:tcBorders>
              <w:bottom w:val="single" w:sz="6" w:space="0" w:color="7F7F7F"/>
            </w:tcBorders>
            <w:tcMar>
              <w:bottom w:w="28" w:type="dxa"/>
            </w:tcMar>
            <w:vAlign w:val="center"/>
          </w:tcPr>
          <w:p>
            <w:pPr>
              <w:pStyle w:val="TableContents"/>
              <w:bidi w:val="0"/>
              <w:spacing w:before="0" w:after="283"/>
              <w:jc w:val="left"/>
              <w:rPr/>
            </w:pPr>
            <w:r>
              <w:rPr/>
              <w:t> </w:t>
            </w:r>
          </w:p>
        </w:tc>
        <w:tc>
          <w:tcPr>
            <w:tcW w:w="9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584"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33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91" w:type="dxa"/>
            <w:tcBorders>
              <w:bottom w:val="single" w:sz="6" w:space="0" w:color="7F7F7F"/>
            </w:tcBorders>
            <w:tcMar>
              <w:bottom w:w="28" w:type="dxa"/>
            </w:tcMar>
            <w:vAlign w:val="center"/>
          </w:tcPr>
          <w:p>
            <w:pPr>
              <w:pStyle w:val="TableContents"/>
              <w:bidi w:val="0"/>
              <w:spacing w:before="0" w:after="283"/>
              <w:jc w:val="left"/>
              <w:rPr/>
            </w:pPr>
            <w:r>
              <w:rPr/>
              <w:t> </w:t>
            </w:r>
          </w:p>
        </w:tc>
        <w:tc>
          <w:tcPr>
            <w:tcW w:w="91" w:type="dxa"/>
            <w:tcBorders>
              <w:bottom w:val="single" w:sz="6" w:space="0" w:color="7F7F7F"/>
            </w:tcBorders>
            <w:tcMar>
              <w:bottom w:w="40" w:type="dxa"/>
            </w:tcMar>
            <w:vAlign w:val="center"/>
          </w:tcPr>
          <w:p>
            <w:pPr>
              <w:pStyle w:val="TableContents"/>
              <w:bidi w:val="0"/>
              <w:spacing w:before="0" w:after="283"/>
              <w:jc w:val="left"/>
              <w:rPr/>
            </w:pPr>
            <w:r>
              <w:rPr/>
              <w:t> </w:t>
            </w:r>
          </w:p>
        </w:tc>
        <w:tc>
          <w:tcPr>
            <w:tcW w:w="580" w:type="dxa"/>
            <w:tcBorders>
              <w:bottom w:val="single" w:sz="6" w:space="0" w:color="7F7F7F"/>
            </w:tcBorders>
            <w:tcMar>
              <w:bottom w:w="40" w:type="dxa"/>
            </w:tcMar>
            <w:vAlign w:val="center"/>
          </w:tcPr>
          <w:p>
            <w:pPr>
              <w:pStyle w:val="TableContents"/>
              <w:bidi w:val="0"/>
              <w:spacing w:before="0" w:after="283"/>
              <w:jc w:val="right"/>
              <w:rPr/>
            </w:pPr>
            <w:r>
              <w:rPr/>
              <w:t>125</w:t>
            </w:r>
          </w:p>
        </w:tc>
        <w:tc>
          <w:tcPr>
            <w:tcW w:w="353" w:type="dxa"/>
            <w:tcBorders>
              <w:bottom w:val="single" w:sz="6" w:space="0" w:color="7F7F7F"/>
            </w:tcBorders>
            <w:tcMar>
              <w:bottom w:w="40" w:type="dxa"/>
            </w:tcMar>
            <w:vAlign w:val="center"/>
          </w:tcPr>
          <w:p>
            <w:pPr>
              <w:pStyle w:val="TableContents"/>
              <w:bidi w:val="0"/>
              <w:spacing w:before="0" w:after="283"/>
              <w:jc w:val="left"/>
              <w:rPr/>
            </w:pPr>
            <w:r>
              <w:rPr/>
              <w:t>%</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Troy R. Anderson</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92" w:type="dxa"/>
            <w:tcBorders>
              <w:bottom w:val="single" w:sz="6" w:space="0" w:color="7F7F7F"/>
            </w:tcBorders>
            <w:tcMar>
              <w:bottom w:w="28" w:type="dxa"/>
            </w:tcMar>
            <w:vAlign w:val="center"/>
          </w:tcPr>
          <w:p>
            <w:pPr>
              <w:pStyle w:val="TableContents"/>
              <w:bidi w:val="0"/>
              <w:spacing w:before="0" w:after="283"/>
              <w:jc w:val="left"/>
              <w:rPr/>
            </w:pPr>
            <w:r>
              <w:rPr/>
              <w:t> </w:t>
            </w:r>
          </w:p>
        </w:tc>
        <w:tc>
          <w:tcPr>
            <w:tcW w:w="92" w:type="dxa"/>
            <w:tcBorders>
              <w:bottom w:val="single" w:sz="6" w:space="0" w:color="7F7F7F"/>
            </w:tcBorders>
            <w:tcMar>
              <w:bottom w:w="40" w:type="dxa"/>
            </w:tcMar>
            <w:vAlign w:val="center"/>
          </w:tcPr>
          <w:p>
            <w:pPr>
              <w:pStyle w:val="TableContents"/>
              <w:bidi w:val="0"/>
              <w:spacing w:before="0" w:after="283"/>
              <w:jc w:val="left"/>
              <w:rPr/>
            </w:pPr>
            <w:r>
              <w:rPr/>
              <w:t> </w:t>
            </w:r>
          </w:p>
        </w:tc>
        <w:tc>
          <w:tcPr>
            <w:tcW w:w="584" w:type="dxa"/>
            <w:tcBorders>
              <w:bottom w:val="single" w:sz="6" w:space="0" w:color="7F7F7F"/>
            </w:tcBorders>
            <w:tcMar>
              <w:bottom w:w="40" w:type="dxa"/>
            </w:tcMar>
            <w:vAlign w:val="center"/>
          </w:tcPr>
          <w:p>
            <w:pPr>
              <w:pStyle w:val="TableContents"/>
              <w:bidi w:val="0"/>
              <w:spacing w:before="0" w:after="283"/>
              <w:jc w:val="right"/>
              <w:rPr/>
            </w:pPr>
            <w:r>
              <w:rPr/>
              <w:t>85</w:t>
            </w:r>
          </w:p>
        </w:tc>
        <w:tc>
          <w:tcPr>
            <w:tcW w:w="332" w:type="dxa"/>
            <w:tcBorders>
              <w:bottom w:val="single" w:sz="6" w:space="0" w:color="7F7F7F"/>
            </w:tcBorders>
            <w:tcMar>
              <w:bottom w:w="40" w:type="dxa"/>
            </w:tcMar>
            <w:vAlign w:val="center"/>
          </w:tcPr>
          <w:p>
            <w:pPr>
              <w:pStyle w:val="TableContents"/>
              <w:bidi w:val="0"/>
              <w:spacing w:before="0" w:after="283"/>
              <w:jc w:val="left"/>
              <w:rPr/>
            </w:pPr>
            <w:r>
              <w:rPr/>
              <w:t>%</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91" w:type="dxa"/>
            <w:tcBorders>
              <w:bottom w:val="single" w:sz="6" w:space="0" w:color="7F7F7F"/>
            </w:tcBorders>
            <w:tcMar>
              <w:bottom w:w="28" w:type="dxa"/>
            </w:tcMar>
            <w:vAlign w:val="center"/>
          </w:tcPr>
          <w:p>
            <w:pPr>
              <w:pStyle w:val="TableContents"/>
              <w:bidi w:val="0"/>
              <w:spacing w:before="0" w:after="283"/>
              <w:jc w:val="left"/>
              <w:rPr/>
            </w:pPr>
            <w:r>
              <w:rPr/>
              <w:t> </w:t>
            </w:r>
          </w:p>
        </w:tc>
        <w:tc>
          <w:tcPr>
            <w:tcW w:w="91" w:type="dxa"/>
            <w:tcBorders>
              <w:bottom w:val="single" w:sz="6" w:space="0" w:color="7F7F7F"/>
            </w:tcBorders>
            <w:tcMar>
              <w:bottom w:w="40" w:type="dxa"/>
            </w:tcMar>
            <w:vAlign w:val="center"/>
          </w:tcPr>
          <w:p>
            <w:pPr>
              <w:pStyle w:val="TableContents"/>
              <w:bidi w:val="0"/>
              <w:spacing w:before="0" w:after="283"/>
              <w:jc w:val="left"/>
              <w:rPr/>
            </w:pPr>
            <w:r>
              <w:rPr/>
              <w:t> </w:t>
            </w:r>
          </w:p>
        </w:tc>
        <w:tc>
          <w:tcPr>
            <w:tcW w:w="580" w:type="dxa"/>
            <w:tcBorders>
              <w:bottom w:val="single" w:sz="6" w:space="0" w:color="7F7F7F"/>
            </w:tcBorders>
            <w:tcMar>
              <w:bottom w:w="40" w:type="dxa"/>
            </w:tcMar>
            <w:vAlign w:val="center"/>
          </w:tcPr>
          <w:p>
            <w:pPr>
              <w:pStyle w:val="TableContents"/>
              <w:bidi w:val="0"/>
              <w:spacing w:before="0" w:after="283"/>
              <w:jc w:val="right"/>
              <w:rPr/>
            </w:pPr>
            <w:r>
              <w:rPr/>
              <w:t>85</w:t>
            </w:r>
          </w:p>
        </w:tc>
        <w:tc>
          <w:tcPr>
            <w:tcW w:w="353" w:type="dxa"/>
            <w:tcBorders>
              <w:bottom w:val="single" w:sz="6" w:space="0" w:color="7F7F7F"/>
            </w:tcBorders>
            <w:tcMar>
              <w:bottom w:w="40" w:type="dxa"/>
            </w:tcMar>
            <w:vAlign w:val="center"/>
          </w:tcPr>
          <w:p>
            <w:pPr>
              <w:pStyle w:val="TableContents"/>
              <w:bidi w:val="0"/>
              <w:spacing w:before="0" w:after="283"/>
              <w:jc w:val="left"/>
              <w:rPr/>
            </w:pPr>
            <w:r>
              <w:rPr/>
              <w:t>%</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Tammy L. Browning</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92" w:type="dxa"/>
            <w:tcBorders>
              <w:bottom w:val="single" w:sz="6" w:space="0" w:color="7F7F7F"/>
            </w:tcBorders>
            <w:tcMar>
              <w:bottom w:w="28" w:type="dxa"/>
            </w:tcMar>
            <w:vAlign w:val="center"/>
          </w:tcPr>
          <w:p>
            <w:pPr>
              <w:pStyle w:val="TableContents"/>
              <w:bidi w:val="0"/>
              <w:spacing w:before="0" w:after="283"/>
              <w:jc w:val="left"/>
              <w:rPr/>
            </w:pPr>
            <w:r>
              <w:rPr/>
              <w:t> </w:t>
            </w:r>
          </w:p>
        </w:tc>
        <w:tc>
          <w:tcPr>
            <w:tcW w:w="92" w:type="dxa"/>
            <w:tcBorders>
              <w:bottom w:val="single" w:sz="6" w:space="0" w:color="7F7F7F"/>
            </w:tcBorders>
            <w:tcMar>
              <w:bottom w:w="40" w:type="dxa"/>
            </w:tcMar>
            <w:vAlign w:val="center"/>
          </w:tcPr>
          <w:p>
            <w:pPr>
              <w:pStyle w:val="TableContents"/>
              <w:bidi w:val="0"/>
              <w:spacing w:before="0" w:after="283"/>
              <w:jc w:val="left"/>
              <w:rPr/>
            </w:pPr>
            <w:r>
              <w:rPr/>
              <w:t> </w:t>
            </w:r>
          </w:p>
        </w:tc>
        <w:tc>
          <w:tcPr>
            <w:tcW w:w="584" w:type="dxa"/>
            <w:tcBorders>
              <w:bottom w:val="single" w:sz="6" w:space="0" w:color="7F7F7F"/>
            </w:tcBorders>
            <w:tcMar>
              <w:bottom w:w="40" w:type="dxa"/>
            </w:tcMar>
            <w:vAlign w:val="center"/>
          </w:tcPr>
          <w:p>
            <w:pPr>
              <w:pStyle w:val="TableContents"/>
              <w:bidi w:val="0"/>
              <w:spacing w:before="0" w:after="283"/>
              <w:jc w:val="right"/>
              <w:rPr/>
            </w:pPr>
            <w:r>
              <w:rPr/>
              <w:t>55</w:t>
            </w:r>
          </w:p>
        </w:tc>
        <w:tc>
          <w:tcPr>
            <w:tcW w:w="332" w:type="dxa"/>
            <w:tcBorders>
              <w:bottom w:val="single" w:sz="6" w:space="0" w:color="7F7F7F"/>
            </w:tcBorders>
            <w:tcMar>
              <w:bottom w:w="40" w:type="dxa"/>
            </w:tcMar>
            <w:vAlign w:val="center"/>
          </w:tcPr>
          <w:p>
            <w:pPr>
              <w:pStyle w:val="TableContents"/>
              <w:bidi w:val="0"/>
              <w:spacing w:before="0" w:after="283"/>
              <w:jc w:val="left"/>
              <w:rPr/>
            </w:pPr>
            <w:r>
              <w:rPr/>
              <w:t>%</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91" w:type="dxa"/>
            <w:tcBorders>
              <w:bottom w:val="single" w:sz="6" w:space="0" w:color="7F7F7F"/>
            </w:tcBorders>
            <w:tcMar>
              <w:bottom w:w="28" w:type="dxa"/>
            </w:tcMar>
            <w:vAlign w:val="center"/>
          </w:tcPr>
          <w:p>
            <w:pPr>
              <w:pStyle w:val="TableContents"/>
              <w:bidi w:val="0"/>
              <w:spacing w:before="0" w:after="283"/>
              <w:jc w:val="left"/>
              <w:rPr/>
            </w:pPr>
            <w:r>
              <w:rPr/>
              <w:t> </w:t>
            </w:r>
          </w:p>
        </w:tc>
        <w:tc>
          <w:tcPr>
            <w:tcW w:w="91" w:type="dxa"/>
            <w:tcBorders>
              <w:bottom w:val="single" w:sz="6" w:space="0" w:color="7F7F7F"/>
            </w:tcBorders>
            <w:tcMar>
              <w:bottom w:w="40" w:type="dxa"/>
            </w:tcMar>
            <w:vAlign w:val="center"/>
          </w:tcPr>
          <w:p>
            <w:pPr>
              <w:pStyle w:val="TableContents"/>
              <w:bidi w:val="0"/>
              <w:spacing w:before="0" w:after="283"/>
              <w:jc w:val="left"/>
              <w:rPr/>
            </w:pPr>
            <w:r>
              <w:rPr/>
              <w:t> </w:t>
            </w:r>
          </w:p>
        </w:tc>
        <w:tc>
          <w:tcPr>
            <w:tcW w:w="580" w:type="dxa"/>
            <w:tcBorders>
              <w:bottom w:val="single" w:sz="6" w:space="0" w:color="7F7F7F"/>
            </w:tcBorders>
            <w:tcMar>
              <w:bottom w:w="40" w:type="dxa"/>
            </w:tcMar>
            <w:vAlign w:val="center"/>
          </w:tcPr>
          <w:p>
            <w:pPr>
              <w:pStyle w:val="TableContents"/>
              <w:bidi w:val="0"/>
              <w:spacing w:before="0" w:after="283"/>
              <w:jc w:val="right"/>
              <w:rPr/>
            </w:pPr>
            <w:r>
              <w:rPr/>
              <w:t>60</w:t>
            </w:r>
          </w:p>
        </w:tc>
        <w:tc>
          <w:tcPr>
            <w:tcW w:w="353" w:type="dxa"/>
            <w:tcBorders>
              <w:bottom w:val="single" w:sz="6" w:space="0" w:color="7F7F7F"/>
            </w:tcBorders>
            <w:tcMar>
              <w:bottom w:w="40" w:type="dxa"/>
            </w:tcMar>
            <w:vAlign w:val="center"/>
          </w:tcPr>
          <w:p>
            <w:pPr>
              <w:pStyle w:val="TableContents"/>
              <w:bidi w:val="0"/>
              <w:spacing w:before="0" w:after="283"/>
              <w:jc w:val="left"/>
              <w:rPr/>
            </w:pPr>
            <w:r>
              <w:rPr/>
              <w:t>%</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Vanessa P. Williams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92" w:type="dxa"/>
            <w:tcBorders>
              <w:bottom w:val="single" w:sz="6" w:space="0" w:color="7F7F7F"/>
            </w:tcBorders>
            <w:tcMar>
              <w:bottom w:w="28" w:type="dxa"/>
            </w:tcMar>
            <w:vAlign w:val="center"/>
          </w:tcPr>
          <w:p>
            <w:pPr>
              <w:pStyle w:val="TableContents"/>
              <w:bidi w:val="0"/>
              <w:spacing w:before="0" w:after="283"/>
              <w:jc w:val="left"/>
              <w:rPr/>
            </w:pPr>
            <w:r>
              <w:rPr/>
              <w:t> </w:t>
            </w:r>
          </w:p>
        </w:tc>
        <w:tc>
          <w:tcPr>
            <w:tcW w:w="92" w:type="dxa"/>
            <w:tcBorders>
              <w:bottom w:val="single" w:sz="6" w:space="0" w:color="7F7F7F"/>
            </w:tcBorders>
            <w:tcMar>
              <w:bottom w:w="40" w:type="dxa"/>
            </w:tcMar>
            <w:vAlign w:val="center"/>
          </w:tcPr>
          <w:p>
            <w:pPr>
              <w:pStyle w:val="TableContents"/>
              <w:bidi w:val="0"/>
              <w:spacing w:before="0" w:after="283"/>
              <w:jc w:val="left"/>
              <w:rPr/>
            </w:pPr>
            <w:r>
              <w:rPr/>
              <w:t> </w:t>
            </w:r>
          </w:p>
        </w:tc>
        <w:tc>
          <w:tcPr>
            <w:tcW w:w="584" w:type="dxa"/>
            <w:tcBorders>
              <w:bottom w:val="single" w:sz="6" w:space="0" w:color="7F7F7F"/>
            </w:tcBorders>
            <w:tcMar>
              <w:bottom w:w="40" w:type="dxa"/>
            </w:tcMar>
            <w:vAlign w:val="center"/>
          </w:tcPr>
          <w:p>
            <w:pPr>
              <w:pStyle w:val="TableContents"/>
              <w:bidi w:val="0"/>
              <w:spacing w:before="0" w:after="283"/>
              <w:jc w:val="right"/>
              <w:rPr/>
            </w:pPr>
            <w:r>
              <w:rPr/>
              <w:t>75</w:t>
            </w:r>
          </w:p>
        </w:tc>
        <w:tc>
          <w:tcPr>
            <w:tcW w:w="332" w:type="dxa"/>
            <w:tcBorders>
              <w:bottom w:val="single" w:sz="6" w:space="0" w:color="7F7F7F"/>
            </w:tcBorders>
            <w:tcMar>
              <w:bottom w:w="40" w:type="dxa"/>
            </w:tcMar>
            <w:vAlign w:val="center"/>
          </w:tcPr>
          <w:p>
            <w:pPr>
              <w:pStyle w:val="TableContents"/>
              <w:bidi w:val="0"/>
              <w:spacing w:before="0" w:after="283"/>
              <w:jc w:val="left"/>
              <w:rPr/>
            </w:pPr>
            <w:r>
              <w:rPr/>
              <w:t>%</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91" w:type="dxa"/>
            <w:tcBorders>
              <w:bottom w:val="single" w:sz="6" w:space="0" w:color="7F7F7F"/>
            </w:tcBorders>
            <w:tcMar>
              <w:bottom w:w="28" w:type="dxa"/>
            </w:tcMar>
            <w:vAlign w:val="center"/>
          </w:tcPr>
          <w:p>
            <w:pPr>
              <w:pStyle w:val="TableContents"/>
              <w:bidi w:val="0"/>
              <w:spacing w:before="0" w:after="283"/>
              <w:jc w:val="left"/>
              <w:rPr/>
            </w:pPr>
            <w:r>
              <w:rPr/>
              <w:t> </w:t>
            </w:r>
          </w:p>
        </w:tc>
        <w:tc>
          <w:tcPr>
            <w:tcW w:w="91" w:type="dxa"/>
            <w:tcBorders>
              <w:bottom w:val="single" w:sz="6" w:space="0" w:color="7F7F7F"/>
            </w:tcBorders>
            <w:tcMar>
              <w:bottom w:w="40" w:type="dxa"/>
            </w:tcMar>
            <w:vAlign w:val="center"/>
          </w:tcPr>
          <w:p>
            <w:pPr>
              <w:pStyle w:val="TableContents"/>
              <w:bidi w:val="0"/>
              <w:spacing w:before="0" w:after="283"/>
              <w:jc w:val="left"/>
              <w:rPr/>
            </w:pPr>
            <w:r>
              <w:rPr/>
              <w:t> </w:t>
            </w:r>
          </w:p>
        </w:tc>
        <w:tc>
          <w:tcPr>
            <w:tcW w:w="580" w:type="dxa"/>
            <w:tcBorders>
              <w:bottom w:val="single" w:sz="6" w:space="0" w:color="7F7F7F"/>
            </w:tcBorders>
            <w:tcMar>
              <w:bottom w:w="40" w:type="dxa"/>
            </w:tcMar>
            <w:vAlign w:val="center"/>
          </w:tcPr>
          <w:p>
            <w:pPr>
              <w:pStyle w:val="TableContents"/>
              <w:bidi w:val="0"/>
              <w:spacing w:before="0" w:after="283"/>
              <w:jc w:val="right"/>
              <w:rPr/>
            </w:pPr>
            <w:r>
              <w:rPr/>
              <w:t>75</w:t>
            </w:r>
          </w:p>
        </w:tc>
        <w:tc>
          <w:tcPr>
            <w:tcW w:w="353" w:type="dxa"/>
            <w:tcBorders>
              <w:bottom w:val="single" w:sz="6" w:space="0" w:color="7F7F7F"/>
            </w:tcBorders>
            <w:tcMar>
              <w:bottom w:w="40" w:type="dxa"/>
            </w:tcMar>
            <w:vAlign w:val="center"/>
          </w:tcPr>
          <w:p>
            <w:pPr>
              <w:pStyle w:val="TableContents"/>
              <w:bidi w:val="0"/>
              <w:spacing w:before="0" w:after="283"/>
              <w:jc w:val="left"/>
              <w:rPr/>
            </w:pPr>
            <w:r>
              <w:rPr/>
              <w:t>%</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Nicola M. Soares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92" w:type="dxa"/>
            <w:tcBorders>
              <w:bottom w:val="single" w:sz="6" w:space="0" w:color="7F7F7F"/>
            </w:tcBorders>
            <w:tcMar>
              <w:bottom w:w="28" w:type="dxa"/>
            </w:tcMar>
            <w:vAlign w:val="center"/>
          </w:tcPr>
          <w:p>
            <w:pPr>
              <w:pStyle w:val="TableContents"/>
              <w:bidi w:val="0"/>
              <w:spacing w:before="0" w:after="283"/>
              <w:jc w:val="left"/>
              <w:rPr/>
            </w:pPr>
            <w:r>
              <w:rPr/>
              <w:t> </w:t>
            </w:r>
          </w:p>
        </w:tc>
        <w:tc>
          <w:tcPr>
            <w:tcW w:w="92" w:type="dxa"/>
            <w:tcBorders>
              <w:bottom w:val="single" w:sz="6" w:space="0" w:color="7F7F7F"/>
            </w:tcBorders>
            <w:tcMar>
              <w:bottom w:w="40" w:type="dxa"/>
            </w:tcMar>
            <w:vAlign w:val="center"/>
          </w:tcPr>
          <w:p>
            <w:pPr>
              <w:pStyle w:val="TableContents"/>
              <w:bidi w:val="0"/>
              <w:spacing w:before="0" w:after="283"/>
              <w:jc w:val="left"/>
              <w:rPr/>
            </w:pPr>
            <w:r>
              <w:rPr/>
              <w:t> </w:t>
            </w:r>
          </w:p>
        </w:tc>
        <w:tc>
          <w:tcPr>
            <w:tcW w:w="584" w:type="dxa"/>
            <w:tcBorders>
              <w:bottom w:val="single" w:sz="6" w:space="0" w:color="7F7F7F"/>
            </w:tcBorders>
            <w:tcMar>
              <w:bottom w:w="40" w:type="dxa"/>
            </w:tcMar>
            <w:vAlign w:val="center"/>
          </w:tcPr>
          <w:p>
            <w:pPr>
              <w:pStyle w:val="TableContents"/>
              <w:bidi w:val="0"/>
              <w:spacing w:before="0" w:after="283"/>
              <w:jc w:val="right"/>
              <w:rPr/>
            </w:pPr>
            <w:r>
              <w:rPr/>
              <w:t>55</w:t>
            </w:r>
          </w:p>
        </w:tc>
        <w:tc>
          <w:tcPr>
            <w:tcW w:w="332" w:type="dxa"/>
            <w:tcBorders>
              <w:bottom w:val="single" w:sz="6" w:space="0" w:color="7F7F7F"/>
            </w:tcBorders>
            <w:tcMar>
              <w:bottom w:w="40" w:type="dxa"/>
            </w:tcMar>
            <w:vAlign w:val="center"/>
          </w:tcPr>
          <w:p>
            <w:pPr>
              <w:pStyle w:val="TableContents"/>
              <w:bidi w:val="0"/>
              <w:spacing w:before="0" w:after="283"/>
              <w:jc w:val="left"/>
              <w:rPr/>
            </w:pPr>
            <w:r>
              <w:rPr/>
              <w:t>%</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91" w:type="dxa"/>
            <w:tcBorders>
              <w:bottom w:val="single" w:sz="6" w:space="0" w:color="7F7F7F"/>
            </w:tcBorders>
            <w:tcMar>
              <w:bottom w:w="28" w:type="dxa"/>
            </w:tcMar>
            <w:vAlign w:val="center"/>
          </w:tcPr>
          <w:p>
            <w:pPr>
              <w:pStyle w:val="TableContents"/>
              <w:bidi w:val="0"/>
              <w:spacing w:before="0" w:after="283"/>
              <w:jc w:val="left"/>
              <w:rPr/>
            </w:pPr>
            <w:r>
              <w:rPr/>
              <w:t> </w:t>
            </w:r>
          </w:p>
        </w:tc>
        <w:tc>
          <w:tcPr>
            <w:tcW w:w="91" w:type="dxa"/>
            <w:tcBorders>
              <w:bottom w:val="single" w:sz="6" w:space="0" w:color="7F7F7F"/>
            </w:tcBorders>
            <w:tcMar>
              <w:bottom w:w="40" w:type="dxa"/>
            </w:tcMar>
            <w:vAlign w:val="center"/>
          </w:tcPr>
          <w:p>
            <w:pPr>
              <w:pStyle w:val="TableContents"/>
              <w:bidi w:val="0"/>
              <w:spacing w:before="0" w:after="283"/>
              <w:jc w:val="left"/>
              <w:rPr/>
            </w:pPr>
            <w:r>
              <w:rPr/>
              <w:t> </w:t>
            </w:r>
          </w:p>
        </w:tc>
        <w:tc>
          <w:tcPr>
            <w:tcW w:w="580" w:type="dxa"/>
            <w:tcBorders>
              <w:bottom w:val="single" w:sz="6" w:space="0" w:color="7F7F7F"/>
            </w:tcBorders>
            <w:tcMar>
              <w:bottom w:w="40" w:type="dxa"/>
            </w:tcMar>
            <w:vAlign w:val="center"/>
          </w:tcPr>
          <w:p>
            <w:pPr>
              <w:pStyle w:val="TableContents"/>
              <w:bidi w:val="0"/>
              <w:spacing w:before="0" w:after="283"/>
              <w:jc w:val="right"/>
              <w:rPr/>
            </w:pPr>
            <w:r>
              <w:rPr/>
              <w:t>60</w:t>
            </w:r>
          </w:p>
        </w:tc>
        <w:tc>
          <w:tcPr>
            <w:tcW w:w="353" w:type="dxa"/>
            <w:tcBorders>
              <w:bottom w:val="single" w:sz="6" w:space="0" w:color="7F7F7F"/>
            </w:tcBorders>
            <w:tcMar>
              <w:bottom w:w="40" w:type="dxa"/>
            </w:tcMar>
            <w:vAlign w:val="center"/>
          </w:tcPr>
          <w:p>
            <w:pPr>
              <w:pStyle w:val="TableContents"/>
              <w:bidi w:val="0"/>
              <w:spacing w:before="0" w:after="283"/>
              <w:jc w:val="left"/>
              <w:rPr/>
            </w:pPr>
            <w:r>
              <w:rPr/>
              <w:t>%</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rFonts w:ascii="arial" w:hAnsi="arial"/>
                <w:b/>
                <w:i/>
                <w:sz w:val="18"/>
                <w:u w:val="single"/>
              </w:rPr>
            </w:pPr>
            <w:r>
              <w:rPr>
                <w:rFonts w:ascii="arial" w:hAnsi="arial"/>
                <w:b/>
                <w:i/>
                <w:sz w:val="18"/>
                <w:u w:val="single"/>
              </w:rPr>
              <w:t>Former Executives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0"/>
              <w:jc w:val="left"/>
              <w:rPr/>
            </w:pPr>
            <w:r>
              <w:rPr/>
              <w:t> </w:t>
            </w:r>
          </w:p>
        </w:tc>
        <w:tc>
          <w:tcPr>
            <w:tcW w:w="584" w:type="dxa"/>
            <w:tcBorders/>
            <w:vAlign w:val="center"/>
          </w:tcPr>
          <w:p>
            <w:pPr>
              <w:pStyle w:val="TableContents"/>
              <w:bidi w:val="0"/>
              <w:spacing w:before="0" w:after="0"/>
              <w:jc w:val="left"/>
              <w:rPr/>
            </w:pPr>
            <w:r>
              <w:rPr/>
              <w:t> </w:t>
            </w:r>
          </w:p>
        </w:tc>
        <w:tc>
          <w:tcPr>
            <w:tcW w:w="33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0"/>
              <w:jc w:val="left"/>
              <w:rPr/>
            </w:pPr>
            <w:r>
              <w:rPr/>
              <w:t> </w:t>
            </w:r>
          </w:p>
        </w:tc>
        <w:tc>
          <w:tcPr>
            <w:tcW w:w="580" w:type="dxa"/>
            <w:tcBorders/>
            <w:vAlign w:val="center"/>
          </w:tcPr>
          <w:p>
            <w:pPr>
              <w:pStyle w:val="TableContents"/>
              <w:bidi w:val="0"/>
              <w:spacing w:before="0" w:after="0"/>
              <w:jc w:val="left"/>
              <w:rPr/>
            </w:pPr>
            <w:r>
              <w:rPr/>
              <w:t> </w:t>
            </w:r>
          </w:p>
        </w:tc>
        <w:tc>
          <w:tcPr>
            <w:tcW w:w="353" w:type="dxa"/>
            <w:tcBorders/>
            <w:vAlign w:val="center"/>
          </w:tcPr>
          <w:p>
            <w:pPr>
              <w:pStyle w:val="TableContents"/>
              <w:bidi w:val="0"/>
              <w:spacing w:before="0" w:after="0"/>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Peter W. Quigley</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92" w:type="dxa"/>
            <w:tcBorders>
              <w:bottom w:val="single" w:sz="6" w:space="0" w:color="7F7F7F"/>
            </w:tcBorders>
            <w:tcMar>
              <w:bottom w:w="28" w:type="dxa"/>
            </w:tcMar>
            <w:vAlign w:val="center"/>
          </w:tcPr>
          <w:p>
            <w:pPr>
              <w:pStyle w:val="TableContents"/>
              <w:bidi w:val="0"/>
              <w:spacing w:before="0" w:after="283"/>
              <w:jc w:val="left"/>
              <w:rPr/>
            </w:pPr>
            <w:r>
              <w:rPr/>
              <w:t> </w:t>
            </w:r>
          </w:p>
        </w:tc>
        <w:tc>
          <w:tcPr>
            <w:tcW w:w="92" w:type="dxa"/>
            <w:tcBorders>
              <w:bottom w:val="single" w:sz="6" w:space="0" w:color="7F7F7F"/>
            </w:tcBorders>
            <w:tcMar>
              <w:bottom w:w="40" w:type="dxa"/>
            </w:tcMar>
            <w:vAlign w:val="center"/>
          </w:tcPr>
          <w:p>
            <w:pPr>
              <w:pStyle w:val="TableContents"/>
              <w:bidi w:val="0"/>
              <w:spacing w:before="0" w:after="283"/>
              <w:jc w:val="left"/>
              <w:rPr/>
            </w:pPr>
            <w:r>
              <w:rPr/>
              <w:t> </w:t>
            </w:r>
          </w:p>
        </w:tc>
        <w:tc>
          <w:tcPr>
            <w:tcW w:w="584" w:type="dxa"/>
            <w:tcBorders>
              <w:bottom w:val="single" w:sz="6" w:space="0" w:color="7F7F7F"/>
            </w:tcBorders>
            <w:tcMar>
              <w:bottom w:w="40" w:type="dxa"/>
            </w:tcMar>
            <w:vAlign w:val="center"/>
          </w:tcPr>
          <w:p>
            <w:pPr>
              <w:pStyle w:val="TableContents"/>
              <w:bidi w:val="0"/>
              <w:spacing w:before="0" w:after="283"/>
              <w:jc w:val="right"/>
              <w:rPr/>
            </w:pPr>
            <w:r>
              <w:rPr/>
              <w:t>120</w:t>
            </w:r>
          </w:p>
        </w:tc>
        <w:tc>
          <w:tcPr>
            <w:tcW w:w="332" w:type="dxa"/>
            <w:tcBorders>
              <w:bottom w:val="single" w:sz="6" w:space="0" w:color="7F7F7F"/>
            </w:tcBorders>
            <w:tcMar>
              <w:bottom w:w="40" w:type="dxa"/>
            </w:tcMar>
            <w:vAlign w:val="center"/>
          </w:tcPr>
          <w:p>
            <w:pPr>
              <w:pStyle w:val="TableContents"/>
              <w:bidi w:val="0"/>
              <w:spacing w:before="0" w:after="283"/>
              <w:jc w:val="left"/>
              <w:rPr/>
            </w:pPr>
            <w:r>
              <w:rPr/>
              <w:t>%</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91" w:type="dxa"/>
            <w:tcBorders>
              <w:bottom w:val="single" w:sz="6" w:space="0" w:color="7F7F7F"/>
            </w:tcBorders>
            <w:tcMar>
              <w:bottom w:w="28" w:type="dxa"/>
            </w:tcMar>
            <w:vAlign w:val="center"/>
          </w:tcPr>
          <w:p>
            <w:pPr>
              <w:pStyle w:val="TableContents"/>
              <w:bidi w:val="0"/>
              <w:spacing w:before="0" w:after="283"/>
              <w:jc w:val="left"/>
              <w:rPr/>
            </w:pPr>
            <w:r>
              <w:rPr/>
              <w:t> </w:t>
            </w:r>
          </w:p>
        </w:tc>
        <w:tc>
          <w:tcPr>
            <w:tcW w:w="91" w:type="dxa"/>
            <w:tcBorders>
              <w:bottom w:val="single" w:sz="6" w:space="0" w:color="7F7F7F"/>
            </w:tcBorders>
            <w:tcMar>
              <w:bottom w:w="40" w:type="dxa"/>
            </w:tcMar>
            <w:vAlign w:val="center"/>
          </w:tcPr>
          <w:p>
            <w:pPr>
              <w:pStyle w:val="TableContents"/>
              <w:bidi w:val="0"/>
              <w:spacing w:before="0" w:after="283"/>
              <w:jc w:val="left"/>
              <w:rPr/>
            </w:pPr>
            <w:r>
              <w:rPr/>
              <w:t> </w:t>
            </w:r>
          </w:p>
        </w:tc>
        <w:tc>
          <w:tcPr>
            <w:tcW w:w="580" w:type="dxa"/>
            <w:tcBorders>
              <w:bottom w:val="single" w:sz="6" w:space="0" w:color="7F7F7F"/>
            </w:tcBorders>
            <w:tcMar>
              <w:bottom w:w="40" w:type="dxa"/>
            </w:tcMar>
            <w:vAlign w:val="center"/>
          </w:tcPr>
          <w:p>
            <w:pPr>
              <w:pStyle w:val="TableContents"/>
              <w:bidi w:val="0"/>
              <w:spacing w:before="0" w:after="283"/>
              <w:jc w:val="right"/>
              <w:rPr/>
            </w:pPr>
            <w:r>
              <w:rPr/>
              <w:t>120</w:t>
            </w:r>
          </w:p>
        </w:tc>
        <w:tc>
          <w:tcPr>
            <w:tcW w:w="353" w:type="dxa"/>
            <w:tcBorders>
              <w:bottom w:val="single" w:sz="6" w:space="0" w:color="7F7F7F"/>
            </w:tcBorders>
            <w:tcMar>
              <w:bottom w:w="40" w:type="dxa"/>
            </w:tcMar>
            <w:vAlign w:val="center"/>
          </w:tcPr>
          <w:p>
            <w:pPr>
              <w:pStyle w:val="TableContents"/>
              <w:bidi w:val="0"/>
              <w:spacing w:before="0" w:after="283"/>
              <w:jc w:val="left"/>
              <w:rPr/>
            </w:pPr>
            <w:r>
              <w:rPr/>
              <w:t>%</w:t>
            </w:r>
          </w:p>
        </w:tc>
      </w:tr>
    </w:tbl>
    <w:p>
      <w:pPr>
        <w:pStyle w:val="TextBody"/>
        <w:bidi w:val="0"/>
        <w:spacing w:before="120" w:after="0"/>
        <w:jc w:val="left"/>
        <w:rPr>
          <w:rFonts w:ascii="arial" w:hAnsi="arial"/>
          <w:sz w:val="18"/>
        </w:rPr>
      </w:pPr>
      <w:r>
        <w:rPr>
          <w:rFonts w:ascii="arial" w:hAnsi="arial"/>
          <w:sz w:val="18"/>
        </w:rPr>
        <w:t xml:space="preserve">In the months leading up to year-end, the Committee reviews and determines the objectives, performance measures, and other terms and conditions of the STIP for the following plan year. For 2025, the Committee approved the use of earnings before interest, taxes, depreciation, and amortization (“EBITDA”) as the measure for the corporate component of the STIP. The Committee selected this financial measure for the STIP because it aligned with business objectives and value creation, provided balance, ensured a strong pay-performance linkage, and line of sight for the named executive officers. </w:t>
      </w:r>
    </w:p>
    <w:p>
      <w:pPr>
        <w:pStyle w:val="TextBody"/>
        <w:bidi w:val="0"/>
        <w:spacing w:before="80" w:after="0"/>
        <w:jc w:val="left"/>
        <w:rPr>
          <w:rFonts w:ascii="arial" w:hAnsi="arial"/>
          <w:sz w:val="18"/>
        </w:rPr>
      </w:pPr>
      <w:r>
        <w:rPr>
          <w:rFonts w:ascii="arial" w:hAnsi="arial"/>
          <w:sz w:val="18"/>
        </w:rPr>
        <w:t xml:space="preserve">Payout for threshold performance under the corporate component of STIP is set at 50% of a named executive officer’s target payout opportunity, with zero payout earned for performance below threshold. Achievement of target performance results in target payouts for the named executive officers. Performance above target earns incentive payouts above target and up to the maximum of 200% of target. </w:t>
      </w:r>
    </w:p>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203"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76" descr=""/>
                          <pic:cNvPicPr>
                            <a:picLocks noChangeAspect="1" noChangeArrowheads="1"/>
                          </pic:cNvPicPr>
                        </pic:nvPicPr>
                        <pic:blipFill>
                          <a:blip r:embed="rId188"/>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Performance measures used for purposes of funding STIP are the same as defined in the Company’s GAAP financial statements, excluding as determined by the Committee special items such as: changes in accounting principles, gains or losses on acquisitions or divestitures, changes in budget due to acquisitions or divestitures, restructuring expenses, and other unusual items, which are defined as such and quantified in the financial statements and/or footnotes to the Company’s Annual Report on Form 10-K. Adjustments would apply only to unbudgeted items. </w:t>
      </w:r>
    </w:p>
    <w:p>
      <w:pPr>
        <w:pStyle w:val="TextBody"/>
        <w:bidi w:val="0"/>
        <w:spacing w:before="80" w:after="0"/>
        <w:jc w:val="left"/>
        <w:rPr>
          <w:rFonts w:ascii="arial" w:hAnsi="arial"/>
          <w:sz w:val="18"/>
        </w:rPr>
      </w:pPr>
      <w:r>
        <w:rPr>
          <w:rFonts w:ascii="arial" w:hAnsi="arial"/>
          <w:sz w:val="18"/>
        </w:rPr>
        <w:t xml:space="preserve">In February 2025, the Committee determined and approved threshold, target, and maximum performance goal levels for the 2025 STIP. The threshold goal was set at a level for which the Committee believed it was appropriate to start earning incentives. At expected performance levels the target goal was set at the budgeted EBITDA. </w:t>
      </w:r>
    </w:p>
    <w:p>
      <w:pPr>
        <w:pStyle w:val="TextBody"/>
        <w:bidi w:val="0"/>
        <w:spacing w:before="80" w:after="0"/>
        <w:jc w:val="left"/>
        <w:rPr>
          <w:rFonts w:ascii="arial" w:hAnsi="arial"/>
          <w:sz w:val="18"/>
        </w:rPr>
      </w:pPr>
      <w:r>
        <w:rPr>
          <w:rFonts w:ascii="arial" w:hAnsi="arial"/>
          <w:sz w:val="18"/>
        </w:rPr>
        <w:t xml:space="preserve">Maximum goals were set at significant stretch levels, which the Committee believed warranted the earning of 200% of target payouts. For the 2025 STIP, funding for Messrs. Layden, Quigley, Anderson, and Ms. Williams was based 100% on corporate measures. Funding for Ms. Browning and Ms. Soares were based 50% on corporate measures and 50% on individual business segment measures. Straight-line interpolation occurs for the achievement of performance between the specified financial performance goals shown below. Participants also had an individual performance component which is funded (30%) from the financial performance results. The individual performance payout can be adjusted upward or downward based on </w:t>
      </w:r>
    </w:p>
    <w:p>
      <w:pPr>
        <w:pStyle w:val="TextBody"/>
        <w:bidi w:val="0"/>
        <w:spacing w:before="0" w:after="0"/>
        <w:jc w:val="left"/>
        <w:rPr>
          <w:rFonts w:ascii="arial" w:hAnsi="arial"/>
          <w:sz w:val="18"/>
        </w:rPr>
      </w:pPr>
      <w:r>
        <w:rPr>
          <w:rFonts w:ascii="arial" w:hAnsi="arial"/>
          <w:sz w:val="18"/>
        </w:rPr>
        <w:t xml:space="preserve">Objectives, Goals, Strategies, Measures (“OGSMs”) and other financial and non-financial considerations. The goals at threshold, target, and maximum for the 2025 STIP, as well as resulting performance for the measure of the corporate component were as follows: </w:t>
      </w:r>
    </w:p>
    <w:p>
      <w:pPr>
        <w:pStyle w:val="TextBody"/>
        <w:bidi w:val="0"/>
        <w:spacing w:before="0" w:after="0"/>
        <w:jc w:val="left"/>
        <w:rPr/>
      </w:pPr>
      <w:r>
        <w:rPr/>
        <w:t> </w:t>
      </w:r>
    </w:p>
    <w:tbl>
      <w:tblPr>
        <w:tblW w:w="9830" w:type="dxa"/>
        <w:jc w:val="left"/>
        <w:tblInd w:w="0" w:type="dxa"/>
        <w:tblLayout w:type="fixed"/>
        <w:tblCellMar>
          <w:top w:w="0" w:type="dxa"/>
          <w:left w:w="0" w:type="dxa"/>
          <w:bottom w:w="0" w:type="dxa"/>
          <w:right w:w="0" w:type="dxa"/>
        </w:tblCellMar>
      </w:tblPr>
      <w:tblGrid>
        <w:gridCol w:w="2360"/>
        <w:gridCol w:w="120"/>
        <w:gridCol w:w="1070"/>
        <w:gridCol w:w="120"/>
        <w:gridCol w:w="1070"/>
        <w:gridCol w:w="120"/>
        <w:gridCol w:w="770"/>
        <w:gridCol w:w="120"/>
        <w:gridCol w:w="1070"/>
        <w:gridCol w:w="120"/>
        <w:gridCol w:w="1340"/>
        <w:gridCol w:w="120"/>
        <w:gridCol w:w="1430"/>
      </w:tblGrid>
      <w:tr>
        <w:trPr/>
        <w:tc>
          <w:tcPr>
            <w:tcW w:w="23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jc w:val="left"/>
              <w:rPr/>
            </w:pPr>
            <w:r>
              <w:rPr/>
              <w:t> </w:t>
            </w:r>
          </w:p>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150" w:type="dxa"/>
            <w:gridSpan w:val="5"/>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2025 Performance Goals</w:t>
            </w:r>
          </w:p>
        </w:tc>
        <w:tc>
          <w:tcPr>
            <w:tcW w:w="12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jc w:val="left"/>
              <w:rPr/>
            </w:pPr>
            <w:r>
              <w:rPr/>
              <w:t> </w:t>
            </w:r>
          </w:p>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jc w:val="left"/>
              <w:rPr/>
            </w:pPr>
            <w:r>
              <w:rPr/>
              <w:t> </w:t>
            </w:r>
          </w:p>
          <w:p>
            <w:pPr>
              <w:pStyle w:val="TableContents"/>
              <w:bidi w:val="0"/>
              <w:spacing w:before="0" w:after="0"/>
              <w:jc w:val="left"/>
              <w:rPr/>
            </w:pPr>
            <w:r>
              <w:rPr/>
              <w:t> </w:t>
            </w:r>
          </w:p>
        </w:tc>
      </w:tr>
      <w:tr>
        <w:trPr/>
        <w:tc>
          <w:tcPr>
            <w:tcW w:w="2360" w:type="dxa"/>
            <w:tcBorders>
              <w:bottom w:val="single" w:sz="8" w:space="0" w:color="000000"/>
            </w:tcBorders>
            <w:tcMar>
              <w:bottom w:w="40" w:type="dxa"/>
            </w:tcMar>
            <w:vAlign w:val="center"/>
          </w:tcPr>
          <w:p>
            <w:pPr>
              <w:pStyle w:val="TableContents"/>
              <w:bidi w:val="0"/>
              <w:spacing w:before="0" w:after="283"/>
              <w:jc w:val="left"/>
              <w:rPr>
                <w:b/>
                <w:color w:val="00AE4F"/>
              </w:rPr>
            </w:pPr>
            <w:r>
              <w:rPr>
                <w:b/>
                <w:color w:val="00AE4F"/>
              </w:rPr>
              <w:t>Corporate Component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Weighting</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Threshold</w:t>
              <w:br/>
              <w:t>(50%)</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Target</w:t>
              <w:br/>
              <w:t>(100%)</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Maximum</w:t>
              <w:br/>
              <w:t>(200%)</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2025</w:t>
              <w:br/>
              <w:t>Performance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2025 Payout</w:t>
              <w:br/>
              <w:t>(% of Target)</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EBITDA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100%</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$144.8</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770" w:type="dxa"/>
            <w:tcBorders>
              <w:bottom w:val="single" w:sz="6" w:space="0" w:color="7F7F7F"/>
            </w:tcBorders>
            <w:tcMar>
              <w:bottom w:w="40" w:type="dxa"/>
            </w:tcMar>
            <w:vAlign w:val="center"/>
          </w:tcPr>
          <w:p>
            <w:pPr>
              <w:pStyle w:val="TableContents"/>
              <w:bidi w:val="0"/>
              <w:spacing w:before="0" w:after="283"/>
              <w:jc w:val="center"/>
              <w:rPr/>
            </w:pPr>
            <w:r>
              <w:rPr/>
              <w:t>$170.4</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$213.0</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0" w:type="dxa"/>
            <w:tcBorders>
              <w:bottom w:val="single" w:sz="6" w:space="0" w:color="7F7F7F"/>
            </w:tcBorders>
            <w:tcMar>
              <w:bottom w:w="40" w:type="dxa"/>
            </w:tcMar>
            <w:vAlign w:val="center"/>
          </w:tcPr>
          <w:p>
            <w:pPr>
              <w:pStyle w:val="TableContents"/>
              <w:bidi w:val="0"/>
              <w:spacing w:before="0" w:after="283"/>
              <w:jc w:val="center"/>
              <w:rPr/>
            </w:pPr>
            <w:r>
              <w:rPr/>
              <w:t>$109.4</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430" w:type="dxa"/>
            <w:tcBorders>
              <w:bottom w:val="single" w:sz="6" w:space="0" w:color="7F7F7F"/>
            </w:tcBorders>
            <w:tcMar>
              <w:bottom w:w="40" w:type="dxa"/>
            </w:tcMar>
            <w:vAlign w:val="center"/>
          </w:tcPr>
          <w:p>
            <w:pPr>
              <w:pStyle w:val="TableContents"/>
              <w:bidi w:val="0"/>
              <w:spacing w:before="0" w:after="283"/>
              <w:jc w:val="center"/>
              <w:rPr/>
            </w:pPr>
            <w:r>
              <w:rPr/>
              <w:t>0.0%</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7F7F7F"/>
            </w:tcBorders>
            <w:tcMar>
              <w:bottom w:w="40" w:type="dxa"/>
            </w:tcMar>
            <w:vAlign w:val="center"/>
          </w:tcPr>
          <w:p>
            <w:pPr>
              <w:pStyle w:val="TableContents"/>
              <w:bidi w:val="0"/>
              <w:spacing w:before="0" w:after="0"/>
              <w:jc w:val="left"/>
              <w:rPr>
                <w:rFonts w:ascii="arial" w:hAnsi="arial"/>
                <w:b/>
                <w:i/>
                <w:sz w:val="18"/>
              </w:rPr>
            </w:pPr>
            <w:r>
              <w:rPr>
                <w:rFonts w:ascii="arial" w:hAnsi="arial"/>
                <w:b/>
                <w:i/>
                <w:sz w:val="18"/>
              </w:rPr>
              <w:t>$ in millions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77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430" w:type="dxa"/>
            <w:tcBorders>
              <w:bottom w:val="single" w:sz="6" w:space="0" w:color="7F7F7F"/>
            </w:tcBorders>
            <w:tcMar>
              <w:bottom w:w="40" w:type="dxa"/>
            </w:tcMar>
            <w:vAlign w:val="center"/>
          </w:tcPr>
          <w:p>
            <w:pPr>
              <w:pStyle w:val="TableContents"/>
              <w:bidi w:val="0"/>
              <w:spacing w:before="0" w:after="283"/>
              <w:jc w:val="center"/>
              <w:rPr>
                <w:b/>
              </w:rPr>
            </w:pPr>
            <w:r>
              <w:rPr>
                <w:b/>
              </w:rPr>
              <w:t>0.0%</w:t>
            </w:r>
          </w:p>
        </w:tc>
      </w:tr>
    </w:tbl>
    <w:p>
      <w:pPr>
        <w:pStyle w:val="TextBody"/>
        <w:bidi w:val="0"/>
        <w:spacing w:before="240" w:after="0"/>
        <w:jc w:val="left"/>
        <w:rPr>
          <w:rFonts w:ascii="arial" w:hAnsi="arial"/>
          <w:i/>
          <w:sz w:val="18"/>
          <w:u w:val="single"/>
        </w:rPr>
      </w:pPr>
      <w:r>
        <w:rPr>
          <w:rFonts w:ascii="arial" w:hAnsi="arial"/>
          <w:i/>
          <w:sz w:val="18"/>
          <w:u w:val="single"/>
        </w:rPr>
        <w:t xml:space="preserve">Tammy L. Browning </w:t>
      </w:r>
    </w:p>
    <w:p>
      <w:pPr>
        <w:pStyle w:val="TextBody"/>
        <w:bidi w:val="0"/>
        <w:spacing w:before="80" w:after="0"/>
        <w:jc w:val="left"/>
        <w:rPr>
          <w:rFonts w:ascii="arial" w:hAnsi="arial"/>
          <w:sz w:val="18"/>
        </w:rPr>
      </w:pPr>
      <w:r>
        <w:rPr>
          <w:rFonts w:ascii="arial" w:hAnsi="arial"/>
          <w:sz w:val="18"/>
        </w:rPr>
        <w:t xml:space="preserve">Ms. Browning’s STIP opportunity was based 50% on the corporate measures and 50% on the business unit measure for which he was accountable. Performance results for each of Ms. Browning’s measures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8"/>
        <w:gridCol w:w="60"/>
        <w:gridCol w:w="1070"/>
        <w:gridCol w:w="60"/>
        <w:gridCol w:w="1070"/>
        <w:gridCol w:w="60"/>
        <w:gridCol w:w="736"/>
        <w:gridCol w:w="60"/>
        <w:gridCol w:w="1070"/>
        <w:gridCol w:w="60"/>
        <w:gridCol w:w="1340"/>
        <w:gridCol w:w="60"/>
        <w:gridCol w:w="60"/>
        <w:gridCol w:w="1775"/>
        <w:gridCol w:w="76"/>
      </w:tblGrid>
      <w:tr>
        <w:trPr/>
        <w:tc>
          <w:tcPr>
            <w:tcW w:w="26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648" w:type="dxa"/>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996" w:type="dxa"/>
            <w:gridSpan w:val="5"/>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2025 Performance Goals</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5" w:type="dxa"/>
            <w:gridSpan w:val="2"/>
            <w:tcBorders/>
            <w:vAlign w:val="center"/>
          </w:tcPr>
          <w:p>
            <w:pPr>
              <w:pStyle w:val="TableContents"/>
              <w:bidi w:val="0"/>
              <w:jc w:val="left"/>
              <w:rPr/>
            </w:pPr>
            <w:r>
              <w:rPr/>
              <w:t> </w:t>
            </w:r>
          </w:p>
          <w:p>
            <w:pPr>
              <w:pStyle w:val="TableContents"/>
              <w:bidi w:val="0"/>
              <w:spacing w:before="0" w:after="0"/>
              <w:jc w:val="left"/>
              <w:rPr/>
            </w:pPr>
            <w:r>
              <w:rPr/>
              <w:t> </w:t>
            </w:r>
          </w:p>
        </w:tc>
        <w:tc>
          <w:tcPr>
            <w:tcW w:w="76" w:type="dxa"/>
            <w:tcBorders/>
            <w:vAlign w:val="center"/>
          </w:tcPr>
          <w:p>
            <w:pPr>
              <w:pStyle w:val="TableContents"/>
              <w:bidi w:val="0"/>
              <w:spacing w:before="0" w:after="283"/>
              <w:jc w:val="left"/>
              <w:rPr/>
            </w:pPr>
            <w:r>
              <w:rPr/>
              <w:t> </w:t>
            </w:r>
          </w:p>
        </w:tc>
      </w:tr>
      <w:tr>
        <w:trPr/>
        <w:tc>
          <w:tcPr>
            <w:tcW w:w="2648" w:type="dxa"/>
            <w:tcBorders>
              <w:bottom w:val="single" w:sz="8" w:space="0" w:color="000000"/>
            </w:tcBorders>
            <w:tcMar>
              <w:bottom w:w="40" w:type="dxa"/>
            </w:tcMar>
            <w:vAlign w:val="center"/>
          </w:tcPr>
          <w:p>
            <w:pPr>
              <w:pStyle w:val="TableContents"/>
              <w:bidi w:val="0"/>
              <w:spacing w:before="0" w:after="283"/>
              <w:jc w:val="left"/>
              <w:rPr/>
            </w:pPr>
            <w:r>
              <w:rPr>
                <w:color w:val="00AE4F"/>
              </w:rPr>
              <w:t>  </w:t>
            </w:r>
            <w:r>
              <w:rPr>
                <w:b/>
                <w:color w:val="00AE4F"/>
              </w:rPr>
              <w:t>Corporate Component and Business Unit</w:t>
            </w:r>
            <w:r>
              <w:rPr/>
              <w:br/>
            </w:r>
            <w:r>
              <w:rPr>
                <w:color w:val="00AE4F"/>
              </w:rPr>
              <w:t>  </w:t>
            </w:r>
            <w:r>
              <w:rPr>
                <w:b/>
                <w:color w:val="00AE4F"/>
              </w:rPr>
              <w:t>Performance Measures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Weighting</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Threshold</w:t>
              <w:br/>
              <w:t>(50%)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Target</w:t>
              <w:br/>
              <w:t>(100%)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Maximum</w:t>
              <w:br/>
              <w:t>(200%)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2025</w:t>
              <w:br/>
              <w:t>Performance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35" w:type="dxa"/>
            <w:gridSpan w:val="2"/>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2025 Payout</w:t>
              <w:br/>
              <w:t>(% of Target)</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648" w:type="dxa"/>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971" w:type="dxa"/>
            <w:gridSpan w:val="4"/>
            <w:tcBorders/>
            <w:vAlign w:val="center"/>
          </w:tcPr>
          <w:p>
            <w:pPr>
              <w:pStyle w:val="TableContents"/>
              <w:bidi w:val="0"/>
              <w:spacing w:before="0" w:after="283"/>
              <w:jc w:val="left"/>
              <w:rPr>
                <w:sz w:val="4"/>
                <w:szCs w:val="4"/>
              </w:rPr>
            </w:pPr>
            <w:r>
              <w:rPr>
                <w:sz w:val="4"/>
                <w:szCs w:val="4"/>
              </w:rPr>
            </w:r>
          </w:p>
        </w:tc>
      </w:tr>
      <w:tr>
        <w:trPr/>
        <w:tc>
          <w:tcPr>
            <w:tcW w:w="2648"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Corporate Component Performance Measures</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50%</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$144.8</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36" w:type="dxa"/>
            <w:tcBorders>
              <w:bottom w:val="single" w:sz="6" w:space="0" w:color="7F7F7F"/>
            </w:tcBorders>
            <w:tcMar>
              <w:bottom w:w="40" w:type="dxa"/>
            </w:tcMar>
            <w:vAlign w:val="center"/>
          </w:tcPr>
          <w:p>
            <w:pPr>
              <w:pStyle w:val="TableContents"/>
              <w:bidi w:val="0"/>
              <w:spacing w:before="0" w:after="283"/>
              <w:jc w:val="center"/>
              <w:rPr/>
            </w:pPr>
            <w:r>
              <w:rPr/>
              <w:t>$170.4</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$213.0</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0" w:type="dxa"/>
            <w:tcBorders>
              <w:bottom w:val="single" w:sz="6" w:space="0" w:color="7F7F7F"/>
            </w:tcBorders>
            <w:tcMar>
              <w:bottom w:w="40" w:type="dxa"/>
            </w:tcMar>
            <w:vAlign w:val="center"/>
          </w:tcPr>
          <w:p>
            <w:pPr>
              <w:pStyle w:val="TableContents"/>
              <w:bidi w:val="0"/>
              <w:spacing w:before="0" w:after="283"/>
              <w:jc w:val="center"/>
              <w:rPr/>
            </w:pPr>
            <w:r>
              <w:rPr/>
              <w:t>$109.4</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775" w:type="dxa"/>
            <w:tcBorders>
              <w:bottom w:val="single" w:sz="6" w:space="0" w:color="7F7F7F"/>
            </w:tcBorders>
            <w:tcMar>
              <w:bottom w:w="40" w:type="dxa"/>
            </w:tcMar>
            <w:vAlign w:val="center"/>
          </w:tcPr>
          <w:p>
            <w:pPr>
              <w:pStyle w:val="TableContents"/>
              <w:bidi w:val="0"/>
              <w:spacing w:before="0" w:after="283"/>
              <w:jc w:val="center"/>
              <w:rPr/>
            </w:pPr>
            <w:r>
              <w:rPr/>
              <w:t>0.0%</w:t>
            </w:r>
          </w:p>
        </w:tc>
        <w:tc>
          <w:tcPr>
            <w:tcW w:w="76"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2648" w:type="dxa"/>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971" w:type="dxa"/>
            <w:gridSpan w:val="4"/>
            <w:tcBorders/>
            <w:vAlign w:val="center"/>
          </w:tcPr>
          <w:p>
            <w:pPr>
              <w:pStyle w:val="TableContents"/>
              <w:bidi w:val="0"/>
              <w:spacing w:before="0" w:after="283"/>
              <w:jc w:val="left"/>
              <w:rPr>
                <w:sz w:val="4"/>
                <w:szCs w:val="4"/>
              </w:rPr>
            </w:pPr>
            <w:r>
              <w:rPr>
                <w:sz w:val="4"/>
                <w:szCs w:val="4"/>
              </w:rPr>
            </w:r>
          </w:p>
        </w:tc>
      </w:tr>
      <w:tr>
        <w:trPr/>
        <w:tc>
          <w:tcPr>
            <w:tcW w:w="2648"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Business Unit Gross Profit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25%</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$393.2</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36" w:type="dxa"/>
            <w:tcBorders>
              <w:bottom w:val="single" w:sz="6" w:space="0" w:color="7F7F7F"/>
            </w:tcBorders>
            <w:tcMar>
              <w:bottom w:w="40" w:type="dxa"/>
            </w:tcMar>
            <w:vAlign w:val="center"/>
          </w:tcPr>
          <w:p>
            <w:pPr>
              <w:pStyle w:val="TableContents"/>
              <w:bidi w:val="0"/>
              <w:spacing w:before="0" w:after="283"/>
              <w:jc w:val="center"/>
              <w:rPr/>
            </w:pPr>
            <w:r>
              <w:rPr/>
              <w:t>$462.6</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$578.3</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0" w:type="dxa"/>
            <w:tcBorders>
              <w:bottom w:val="single" w:sz="6" w:space="0" w:color="7F7F7F"/>
            </w:tcBorders>
            <w:tcMar>
              <w:bottom w:w="40" w:type="dxa"/>
            </w:tcMar>
            <w:vAlign w:val="center"/>
          </w:tcPr>
          <w:p>
            <w:pPr>
              <w:pStyle w:val="TableContents"/>
              <w:bidi w:val="0"/>
              <w:spacing w:before="0" w:after="283"/>
              <w:jc w:val="center"/>
              <w:rPr/>
            </w:pPr>
            <w:r>
              <w:rPr/>
              <w:t>$392.8</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775" w:type="dxa"/>
            <w:tcBorders>
              <w:bottom w:val="single" w:sz="6" w:space="0" w:color="7F7F7F"/>
            </w:tcBorders>
            <w:tcMar>
              <w:bottom w:w="40" w:type="dxa"/>
            </w:tcMar>
            <w:vAlign w:val="center"/>
          </w:tcPr>
          <w:p>
            <w:pPr>
              <w:pStyle w:val="TableContents"/>
              <w:bidi w:val="0"/>
              <w:spacing w:before="0" w:after="283"/>
              <w:jc w:val="center"/>
              <w:rPr/>
            </w:pPr>
            <w:r>
              <w:rPr/>
              <w:t>0.0%</w:t>
            </w:r>
          </w:p>
        </w:tc>
        <w:tc>
          <w:tcPr>
            <w:tcW w:w="76"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2648" w:type="dxa"/>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971" w:type="dxa"/>
            <w:gridSpan w:val="4"/>
            <w:tcBorders/>
            <w:vAlign w:val="center"/>
          </w:tcPr>
          <w:p>
            <w:pPr>
              <w:pStyle w:val="TableContents"/>
              <w:bidi w:val="0"/>
              <w:spacing w:before="0" w:after="283"/>
              <w:jc w:val="left"/>
              <w:rPr>
                <w:sz w:val="4"/>
                <w:szCs w:val="4"/>
              </w:rPr>
            </w:pPr>
            <w:r>
              <w:rPr>
                <w:sz w:val="4"/>
                <w:szCs w:val="4"/>
              </w:rPr>
            </w:r>
          </w:p>
        </w:tc>
      </w:tr>
      <w:tr>
        <w:trPr/>
        <w:tc>
          <w:tcPr>
            <w:tcW w:w="2648"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Business Unit EBITDA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25%</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$55.2</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36" w:type="dxa"/>
            <w:tcBorders>
              <w:bottom w:val="single" w:sz="6" w:space="0" w:color="7F7F7F"/>
            </w:tcBorders>
            <w:tcMar>
              <w:bottom w:w="40" w:type="dxa"/>
            </w:tcMar>
            <w:vAlign w:val="center"/>
          </w:tcPr>
          <w:p>
            <w:pPr>
              <w:pStyle w:val="TableContents"/>
              <w:bidi w:val="0"/>
              <w:spacing w:before="0" w:after="283"/>
              <w:jc w:val="center"/>
              <w:rPr/>
            </w:pPr>
            <w:r>
              <w:rPr/>
              <w:t>$64.9</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$81.2</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0" w:type="dxa"/>
            <w:tcBorders>
              <w:bottom w:val="single" w:sz="6" w:space="0" w:color="7F7F7F"/>
            </w:tcBorders>
            <w:tcMar>
              <w:bottom w:w="40" w:type="dxa"/>
            </w:tcMar>
            <w:vAlign w:val="center"/>
          </w:tcPr>
          <w:p>
            <w:pPr>
              <w:pStyle w:val="TableContents"/>
              <w:bidi w:val="0"/>
              <w:spacing w:before="0" w:after="283"/>
              <w:jc w:val="center"/>
              <w:rPr/>
            </w:pPr>
            <w:r>
              <w:rPr/>
              <w:t>$27.5</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775" w:type="dxa"/>
            <w:tcBorders>
              <w:bottom w:val="single" w:sz="6" w:space="0" w:color="7F7F7F"/>
            </w:tcBorders>
            <w:tcMar>
              <w:bottom w:w="40" w:type="dxa"/>
            </w:tcMar>
            <w:vAlign w:val="center"/>
          </w:tcPr>
          <w:p>
            <w:pPr>
              <w:pStyle w:val="TableContents"/>
              <w:bidi w:val="0"/>
              <w:spacing w:before="0" w:after="283"/>
              <w:jc w:val="center"/>
              <w:rPr/>
            </w:pPr>
            <w:r>
              <w:rPr/>
              <w:t>0.0%</w:t>
            </w:r>
          </w:p>
        </w:tc>
        <w:tc>
          <w:tcPr>
            <w:tcW w:w="76"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2648" w:type="dxa"/>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971" w:type="dxa"/>
            <w:gridSpan w:val="4"/>
            <w:tcBorders/>
            <w:vAlign w:val="center"/>
          </w:tcPr>
          <w:p>
            <w:pPr>
              <w:pStyle w:val="TableContents"/>
              <w:bidi w:val="0"/>
              <w:spacing w:before="0" w:after="283"/>
              <w:jc w:val="left"/>
              <w:rPr>
                <w:sz w:val="4"/>
                <w:szCs w:val="4"/>
              </w:rPr>
            </w:pPr>
            <w:r>
              <w:rPr>
                <w:sz w:val="4"/>
                <w:szCs w:val="4"/>
              </w:rPr>
            </w:r>
          </w:p>
        </w:tc>
      </w:tr>
      <w:tr>
        <w:trPr/>
        <w:tc>
          <w:tcPr>
            <w:tcW w:w="2648" w:type="dxa"/>
            <w:tcBorders>
              <w:bottom w:val="single" w:sz="6" w:space="0" w:color="7F7F7F"/>
            </w:tcBorders>
            <w:tcMar>
              <w:bottom w:w="40" w:type="dxa"/>
            </w:tcMar>
            <w:vAlign w:val="center"/>
          </w:tcPr>
          <w:p>
            <w:pPr>
              <w:pStyle w:val="TableContents"/>
              <w:bidi w:val="0"/>
              <w:spacing w:before="0" w:after="0"/>
              <w:jc w:val="left"/>
              <w:rPr>
                <w:rFonts w:ascii="arial" w:hAnsi="arial"/>
                <w:b/>
                <w:i/>
                <w:sz w:val="18"/>
              </w:rPr>
            </w:pPr>
            <w:r>
              <w:rPr>
                <w:rFonts w:ascii="arial" w:hAnsi="arial"/>
                <w:b/>
                <w:i/>
                <w:sz w:val="18"/>
              </w:rPr>
              <w:t>$ in millions</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b/>
              </w:rPr>
            </w:pPr>
            <w:r>
              <w:rPr>
                <w:b/>
              </w:rPr>
              <w:t>100%</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36"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775" w:type="dxa"/>
            <w:tcBorders>
              <w:bottom w:val="single" w:sz="6" w:space="0" w:color="7F7F7F"/>
            </w:tcBorders>
            <w:tcMar>
              <w:bottom w:w="40" w:type="dxa"/>
            </w:tcMar>
            <w:vAlign w:val="center"/>
          </w:tcPr>
          <w:p>
            <w:pPr>
              <w:pStyle w:val="TableContents"/>
              <w:bidi w:val="0"/>
              <w:spacing w:before="0" w:after="283"/>
              <w:jc w:val="right"/>
              <w:rPr>
                <w:b/>
              </w:rPr>
            </w:pPr>
            <w:r>
              <w:rPr>
                <w:b/>
              </w:rPr>
              <w:t>Weighted Payout</w:t>
              <w:br/>
              <w:t>0.0%</w:t>
            </w:r>
          </w:p>
        </w:tc>
        <w:tc>
          <w:tcPr>
            <w:tcW w:w="76" w:type="dxa"/>
            <w:tcBorders>
              <w:bottom w:val="single" w:sz="6" w:space="0" w:color="7F7F7F"/>
            </w:tcBorders>
            <w:tcMar>
              <w:bottom w:w="40" w:type="dxa"/>
            </w:tcMar>
            <w:vAlign w:val="center"/>
          </w:tcPr>
          <w:p>
            <w:pPr>
              <w:pStyle w:val="TableContents"/>
              <w:bidi w:val="0"/>
              <w:spacing w:before="0" w:after="283"/>
              <w:jc w:val="left"/>
              <w:rPr/>
            </w:pPr>
            <w:r>
              <w:rPr/>
              <w:t> </w:t>
            </w:r>
            <w:r>
              <w:rPr>
                <w:b/>
              </w:rPr>
              <w:br/>
              <w:t> </w:t>
            </w:r>
          </w:p>
        </w:tc>
      </w:tr>
    </w:tbl>
    <w:p>
      <w:pPr>
        <w:pStyle w:val="TextBody"/>
        <w:bidi w:val="0"/>
        <w:spacing w:before="360" w:after="0"/>
        <w:jc w:val="left"/>
        <w:rPr>
          <w:rFonts w:ascii="arial" w:hAnsi="arial"/>
          <w:i/>
          <w:sz w:val="18"/>
          <w:u w:val="single"/>
        </w:rPr>
      </w:pPr>
      <w:r>
        <w:rPr>
          <w:rFonts w:ascii="arial" w:hAnsi="arial"/>
          <w:i/>
          <w:sz w:val="18"/>
          <w:u w:val="single"/>
        </w:rPr>
        <w:t xml:space="preserve">Nicola M. Soares </w:t>
      </w:r>
    </w:p>
    <w:p>
      <w:pPr>
        <w:pStyle w:val="TextBody"/>
        <w:bidi w:val="0"/>
        <w:spacing w:before="120" w:after="0"/>
        <w:jc w:val="left"/>
        <w:rPr>
          <w:rFonts w:ascii="arial" w:hAnsi="arial"/>
          <w:sz w:val="18"/>
        </w:rPr>
      </w:pPr>
      <w:r>
        <w:rPr>
          <w:rFonts w:ascii="arial" w:hAnsi="arial"/>
          <w:sz w:val="18"/>
        </w:rPr>
        <w:t xml:space="preserve">Ms. Soares’ STIP opportunity was based 50% on the corporate measures and 50% on the business unit measure for which she was accountable. Performance results for each of Ms. Soares’ measures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8"/>
        <w:gridCol w:w="60"/>
        <w:gridCol w:w="1070"/>
        <w:gridCol w:w="60"/>
        <w:gridCol w:w="1070"/>
        <w:gridCol w:w="60"/>
        <w:gridCol w:w="736"/>
        <w:gridCol w:w="60"/>
        <w:gridCol w:w="1070"/>
        <w:gridCol w:w="60"/>
        <w:gridCol w:w="1340"/>
        <w:gridCol w:w="60"/>
        <w:gridCol w:w="60"/>
        <w:gridCol w:w="1775"/>
        <w:gridCol w:w="76"/>
      </w:tblGrid>
      <w:tr>
        <w:trPr/>
        <w:tc>
          <w:tcPr>
            <w:tcW w:w="26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648" w:type="dxa"/>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996" w:type="dxa"/>
            <w:gridSpan w:val="5"/>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2025 Performance Goals</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5" w:type="dxa"/>
            <w:gridSpan w:val="2"/>
            <w:tcBorders/>
            <w:vAlign w:val="center"/>
          </w:tcPr>
          <w:p>
            <w:pPr>
              <w:pStyle w:val="TableContents"/>
              <w:bidi w:val="0"/>
              <w:jc w:val="left"/>
              <w:rPr/>
            </w:pPr>
            <w:r>
              <w:rPr/>
              <w:t> </w:t>
            </w:r>
          </w:p>
          <w:p>
            <w:pPr>
              <w:pStyle w:val="TableContents"/>
              <w:bidi w:val="0"/>
              <w:spacing w:before="0" w:after="0"/>
              <w:jc w:val="left"/>
              <w:rPr/>
            </w:pPr>
            <w:r>
              <w:rPr/>
              <w:t> </w:t>
            </w:r>
          </w:p>
        </w:tc>
        <w:tc>
          <w:tcPr>
            <w:tcW w:w="76" w:type="dxa"/>
            <w:tcBorders/>
            <w:vAlign w:val="center"/>
          </w:tcPr>
          <w:p>
            <w:pPr>
              <w:pStyle w:val="TableContents"/>
              <w:bidi w:val="0"/>
              <w:spacing w:before="0" w:after="283"/>
              <w:jc w:val="left"/>
              <w:rPr/>
            </w:pPr>
            <w:r>
              <w:rPr/>
              <w:t> </w:t>
            </w:r>
          </w:p>
        </w:tc>
      </w:tr>
      <w:tr>
        <w:trPr/>
        <w:tc>
          <w:tcPr>
            <w:tcW w:w="2648" w:type="dxa"/>
            <w:tcBorders>
              <w:bottom w:val="single" w:sz="8" w:space="0" w:color="000000"/>
            </w:tcBorders>
            <w:tcMar>
              <w:bottom w:w="40" w:type="dxa"/>
            </w:tcMar>
            <w:vAlign w:val="center"/>
          </w:tcPr>
          <w:p>
            <w:pPr>
              <w:pStyle w:val="TableContents"/>
              <w:bidi w:val="0"/>
              <w:spacing w:before="0" w:after="283"/>
              <w:jc w:val="left"/>
              <w:rPr/>
            </w:pPr>
            <w:r>
              <w:rPr>
                <w:color w:val="00AE4F"/>
              </w:rPr>
              <w:t>  </w:t>
            </w:r>
            <w:r>
              <w:rPr>
                <w:b/>
                <w:color w:val="00AE4F"/>
              </w:rPr>
              <w:t>Corporate Component and Business Unit</w:t>
            </w:r>
            <w:r>
              <w:rPr/>
              <w:br/>
            </w:r>
            <w:r>
              <w:rPr>
                <w:color w:val="00AE4F"/>
              </w:rPr>
              <w:t>  </w:t>
            </w:r>
            <w:r>
              <w:rPr>
                <w:b/>
                <w:color w:val="00AE4F"/>
              </w:rPr>
              <w:t>Performance Measures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Weighting</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Threshold</w:t>
              <w:br/>
              <w:t>(50%)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Target</w:t>
              <w:br/>
              <w:t>(100%)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Maximum</w:t>
              <w:br/>
              <w:t>(200%)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2025</w:t>
              <w:br/>
              <w:t>Performance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35" w:type="dxa"/>
            <w:gridSpan w:val="2"/>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2025 Payout</w:t>
              <w:br/>
              <w:t>(% of Target)</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648" w:type="dxa"/>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971" w:type="dxa"/>
            <w:gridSpan w:val="4"/>
            <w:tcBorders/>
            <w:vAlign w:val="center"/>
          </w:tcPr>
          <w:p>
            <w:pPr>
              <w:pStyle w:val="TableContents"/>
              <w:bidi w:val="0"/>
              <w:spacing w:before="0" w:after="283"/>
              <w:jc w:val="left"/>
              <w:rPr>
                <w:sz w:val="4"/>
                <w:szCs w:val="4"/>
              </w:rPr>
            </w:pPr>
            <w:r>
              <w:rPr>
                <w:sz w:val="4"/>
                <w:szCs w:val="4"/>
              </w:rPr>
            </w:r>
          </w:p>
        </w:tc>
      </w:tr>
      <w:tr>
        <w:trPr/>
        <w:tc>
          <w:tcPr>
            <w:tcW w:w="2648"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Corporate Component Performance Measures</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50%</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$144.8</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36" w:type="dxa"/>
            <w:tcBorders>
              <w:bottom w:val="single" w:sz="6" w:space="0" w:color="7F7F7F"/>
            </w:tcBorders>
            <w:tcMar>
              <w:bottom w:w="40" w:type="dxa"/>
            </w:tcMar>
            <w:vAlign w:val="center"/>
          </w:tcPr>
          <w:p>
            <w:pPr>
              <w:pStyle w:val="TableContents"/>
              <w:bidi w:val="0"/>
              <w:spacing w:before="0" w:after="283"/>
              <w:jc w:val="center"/>
              <w:rPr/>
            </w:pPr>
            <w:r>
              <w:rPr/>
              <w:t>$170.4</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$213.0</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0" w:type="dxa"/>
            <w:tcBorders>
              <w:bottom w:val="single" w:sz="6" w:space="0" w:color="7F7F7F"/>
            </w:tcBorders>
            <w:tcMar>
              <w:bottom w:w="40" w:type="dxa"/>
            </w:tcMar>
            <w:vAlign w:val="center"/>
          </w:tcPr>
          <w:p>
            <w:pPr>
              <w:pStyle w:val="TableContents"/>
              <w:bidi w:val="0"/>
              <w:spacing w:before="0" w:after="283"/>
              <w:jc w:val="center"/>
              <w:rPr/>
            </w:pPr>
            <w:r>
              <w:rPr/>
              <w:t>$109.4</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775" w:type="dxa"/>
            <w:tcBorders>
              <w:bottom w:val="single" w:sz="6" w:space="0" w:color="7F7F7F"/>
            </w:tcBorders>
            <w:tcMar>
              <w:bottom w:w="40" w:type="dxa"/>
            </w:tcMar>
            <w:vAlign w:val="center"/>
          </w:tcPr>
          <w:p>
            <w:pPr>
              <w:pStyle w:val="TableContents"/>
              <w:bidi w:val="0"/>
              <w:spacing w:before="0" w:after="283"/>
              <w:jc w:val="center"/>
              <w:rPr/>
            </w:pPr>
            <w:r>
              <w:rPr/>
              <w:t>0.0%</w:t>
            </w:r>
          </w:p>
        </w:tc>
        <w:tc>
          <w:tcPr>
            <w:tcW w:w="76"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2648" w:type="dxa"/>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971" w:type="dxa"/>
            <w:gridSpan w:val="4"/>
            <w:tcBorders/>
            <w:vAlign w:val="center"/>
          </w:tcPr>
          <w:p>
            <w:pPr>
              <w:pStyle w:val="TableContents"/>
              <w:bidi w:val="0"/>
              <w:spacing w:before="0" w:after="283"/>
              <w:jc w:val="left"/>
              <w:rPr>
                <w:sz w:val="4"/>
                <w:szCs w:val="4"/>
              </w:rPr>
            </w:pPr>
            <w:r>
              <w:rPr>
                <w:sz w:val="4"/>
                <w:szCs w:val="4"/>
              </w:rPr>
            </w:r>
          </w:p>
        </w:tc>
      </w:tr>
      <w:tr>
        <w:trPr/>
        <w:tc>
          <w:tcPr>
            <w:tcW w:w="2648"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Business Unit Gross Profit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25%</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$135.5</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36" w:type="dxa"/>
            <w:tcBorders>
              <w:bottom w:val="single" w:sz="6" w:space="0" w:color="7F7F7F"/>
            </w:tcBorders>
            <w:tcMar>
              <w:bottom w:w="40" w:type="dxa"/>
            </w:tcMar>
            <w:vAlign w:val="center"/>
          </w:tcPr>
          <w:p>
            <w:pPr>
              <w:pStyle w:val="TableContents"/>
              <w:bidi w:val="0"/>
              <w:spacing w:before="0" w:after="283"/>
              <w:jc w:val="center"/>
              <w:rPr/>
            </w:pPr>
            <w:r>
              <w:rPr/>
              <w:t>$159.4</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$199.2</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0" w:type="dxa"/>
            <w:tcBorders>
              <w:bottom w:val="single" w:sz="6" w:space="0" w:color="7F7F7F"/>
            </w:tcBorders>
            <w:tcMar>
              <w:bottom w:w="40" w:type="dxa"/>
            </w:tcMar>
            <w:vAlign w:val="center"/>
          </w:tcPr>
          <w:p>
            <w:pPr>
              <w:pStyle w:val="TableContents"/>
              <w:bidi w:val="0"/>
              <w:spacing w:before="0" w:after="283"/>
              <w:jc w:val="center"/>
              <w:rPr/>
            </w:pPr>
            <w:r>
              <w:rPr/>
              <w:t>$147.0</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775" w:type="dxa"/>
            <w:tcBorders>
              <w:bottom w:val="single" w:sz="6" w:space="0" w:color="7F7F7F"/>
            </w:tcBorders>
            <w:tcMar>
              <w:bottom w:w="40" w:type="dxa"/>
            </w:tcMar>
            <w:vAlign w:val="center"/>
          </w:tcPr>
          <w:p>
            <w:pPr>
              <w:pStyle w:val="TableContents"/>
              <w:bidi w:val="0"/>
              <w:spacing w:before="0" w:after="283"/>
              <w:jc w:val="center"/>
              <w:rPr/>
            </w:pPr>
            <w:r>
              <w:rPr/>
              <w:t>92.2%</w:t>
            </w:r>
          </w:p>
        </w:tc>
        <w:tc>
          <w:tcPr>
            <w:tcW w:w="76"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2648" w:type="dxa"/>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971" w:type="dxa"/>
            <w:gridSpan w:val="4"/>
            <w:tcBorders/>
            <w:vAlign w:val="center"/>
          </w:tcPr>
          <w:p>
            <w:pPr>
              <w:pStyle w:val="TableContents"/>
              <w:bidi w:val="0"/>
              <w:spacing w:before="0" w:after="283"/>
              <w:jc w:val="left"/>
              <w:rPr>
                <w:sz w:val="4"/>
                <w:szCs w:val="4"/>
              </w:rPr>
            </w:pPr>
            <w:r>
              <w:rPr>
                <w:sz w:val="4"/>
                <w:szCs w:val="4"/>
              </w:rPr>
            </w:r>
          </w:p>
        </w:tc>
      </w:tr>
      <w:tr>
        <w:trPr/>
        <w:tc>
          <w:tcPr>
            <w:tcW w:w="2648"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Business Unit EBITDA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25%</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$43.3</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36" w:type="dxa"/>
            <w:tcBorders>
              <w:bottom w:val="single" w:sz="6" w:space="0" w:color="7F7F7F"/>
            </w:tcBorders>
            <w:tcMar>
              <w:bottom w:w="40" w:type="dxa"/>
            </w:tcMar>
            <w:vAlign w:val="center"/>
          </w:tcPr>
          <w:p>
            <w:pPr>
              <w:pStyle w:val="TableContents"/>
              <w:bidi w:val="0"/>
              <w:spacing w:before="0" w:after="283"/>
              <w:jc w:val="center"/>
              <w:rPr/>
            </w:pPr>
            <w:r>
              <w:rPr/>
              <w:t>$50.9</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$63.6</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0" w:type="dxa"/>
            <w:tcBorders>
              <w:bottom w:val="single" w:sz="6" w:space="0" w:color="7F7F7F"/>
            </w:tcBorders>
            <w:tcMar>
              <w:bottom w:w="40" w:type="dxa"/>
            </w:tcMar>
            <w:vAlign w:val="center"/>
          </w:tcPr>
          <w:p>
            <w:pPr>
              <w:pStyle w:val="TableContents"/>
              <w:bidi w:val="0"/>
              <w:spacing w:before="0" w:after="283"/>
              <w:jc w:val="center"/>
              <w:rPr/>
            </w:pPr>
            <w:r>
              <w:rPr/>
              <w:t>$46.2</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775" w:type="dxa"/>
            <w:tcBorders>
              <w:bottom w:val="single" w:sz="6" w:space="0" w:color="7F7F7F"/>
            </w:tcBorders>
            <w:tcMar>
              <w:bottom w:w="40" w:type="dxa"/>
            </w:tcMar>
            <w:vAlign w:val="center"/>
          </w:tcPr>
          <w:p>
            <w:pPr>
              <w:pStyle w:val="TableContents"/>
              <w:bidi w:val="0"/>
              <w:spacing w:before="0" w:after="283"/>
              <w:jc w:val="center"/>
              <w:rPr/>
            </w:pPr>
            <w:r>
              <w:rPr/>
              <w:t>90.7%</w:t>
            </w:r>
          </w:p>
        </w:tc>
        <w:tc>
          <w:tcPr>
            <w:tcW w:w="76"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2648" w:type="dxa"/>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971" w:type="dxa"/>
            <w:gridSpan w:val="4"/>
            <w:tcBorders/>
            <w:vAlign w:val="center"/>
          </w:tcPr>
          <w:p>
            <w:pPr>
              <w:pStyle w:val="TableContents"/>
              <w:bidi w:val="0"/>
              <w:spacing w:before="0" w:after="283"/>
              <w:jc w:val="left"/>
              <w:rPr>
                <w:sz w:val="4"/>
                <w:szCs w:val="4"/>
              </w:rPr>
            </w:pPr>
            <w:r>
              <w:rPr>
                <w:sz w:val="4"/>
                <w:szCs w:val="4"/>
              </w:rPr>
            </w:r>
          </w:p>
        </w:tc>
      </w:tr>
      <w:tr>
        <w:trPr/>
        <w:tc>
          <w:tcPr>
            <w:tcW w:w="2648" w:type="dxa"/>
            <w:tcBorders>
              <w:bottom w:val="single" w:sz="6" w:space="0" w:color="7F7F7F"/>
            </w:tcBorders>
            <w:tcMar>
              <w:bottom w:w="40" w:type="dxa"/>
            </w:tcMar>
            <w:vAlign w:val="center"/>
          </w:tcPr>
          <w:p>
            <w:pPr>
              <w:pStyle w:val="TableContents"/>
              <w:bidi w:val="0"/>
              <w:spacing w:before="0" w:after="0"/>
              <w:jc w:val="left"/>
              <w:rPr>
                <w:rFonts w:ascii="arial" w:hAnsi="arial"/>
                <w:b/>
                <w:i/>
                <w:sz w:val="18"/>
              </w:rPr>
            </w:pPr>
            <w:r>
              <w:rPr>
                <w:rFonts w:ascii="arial" w:hAnsi="arial"/>
                <w:b/>
                <w:i/>
                <w:sz w:val="18"/>
              </w:rPr>
              <w:t>$ in millions</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b/>
              </w:rPr>
            </w:pPr>
            <w:r>
              <w:rPr>
                <w:b/>
              </w:rPr>
              <w:t>100%</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36"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34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775" w:type="dxa"/>
            <w:tcBorders>
              <w:bottom w:val="single" w:sz="6" w:space="0" w:color="7F7F7F"/>
            </w:tcBorders>
            <w:tcMar>
              <w:bottom w:w="40" w:type="dxa"/>
            </w:tcMar>
            <w:vAlign w:val="center"/>
          </w:tcPr>
          <w:p>
            <w:pPr>
              <w:pStyle w:val="TableContents"/>
              <w:bidi w:val="0"/>
              <w:spacing w:before="0" w:after="283"/>
              <w:jc w:val="right"/>
              <w:rPr>
                <w:b/>
              </w:rPr>
            </w:pPr>
            <w:r>
              <w:rPr>
                <w:b/>
              </w:rPr>
              <w:t>Weighted Payout</w:t>
              <w:br/>
              <w:t>35.8%</w:t>
            </w:r>
          </w:p>
        </w:tc>
        <w:tc>
          <w:tcPr>
            <w:tcW w:w="76" w:type="dxa"/>
            <w:tcBorders>
              <w:bottom w:val="single" w:sz="6" w:space="0" w:color="7F7F7F"/>
            </w:tcBorders>
            <w:tcMar>
              <w:bottom w:w="40" w:type="dxa"/>
            </w:tcMar>
            <w:vAlign w:val="center"/>
          </w:tcPr>
          <w:p>
            <w:pPr>
              <w:pStyle w:val="TableContents"/>
              <w:bidi w:val="0"/>
              <w:spacing w:before="0" w:after="283"/>
              <w:jc w:val="left"/>
              <w:rPr/>
            </w:pPr>
            <w:r>
              <w:rPr/>
              <w:t> </w:t>
            </w:r>
            <w:r>
              <w:rPr>
                <w:b/>
              </w:rPr>
              <w:br/>
              <w:t> </w:t>
            </w:r>
          </w:p>
        </w:tc>
      </w:tr>
    </w:tbl>
    <w:p>
      <w:pPr>
        <w:pStyle w:val="TextBody"/>
        <w:bidi w:val="0"/>
        <w:spacing w:before="80" w:after="0"/>
        <w:jc w:val="left"/>
        <w:rPr>
          <w:rFonts w:ascii="arial" w:hAnsi="arial"/>
          <w:sz w:val="18"/>
        </w:rPr>
      </w:pPr>
      <w:r>
        <w:rPr>
          <w:rFonts w:ascii="arial" w:hAnsi="arial"/>
          <w:sz w:val="18"/>
        </w:rPr>
        <w:t xml:space="preserve">Under the terms of the STIP, the Committee retains the right in its discretion to adjust a STIP award based on Company, business unit, or individual performance. The Committee has no discretion to increase a STIP award for named executive officers, outside of the aforementioned parameters. STIP awards made in 2025 to named executive officers are subject to the Company’s Clawback Policy. </w:t>
      </w:r>
    </w:p>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56 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204"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77" descr=""/>
                          <pic:cNvPicPr>
                            <a:picLocks noChangeAspect="1" noChangeArrowheads="1"/>
                          </pic:cNvPicPr>
                        </pic:nvPicPr>
                        <pic:blipFill>
                          <a:blip r:embed="rId189"/>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As discussed above, 2025 corporate performance fell below threshold levels under the STIP design and therefore did not fund. As a result, enterprise-based participants did not earn payouts under the plan. Ms. Soares, whose STIP opportunity was weighted 50% to corporate performance and 50% to business unit performance, earned a payout equal to 35.8% of target based solely on business unit results, resulting in a payment of $89,816. Pursuant to his employment agreement, Mr. Layden received a guaranteed 2025 STIP payment of $450,000, which was structured to compensate him for incentive compensation forfeited upon leaving his prior employer. No other named executive officers earned a payout under the 2025 STIP. </w:t>
      </w:r>
    </w:p>
    <w:p>
      <w:pPr>
        <w:pStyle w:val="TextBody"/>
        <w:bidi w:val="0"/>
        <w:spacing w:before="240" w:after="0"/>
        <w:jc w:val="left"/>
        <w:rPr>
          <w:rFonts w:ascii="arial" w:hAnsi="arial"/>
          <w:i/>
          <w:sz w:val="18"/>
        </w:rPr>
      </w:pPr>
      <w:bookmarkStart w:id="69" w:name="txa2837686_2019"/>
      <w:bookmarkStart w:id="70" w:name="toc37355_59"/>
      <w:bookmarkEnd w:id="69"/>
      <w:bookmarkEnd w:id="70"/>
      <w:r>
        <w:rPr>
          <w:rFonts w:ascii="arial" w:hAnsi="arial"/>
          <w:i/>
          <w:sz w:val="18"/>
        </w:rPr>
        <w:t xml:space="preserve">Long-Term Incentives (“LTI”) </w:t>
      </w:r>
    </w:p>
    <w:p>
      <w:pPr>
        <w:pStyle w:val="TextBody"/>
        <w:bidi w:val="0"/>
        <w:spacing w:before="80" w:after="0"/>
        <w:jc w:val="left"/>
        <w:rPr>
          <w:rFonts w:ascii="arial" w:hAnsi="arial"/>
          <w:sz w:val="18"/>
        </w:rPr>
      </w:pPr>
      <w:r>
        <w:rPr>
          <w:rFonts w:ascii="arial" w:hAnsi="arial"/>
          <w:sz w:val="18"/>
        </w:rPr>
        <w:t xml:space="preserve">The 2025 Equity Incentive Plan (“Plan”) rewards participants for achieving long-term growth and profitability goals while supporting our retention objectives and aligning executive interests with shareholders. The Plan allows for equity and non-equity awards to key employees. </w:t>
      </w:r>
    </w:p>
    <w:p>
      <w:pPr>
        <w:pStyle w:val="TextBody"/>
        <w:bidi w:val="0"/>
        <w:spacing w:before="80" w:after="0"/>
        <w:jc w:val="left"/>
        <w:rPr>
          <w:rFonts w:ascii="arial" w:hAnsi="arial"/>
          <w:sz w:val="18"/>
        </w:rPr>
      </w:pPr>
      <w:r>
        <w:rPr>
          <w:rFonts w:ascii="arial" w:hAnsi="arial"/>
          <w:sz w:val="18"/>
        </w:rPr>
        <w:t xml:space="preserve">The Committee believes that the executive compensation programs should include strong alignment between pay and performance, with a significant portion of “at risk” pay. To reinforce pay-for-performance alignment, the Committee weights LTI awards heavily toward performance shares. In 2025, the CEO’s LTI grant was 75% performance shares (at target) and 25% restricted stock, while other named executive officers received 60% performance shares (at target) and 40% restricted stock. The number of shares granted is determined by dividing the target value by the stock price on the grant date, as shown in the “Grants of Plan-Based Awards” table. </w:t>
      </w:r>
    </w:p>
    <w:p>
      <w:pPr>
        <w:pStyle w:val="TextBody"/>
        <w:bidi w:val="0"/>
        <w:spacing w:before="80" w:after="0"/>
        <w:jc w:val="left"/>
        <w:rPr>
          <w:rFonts w:ascii="arial" w:hAnsi="arial"/>
          <w:sz w:val="18"/>
        </w:rPr>
      </w:pPr>
      <w:r>
        <w:rPr>
          <w:rFonts w:ascii="arial" w:hAnsi="arial"/>
          <w:sz w:val="18"/>
        </w:rPr>
        <w:t xml:space="preserve">Performance measures align with the Company’s GAAP financial statements, excluding special items determined by the Committee such as: changes in accounting principles, acquisition or divestiture-related gains/losses or budget changes, restructuring expenses, and other unusual items quantified in the financial statements or footnotes to the Form 10-K. Adjustments apply only to unbudgeted items. </w:t>
      </w:r>
    </w:p>
    <w:p>
      <w:pPr>
        <w:pStyle w:val="TextBody"/>
        <w:bidi w:val="0"/>
        <w:spacing w:before="80" w:after="0"/>
        <w:jc w:val="left"/>
        <w:rPr>
          <w:rFonts w:ascii="arial" w:hAnsi="arial"/>
          <w:sz w:val="18"/>
        </w:rPr>
      </w:pPr>
      <w:r>
        <w:rPr>
          <w:rFonts w:ascii="arial" w:hAnsi="arial"/>
          <w:sz w:val="18"/>
        </w:rPr>
        <w:t xml:space="preserve">LTI grants and any performance-based awards made under the Plan are subject to the Company’s Clawback Policy. </w:t>
      </w:r>
    </w:p>
    <w:p>
      <w:pPr>
        <w:pStyle w:val="TextBody"/>
        <w:bidi w:val="0"/>
        <w:spacing w:before="240" w:after="0"/>
        <w:jc w:val="left"/>
        <w:rPr>
          <w:rFonts w:ascii="arial" w:hAnsi="arial"/>
          <w:i/>
          <w:sz w:val="18"/>
          <w:u w:val="single"/>
        </w:rPr>
      </w:pPr>
      <w:r>
        <w:rPr>
          <w:rFonts w:ascii="arial" w:hAnsi="arial"/>
          <w:i/>
          <w:sz w:val="18"/>
          <w:u w:val="single"/>
        </w:rPr>
        <w:t xml:space="preserve">Performance Shares </w:t>
      </w:r>
    </w:p>
    <w:p>
      <w:pPr>
        <w:pStyle w:val="TextBody"/>
        <w:bidi w:val="0"/>
        <w:spacing w:before="80" w:after="0"/>
        <w:jc w:val="left"/>
        <w:rPr>
          <w:rFonts w:ascii="arial" w:hAnsi="arial"/>
          <w:sz w:val="18"/>
        </w:rPr>
      </w:pPr>
      <w:r>
        <w:rPr>
          <w:rFonts w:ascii="arial" w:hAnsi="arial"/>
          <w:sz w:val="18"/>
        </w:rPr>
        <w:t xml:space="preserve">Performance shares provide the named executive officers with the opportunity to earn shares, from zero to 200% of their target opportunity, based on achievement of pre-established and goals for specified performance measures. </w:t>
      </w:r>
    </w:p>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1970"/>
        <w:gridCol w:w="120"/>
        <w:gridCol w:w="107"/>
        <w:gridCol w:w="107"/>
        <w:gridCol w:w="467"/>
        <w:gridCol w:w="389"/>
        <w:gridCol w:w="60"/>
        <w:gridCol w:w="60"/>
        <w:gridCol w:w="60"/>
        <w:gridCol w:w="380"/>
        <w:gridCol w:w="215"/>
        <w:gridCol w:w="60"/>
        <w:gridCol w:w="89"/>
        <w:gridCol w:w="89"/>
        <w:gridCol w:w="564"/>
        <w:gridCol w:w="343"/>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970"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0"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Threshold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15"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Target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85"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Maximum</w:t>
            </w:r>
          </w:p>
        </w:tc>
      </w:tr>
      <w:tr>
        <w:trPr/>
        <w:tc>
          <w:tcPr>
            <w:tcW w:w="1970" w:type="dxa"/>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c>
          <w:tcPr>
            <w:tcW w:w="775" w:type="dxa"/>
            <w:gridSpan w:val="5"/>
            <w:tcBorders/>
            <w:vAlign w:val="center"/>
          </w:tcPr>
          <w:p>
            <w:pPr>
              <w:pStyle w:val="TableContents"/>
              <w:bidi w:val="0"/>
              <w:spacing w:before="0" w:after="283"/>
              <w:jc w:val="left"/>
              <w:rPr>
                <w:sz w:val="4"/>
                <w:szCs w:val="4"/>
              </w:rPr>
            </w:pPr>
            <w:r>
              <w:rPr>
                <w:sz w:val="4"/>
                <w:szCs w:val="4"/>
              </w:rPr>
            </w:r>
          </w:p>
        </w:tc>
        <w:tc>
          <w:tcPr>
            <w:tcW w:w="1145" w:type="dxa"/>
            <w:gridSpan w:val="5"/>
            <w:tcBorders/>
            <w:vAlign w:val="center"/>
          </w:tcPr>
          <w:p>
            <w:pPr>
              <w:pStyle w:val="TableContents"/>
              <w:bidi w:val="0"/>
              <w:spacing w:before="0" w:after="283"/>
              <w:jc w:val="left"/>
              <w:rPr>
                <w:sz w:val="4"/>
                <w:szCs w:val="4"/>
              </w:rPr>
            </w:pPr>
            <w:r>
              <w:rPr>
                <w:sz w:val="4"/>
                <w:szCs w:val="4"/>
              </w:rPr>
            </w:r>
          </w:p>
        </w:tc>
      </w:tr>
      <w:tr>
        <w:trPr/>
        <w:tc>
          <w:tcPr>
            <w:tcW w:w="1970"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Payout as a % of Target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 w:type="dxa"/>
            <w:tcBorders>
              <w:bottom w:val="single" w:sz="6" w:space="0" w:color="7F7F7F"/>
            </w:tcBorders>
            <w:tcMar>
              <w:bottom w:w="28" w:type="dxa"/>
            </w:tcMar>
            <w:vAlign w:val="center"/>
          </w:tcPr>
          <w:p>
            <w:pPr>
              <w:pStyle w:val="TableContents"/>
              <w:bidi w:val="0"/>
              <w:spacing w:before="0" w:after="283"/>
              <w:jc w:val="left"/>
              <w:rPr/>
            </w:pPr>
            <w:r>
              <w:rPr/>
              <w:t> </w:t>
            </w:r>
          </w:p>
        </w:tc>
        <w:tc>
          <w:tcPr>
            <w:tcW w:w="107" w:type="dxa"/>
            <w:tcBorders>
              <w:bottom w:val="single" w:sz="6" w:space="0" w:color="7F7F7F"/>
            </w:tcBorders>
            <w:tcMar>
              <w:bottom w:w="40" w:type="dxa"/>
            </w:tcMar>
            <w:vAlign w:val="center"/>
          </w:tcPr>
          <w:p>
            <w:pPr>
              <w:pStyle w:val="TableContents"/>
              <w:bidi w:val="0"/>
              <w:spacing w:before="0" w:after="283"/>
              <w:jc w:val="left"/>
              <w:rPr/>
            </w:pPr>
            <w:r>
              <w:rPr/>
              <w:t> </w:t>
            </w:r>
          </w:p>
        </w:tc>
        <w:tc>
          <w:tcPr>
            <w:tcW w:w="467" w:type="dxa"/>
            <w:tcBorders>
              <w:bottom w:val="single" w:sz="6" w:space="0" w:color="7F7F7F"/>
            </w:tcBorders>
            <w:tcMar>
              <w:bottom w:w="40" w:type="dxa"/>
            </w:tcMar>
            <w:vAlign w:val="center"/>
          </w:tcPr>
          <w:p>
            <w:pPr>
              <w:pStyle w:val="TableContents"/>
              <w:bidi w:val="0"/>
              <w:spacing w:before="0" w:after="283"/>
              <w:jc w:val="right"/>
              <w:rPr/>
            </w:pPr>
            <w:r>
              <w:rPr/>
              <w:t>50</w:t>
            </w:r>
          </w:p>
        </w:tc>
        <w:tc>
          <w:tcPr>
            <w:tcW w:w="389" w:type="dxa"/>
            <w:tcBorders>
              <w:bottom w:val="single" w:sz="6" w:space="0" w:color="7F7F7F"/>
            </w:tcBorders>
            <w:tcMar>
              <w:bottom w:w="40" w:type="dxa"/>
            </w:tcMar>
            <w:vAlign w:val="center"/>
          </w:tcPr>
          <w:p>
            <w:pPr>
              <w:pStyle w:val="TableContents"/>
              <w:bidi w:val="0"/>
              <w:spacing w:before="0" w:after="283"/>
              <w:jc w:val="left"/>
              <w:rPr/>
            </w:pPr>
            <w:r>
              <w:rPr/>
              <w:t>%</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380" w:type="dxa"/>
            <w:tcBorders>
              <w:bottom w:val="single" w:sz="6" w:space="0" w:color="7F7F7F"/>
            </w:tcBorders>
            <w:tcMar>
              <w:bottom w:w="40" w:type="dxa"/>
            </w:tcMar>
            <w:vAlign w:val="center"/>
          </w:tcPr>
          <w:p>
            <w:pPr>
              <w:pStyle w:val="TableContents"/>
              <w:bidi w:val="0"/>
              <w:spacing w:before="0" w:after="283"/>
              <w:jc w:val="right"/>
              <w:rPr/>
            </w:pPr>
            <w:r>
              <w:rPr/>
              <w:t>100</w:t>
            </w:r>
          </w:p>
        </w:tc>
        <w:tc>
          <w:tcPr>
            <w:tcW w:w="215" w:type="dxa"/>
            <w:tcBorders>
              <w:bottom w:val="single" w:sz="6" w:space="0" w:color="7F7F7F"/>
            </w:tcBorders>
            <w:tcMar>
              <w:bottom w:w="40" w:type="dxa"/>
            </w:tcMar>
            <w:vAlign w:val="center"/>
          </w:tcPr>
          <w:p>
            <w:pPr>
              <w:pStyle w:val="TableContents"/>
              <w:bidi w:val="0"/>
              <w:spacing w:before="0" w:after="283"/>
              <w:jc w:val="left"/>
              <w:rPr/>
            </w:pPr>
            <w:r>
              <w:rPr/>
              <w:t>%</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89" w:type="dxa"/>
            <w:tcBorders>
              <w:bottom w:val="single" w:sz="6" w:space="0" w:color="7F7F7F"/>
            </w:tcBorders>
            <w:tcMar>
              <w:bottom w:w="28" w:type="dxa"/>
            </w:tcMar>
            <w:vAlign w:val="center"/>
          </w:tcPr>
          <w:p>
            <w:pPr>
              <w:pStyle w:val="TableContents"/>
              <w:bidi w:val="0"/>
              <w:spacing w:before="0" w:after="283"/>
              <w:jc w:val="left"/>
              <w:rPr/>
            </w:pPr>
            <w:r>
              <w:rPr/>
              <w:t> </w:t>
            </w:r>
          </w:p>
        </w:tc>
        <w:tc>
          <w:tcPr>
            <w:tcW w:w="89" w:type="dxa"/>
            <w:tcBorders>
              <w:bottom w:val="single" w:sz="6" w:space="0" w:color="7F7F7F"/>
            </w:tcBorders>
            <w:tcMar>
              <w:bottom w:w="40" w:type="dxa"/>
            </w:tcMar>
            <w:vAlign w:val="center"/>
          </w:tcPr>
          <w:p>
            <w:pPr>
              <w:pStyle w:val="TableContents"/>
              <w:bidi w:val="0"/>
              <w:spacing w:before="0" w:after="283"/>
              <w:jc w:val="left"/>
              <w:rPr/>
            </w:pPr>
            <w:r>
              <w:rPr/>
              <w:t> </w:t>
            </w:r>
          </w:p>
        </w:tc>
        <w:tc>
          <w:tcPr>
            <w:tcW w:w="564" w:type="dxa"/>
            <w:tcBorders>
              <w:bottom w:val="single" w:sz="6" w:space="0" w:color="7F7F7F"/>
            </w:tcBorders>
            <w:tcMar>
              <w:bottom w:w="40" w:type="dxa"/>
            </w:tcMar>
            <w:vAlign w:val="center"/>
          </w:tcPr>
          <w:p>
            <w:pPr>
              <w:pStyle w:val="TableContents"/>
              <w:bidi w:val="0"/>
              <w:spacing w:before="0" w:after="283"/>
              <w:jc w:val="right"/>
              <w:rPr/>
            </w:pPr>
            <w:r>
              <w:rPr/>
              <w:t>200</w:t>
            </w:r>
          </w:p>
        </w:tc>
        <w:tc>
          <w:tcPr>
            <w:tcW w:w="343" w:type="dxa"/>
            <w:tcBorders>
              <w:bottom w:val="single" w:sz="6" w:space="0" w:color="7F7F7F"/>
            </w:tcBorders>
            <w:tcMar>
              <w:bottom w:w="40" w:type="dxa"/>
            </w:tcMar>
            <w:vAlign w:val="center"/>
          </w:tcPr>
          <w:p>
            <w:pPr>
              <w:pStyle w:val="TableContents"/>
              <w:bidi w:val="0"/>
              <w:spacing w:before="0" w:after="283"/>
              <w:jc w:val="left"/>
              <w:rPr/>
            </w:pPr>
            <w:r>
              <w:rPr/>
              <w:t>%</w:t>
            </w:r>
          </w:p>
        </w:tc>
      </w:tr>
    </w:tbl>
    <w:p>
      <w:pPr>
        <w:pStyle w:val="TextBody"/>
        <w:bidi w:val="0"/>
        <w:spacing w:before="80" w:after="0"/>
        <w:jc w:val="left"/>
        <w:rPr>
          <w:rFonts w:ascii="arial" w:hAnsi="arial"/>
          <w:sz w:val="18"/>
        </w:rPr>
      </w:pPr>
      <w:r>
        <w:rPr>
          <w:rFonts w:ascii="arial" w:hAnsi="arial"/>
          <w:sz w:val="18"/>
        </w:rPr>
        <w:t xml:space="preserve">Threshold goals are typically set at levels the Committee believes appropriate to start earning incentives. Target goals are set at budgeted levels, which are considered “challenging but achievable”. Maximum goals are set at significant stretch levels which the Committee believes warrant the earning of two times target payout. Straight line interpolation occurs for achievement of performance between threshold and target, and between target and maximum. Performance awards are granted in the form of Performance Share Units, which are not eligible for dividends or dividend equivalents. </w:t>
      </w:r>
    </w:p>
    <w:p>
      <w:pPr>
        <w:pStyle w:val="TextBody"/>
        <w:bidi w:val="0"/>
        <w:spacing w:before="80" w:after="0"/>
        <w:jc w:val="left"/>
        <w:rPr>
          <w:rFonts w:ascii="arial" w:hAnsi="arial"/>
          <w:sz w:val="18"/>
        </w:rPr>
      </w:pPr>
      <w:r>
        <w:rPr>
          <w:rFonts w:ascii="arial" w:hAnsi="arial"/>
          <w:sz w:val="18"/>
        </w:rPr>
        <w:t xml:space="preserve">For the 2025-2027 performance share grant, the two equally weighted financial measures, revenue growth and EBITDA margin, are measured based on one-year goals established at the beginning of each performance period (2025, 2026, and 2027) that are set in the beginning of each performance period. This design allows the Committee to establish goals annually in light of evolving business conditions, supporting meaningful goals that drive profitable growth in unpredictable economic climate. In February 2025, the Committee approved goals at threshold, target, and maximum levels of performance for each of the measures for 2025. At the end of the 2025 performance period in early 2026, results for each of the two financial measures determined the achievement and earning of shares for one-third of the award opportunity. For the 2026 performance period, goals will be approved in early 2026 with results being reviewed in early 2027, and the 2027 performance period goals will be approved in early 2027. Any earned shares will vest 100% upon Committee approval in February 2028. </w:t>
      </w:r>
    </w:p>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205"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78" descr=""/>
                          <pic:cNvPicPr>
                            <a:picLocks noChangeAspect="1" noChangeArrowheads="1"/>
                          </pic:cNvPicPr>
                        </pic:nvPicPr>
                        <pic:blipFill>
                          <a:blip r:embed="rId190"/>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following target number of performance shares were awarded to the named executive officers in 2025: </w:t>
      </w:r>
    </w:p>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2240"/>
        <w:gridCol w:w="152"/>
        <w:gridCol w:w="76"/>
        <w:gridCol w:w="76"/>
        <w:gridCol w:w="865"/>
        <w:gridCol w:w="76"/>
        <w:gridCol w:w="152"/>
        <w:gridCol w:w="76"/>
        <w:gridCol w:w="76"/>
        <w:gridCol w:w="865"/>
        <w:gridCol w:w="76"/>
        <w:gridCol w:w="152"/>
        <w:gridCol w:w="90"/>
        <w:gridCol w:w="90"/>
        <w:gridCol w:w="1221"/>
        <w:gridCol w:w="117"/>
      </w:tblGrid>
      <w:tr>
        <w:trPr/>
        <w:tc>
          <w:tcPr>
            <w:tcW w:w="224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r>
      <w:tr>
        <w:trPr/>
        <w:tc>
          <w:tcPr>
            <w:tcW w:w="6400" w:type="dxa"/>
            <w:gridSpan w:val="16"/>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Target Number of 2025-2027 Performance Shares Awarded</w:t>
            </w:r>
          </w:p>
        </w:tc>
      </w:tr>
      <w:tr>
        <w:trPr/>
        <w:tc>
          <w:tcPr>
            <w:tcW w:w="2240" w:type="dxa"/>
            <w:vMerge w:val="restart"/>
            <w:tcBorders>
              <w:bottom w:val="single" w:sz="8" w:space="0" w:color="33302B"/>
            </w:tcBorders>
            <w:tcMar>
              <w:bottom w:w="40" w:type="dxa"/>
            </w:tcMar>
            <w:vAlign w:val="center"/>
          </w:tcPr>
          <w:p>
            <w:pPr>
              <w:pStyle w:val="TableContents"/>
              <w:bidi w:val="0"/>
              <w:spacing w:before="0" w:after="0"/>
              <w:jc w:val="left"/>
              <w:rPr>
                <w:rFonts w:ascii="arial" w:hAnsi="arial"/>
                <w:b/>
                <w:color w:val="00AE4F"/>
                <w:sz w:val="16"/>
              </w:rPr>
            </w:pPr>
            <w:r>
              <w:rPr>
                <w:rFonts w:ascii="arial" w:hAnsi="arial"/>
                <w:b/>
                <w:color w:val="00AE4F"/>
                <w:sz w:val="16"/>
              </w:rPr>
              <w:t>Name</w:t>
            </w:r>
          </w:p>
        </w:tc>
        <w:tc>
          <w:tcPr>
            <w:tcW w:w="152" w:type="dxa"/>
            <w:tcBorders>
              <w:bottom w:val="single" w:sz="8" w:space="0" w:color="000000"/>
            </w:tcBorders>
            <w:tcMar>
              <w:bottom w:w="28" w:type="dxa"/>
            </w:tcMar>
            <w:vAlign w:val="center"/>
          </w:tcPr>
          <w:p>
            <w:pPr>
              <w:pStyle w:val="TableContents"/>
              <w:bidi w:val="0"/>
              <w:spacing w:before="0" w:after="283"/>
              <w:jc w:val="left"/>
              <w:rPr/>
            </w:pPr>
            <w:r>
              <w:rPr/>
              <w:t>  </w:t>
            </w:r>
          </w:p>
        </w:tc>
        <w:tc>
          <w:tcPr>
            <w:tcW w:w="2338" w:type="dxa"/>
            <w:gridSpan w:val="9"/>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Financial Measures</w:t>
            </w:r>
          </w:p>
        </w:tc>
        <w:tc>
          <w:tcPr>
            <w:tcW w:w="152" w:type="dxa"/>
            <w:vMerge w:val="restart"/>
            <w:tcBorders>
              <w:bottom w:val="single" w:sz="8" w:space="0" w:color="33302B"/>
            </w:tcBorders>
            <w:tcMar>
              <w:bottom w:w="28" w:type="dxa"/>
            </w:tcMar>
            <w:vAlign w:val="center"/>
          </w:tcPr>
          <w:p>
            <w:pPr>
              <w:pStyle w:val="TableContents"/>
              <w:bidi w:val="0"/>
              <w:spacing w:before="0" w:after="283"/>
              <w:jc w:val="left"/>
              <w:rPr/>
            </w:pPr>
            <w:r>
              <w:rPr/>
              <w:t>  </w:t>
            </w:r>
          </w:p>
        </w:tc>
        <w:tc>
          <w:tcPr>
            <w:tcW w:w="1518" w:type="dxa"/>
            <w:gridSpan w:val="4"/>
            <w:vMerge w:val="restart"/>
            <w:tcBorders>
              <w:bottom w:val="single" w:sz="8" w:space="0" w:color="33302B"/>
            </w:tcBorders>
            <w:tcMar>
              <w:bottom w:w="40" w:type="dxa"/>
            </w:tcMar>
            <w:vAlign w:val="center"/>
          </w:tcPr>
          <w:p>
            <w:pPr>
              <w:pStyle w:val="TableContents"/>
              <w:bidi w:val="0"/>
              <w:spacing w:before="0" w:after="0"/>
              <w:jc w:val="center"/>
              <w:rPr>
                <w:rFonts w:ascii="arial" w:hAnsi="arial"/>
                <w:b/>
                <w:color w:val="00AE4F"/>
                <w:sz w:val="16"/>
              </w:rPr>
            </w:pPr>
            <w:r>
              <w:rPr>
                <w:rFonts w:ascii="arial" w:hAnsi="arial"/>
                <w:b/>
                <w:color w:val="00AE4F"/>
                <w:sz w:val="16"/>
              </w:rPr>
              <w:t>Total Number of  </w:t>
              <w:br/>
              <w:t>Performance  </w:t>
              <w:br/>
              <w:t>Shares  </w:t>
            </w:r>
          </w:p>
          <w:p>
            <w:pPr>
              <w:pStyle w:val="TableContents"/>
              <w:bidi w:val="0"/>
              <w:spacing w:before="0" w:after="20"/>
              <w:jc w:val="center"/>
              <w:rPr>
                <w:rFonts w:ascii="arial" w:hAnsi="arial"/>
                <w:b/>
                <w:color w:val="00AE4F"/>
                <w:sz w:val="16"/>
              </w:rPr>
            </w:pPr>
            <w:r>
              <w:rPr>
                <w:rFonts w:ascii="arial" w:hAnsi="arial"/>
                <w:b/>
                <w:color w:val="00AE4F"/>
                <w:sz w:val="16"/>
              </w:rPr>
              <w:t>@ Target  </w:t>
            </w:r>
          </w:p>
        </w:tc>
      </w:tr>
      <w:tr>
        <w:trPr/>
        <w:tc>
          <w:tcPr>
            <w:tcW w:w="2240" w:type="dxa"/>
            <w:vMerge w:val="continue"/>
            <w:tcBorders>
              <w:bottom w:val="single" w:sz="8" w:space="0" w:color="33302B"/>
            </w:tcBorders>
            <w:tcMar>
              <w:bottom w:w="40" w:type="dxa"/>
            </w:tcMar>
            <w:vAlign w:val="center"/>
          </w:tcPr>
          <w:p>
            <w:pPr>
              <w:pStyle w:val="Normal"/>
              <w:bidi w:val="0"/>
              <w:jc w:val="left"/>
              <w:rPr/>
            </w:pPr>
            <w:r>
              <w:rPr/>
            </w:r>
          </w:p>
        </w:tc>
        <w:tc>
          <w:tcPr>
            <w:tcW w:w="152" w:type="dxa"/>
            <w:tcBorders>
              <w:bottom w:val="single" w:sz="8" w:space="0" w:color="33302B"/>
            </w:tcBorders>
            <w:tcMar>
              <w:bottom w:w="28" w:type="dxa"/>
            </w:tcMar>
            <w:vAlign w:val="center"/>
          </w:tcPr>
          <w:p>
            <w:pPr>
              <w:pStyle w:val="TableContents"/>
              <w:bidi w:val="0"/>
              <w:spacing w:before="0" w:after="283"/>
              <w:jc w:val="left"/>
              <w:rPr/>
            </w:pPr>
            <w:r>
              <w:rPr/>
              <w:t>  </w:t>
            </w:r>
          </w:p>
        </w:tc>
        <w:tc>
          <w:tcPr>
            <w:tcW w:w="1093" w:type="dxa"/>
            <w:gridSpan w:val="4"/>
            <w:tcBorders>
              <w:bottom w:val="single" w:sz="8" w:space="0" w:color="33302B"/>
            </w:tcBorders>
            <w:tcMar>
              <w:bottom w:w="80" w:type="dxa"/>
            </w:tcMar>
            <w:vAlign w:val="center"/>
          </w:tcPr>
          <w:p>
            <w:pPr>
              <w:pStyle w:val="TableContents"/>
              <w:bidi w:val="0"/>
              <w:spacing w:before="0" w:after="283"/>
              <w:jc w:val="center"/>
              <w:rPr>
                <w:b/>
                <w:color w:val="00AE4F"/>
              </w:rPr>
            </w:pPr>
            <w:r>
              <w:rPr>
                <w:b/>
                <w:color w:val="00AE4F"/>
              </w:rPr>
              <w:t>Revenue</w:t>
              <w:br/>
              <w:t>Growth</w:t>
            </w:r>
          </w:p>
        </w:tc>
        <w:tc>
          <w:tcPr>
            <w:tcW w:w="152" w:type="dxa"/>
            <w:tcBorders>
              <w:bottom w:val="single" w:sz="8" w:space="0" w:color="33302B"/>
            </w:tcBorders>
            <w:tcMar>
              <w:bottom w:w="28" w:type="dxa"/>
            </w:tcMar>
            <w:vAlign w:val="center"/>
          </w:tcPr>
          <w:p>
            <w:pPr>
              <w:pStyle w:val="TableContents"/>
              <w:bidi w:val="0"/>
              <w:spacing w:before="0" w:after="283"/>
              <w:jc w:val="left"/>
              <w:rPr/>
            </w:pPr>
            <w:r>
              <w:rPr/>
              <w:t>  </w:t>
            </w:r>
          </w:p>
        </w:tc>
        <w:tc>
          <w:tcPr>
            <w:tcW w:w="1093" w:type="dxa"/>
            <w:gridSpan w:val="4"/>
            <w:tcBorders>
              <w:bottom w:val="single" w:sz="8" w:space="0" w:color="33302B"/>
            </w:tcBorders>
            <w:tcMar>
              <w:bottom w:w="80" w:type="dxa"/>
            </w:tcMar>
            <w:vAlign w:val="center"/>
          </w:tcPr>
          <w:p>
            <w:pPr>
              <w:pStyle w:val="TableContents"/>
              <w:bidi w:val="0"/>
              <w:spacing w:before="0" w:after="283"/>
              <w:jc w:val="center"/>
              <w:rPr>
                <w:b/>
                <w:color w:val="00AE4F"/>
              </w:rPr>
            </w:pPr>
            <w:r>
              <w:rPr>
                <w:b/>
                <w:color w:val="00AE4F"/>
              </w:rPr>
              <w:t>EBITDA</w:t>
              <w:br/>
              <w:t>Margin</w:t>
            </w:r>
          </w:p>
        </w:tc>
        <w:tc>
          <w:tcPr>
            <w:tcW w:w="152" w:type="dxa"/>
            <w:vMerge w:val="continue"/>
            <w:tcBorders>
              <w:bottom w:val="single" w:sz="8" w:space="0" w:color="33302B"/>
            </w:tcBorders>
            <w:tcMar>
              <w:bottom w:w="28" w:type="dxa"/>
            </w:tcMar>
            <w:vAlign w:val="center"/>
          </w:tcPr>
          <w:p>
            <w:pPr>
              <w:pStyle w:val="Normal"/>
              <w:bidi w:val="0"/>
              <w:jc w:val="left"/>
              <w:rPr/>
            </w:pPr>
            <w:r>
              <w:rPr/>
            </w:r>
          </w:p>
        </w:tc>
        <w:tc>
          <w:tcPr>
            <w:tcW w:w="1518" w:type="dxa"/>
            <w:gridSpan w:val="4"/>
            <w:vMerge w:val="continue"/>
            <w:tcBorders>
              <w:bottom w:val="single" w:sz="8" w:space="0" w:color="33302B"/>
            </w:tcBorders>
            <w:tcMar>
              <w:bottom w:w="40" w:type="dxa"/>
            </w:tcMar>
            <w:vAlign w:val="center"/>
          </w:tcPr>
          <w:p>
            <w:pPr>
              <w:pStyle w:val="Normal"/>
              <w:bidi w:val="0"/>
              <w:jc w:val="left"/>
              <w:rPr/>
            </w:pPr>
            <w:r>
              <w:rPr/>
            </w:r>
          </w:p>
        </w:tc>
      </w:tr>
      <w:tr>
        <w:trPr/>
        <w:tc>
          <w:tcPr>
            <w:tcW w:w="2240" w:type="dxa"/>
            <w:tcBorders/>
            <w:vAlign w:val="center"/>
          </w:tcPr>
          <w:p>
            <w:pPr>
              <w:pStyle w:val="TableContents"/>
              <w:bidi w:val="0"/>
              <w:spacing w:before="0" w:after="283"/>
              <w:jc w:val="left"/>
              <w:rPr>
                <w:sz w:val="4"/>
                <w:szCs w:val="4"/>
              </w:rPr>
            </w:pPr>
            <w:r>
              <w:rPr>
                <w:sz w:val="4"/>
                <w:szCs w:val="4"/>
              </w:rPr>
            </w:r>
          </w:p>
        </w:tc>
        <w:tc>
          <w:tcPr>
            <w:tcW w:w="1245" w:type="dxa"/>
            <w:gridSpan w:val="5"/>
            <w:tcBorders/>
            <w:vAlign w:val="center"/>
          </w:tcPr>
          <w:p>
            <w:pPr>
              <w:pStyle w:val="TableContents"/>
              <w:bidi w:val="0"/>
              <w:spacing w:before="0" w:after="283"/>
              <w:jc w:val="left"/>
              <w:rPr>
                <w:sz w:val="4"/>
                <w:szCs w:val="4"/>
              </w:rPr>
            </w:pPr>
            <w:r>
              <w:rPr>
                <w:sz w:val="4"/>
                <w:szCs w:val="4"/>
              </w:rPr>
            </w:r>
          </w:p>
        </w:tc>
        <w:tc>
          <w:tcPr>
            <w:tcW w:w="1245"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Troy R. Anderson</w:t>
            </w:r>
          </w:p>
        </w:tc>
        <w:tc>
          <w:tcPr>
            <w:tcW w:w="152" w:type="dxa"/>
            <w:tcBorders>
              <w:bottom w:val="single" w:sz="6" w:space="0" w:color="7F7F7F"/>
            </w:tcBorders>
            <w:tcMar>
              <w:bottom w:w="28" w:type="dxa"/>
            </w:tcMar>
            <w:vAlign w:val="center"/>
          </w:tcPr>
          <w:p>
            <w:pPr>
              <w:pStyle w:val="TableContents"/>
              <w:bidi w:val="0"/>
              <w:spacing w:before="0" w:after="283"/>
              <w:jc w:val="left"/>
              <w:rPr/>
            </w:pPr>
            <w:r>
              <w:rPr/>
              <w:t>  </w:t>
            </w:r>
          </w:p>
        </w:tc>
        <w:tc>
          <w:tcPr>
            <w:tcW w:w="76" w:type="dxa"/>
            <w:tcBorders>
              <w:bottom w:val="single" w:sz="6" w:space="0" w:color="7F7F7F"/>
            </w:tcBorders>
            <w:tcMar>
              <w:bottom w:w="28" w:type="dxa"/>
            </w:tcMar>
            <w:vAlign w:val="center"/>
          </w:tcPr>
          <w:p>
            <w:pPr>
              <w:pStyle w:val="TableContents"/>
              <w:bidi w:val="0"/>
              <w:spacing w:before="0" w:after="283"/>
              <w:jc w:val="left"/>
              <w:rPr/>
            </w:pPr>
            <w:r>
              <w:rPr/>
              <w:t> </w:t>
            </w:r>
          </w:p>
        </w:tc>
        <w:tc>
          <w:tcPr>
            <w:tcW w:w="76" w:type="dxa"/>
            <w:tcBorders>
              <w:bottom w:val="single" w:sz="6" w:space="0" w:color="7F7F7F"/>
            </w:tcBorders>
            <w:tcMar>
              <w:bottom w:w="40" w:type="dxa"/>
            </w:tcMar>
            <w:vAlign w:val="center"/>
          </w:tcPr>
          <w:p>
            <w:pPr>
              <w:pStyle w:val="TableContents"/>
              <w:bidi w:val="0"/>
              <w:spacing w:before="0" w:after="283"/>
              <w:jc w:val="left"/>
              <w:rPr/>
            </w:pPr>
            <w:r>
              <w:rPr/>
              <w:t> </w:t>
            </w:r>
          </w:p>
        </w:tc>
        <w:tc>
          <w:tcPr>
            <w:tcW w:w="865" w:type="dxa"/>
            <w:tcBorders>
              <w:bottom w:val="single" w:sz="6" w:space="0" w:color="7F7F7F"/>
            </w:tcBorders>
            <w:tcMar>
              <w:bottom w:w="40" w:type="dxa"/>
            </w:tcMar>
            <w:vAlign w:val="center"/>
          </w:tcPr>
          <w:p>
            <w:pPr>
              <w:pStyle w:val="TableContents"/>
              <w:bidi w:val="0"/>
              <w:spacing w:before="0" w:after="283"/>
              <w:jc w:val="right"/>
              <w:rPr/>
            </w:pPr>
            <w:r>
              <w:rPr/>
              <w:t>21,764</w:t>
            </w:r>
          </w:p>
        </w:tc>
        <w:tc>
          <w:tcPr>
            <w:tcW w:w="76"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52" w:type="dxa"/>
            <w:tcBorders>
              <w:bottom w:val="single" w:sz="6" w:space="0" w:color="7F7F7F"/>
            </w:tcBorders>
            <w:tcMar>
              <w:bottom w:w="28" w:type="dxa"/>
            </w:tcMar>
            <w:vAlign w:val="center"/>
          </w:tcPr>
          <w:p>
            <w:pPr>
              <w:pStyle w:val="TableContents"/>
              <w:bidi w:val="0"/>
              <w:spacing w:before="0" w:after="283"/>
              <w:jc w:val="left"/>
              <w:rPr/>
            </w:pPr>
            <w:r>
              <w:rPr/>
              <w:t>  </w:t>
            </w:r>
          </w:p>
        </w:tc>
        <w:tc>
          <w:tcPr>
            <w:tcW w:w="76" w:type="dxa"/>
            <w:tcBorders>
              <w:bottom w:val="single" w:sz="6" w:space="0" w:color="7F7F7F"/>
            </w:tcBorders>
            <w:tcMar>
              <w:bottom w:w="28" w:type="dxa"/>
            </w:tcMar>
            <w:vAlign w:val="center"/>
          </w:tcPr>
          <w:p>
            <w:pPr>
              <w:pStyle w:val="TableContents"/>
              <w:bidi w:val="0"/>
              <w:spacing w:before="0" w:after="283"/>
              <w:jc w:val="left"/>
              <w:rPr/>
            </w:pPr>
            <w:r>
              <w:rPr/>
              <w:t> </w:t>
            </w:r>
          </w:p>
        </w:tc>
        <w:tc>
          <w:tcPr>
            <w:tcW w:w="76" w:type="dxa"/>
            <w:tcBorders>
              <w:bottom w:val="single" w:sz="6" w:space="0" w:color="7F7F7F"/>
            </w:tcBorders>
            <w:tcMar>
              <w:bottom w:w="40" w:type="dxa"/>
            </w:tcMar>
            <w:vAlign w:val="center"/>
          </w:tcPr>
          <w:p>
            <w:pPr>
              <w:pStyle w:val="TableContents"/>
              <w:bidi w:val="0"/>
              <w:spacing w:before="0" w:after="283"/>
              <w:jc w:val="left"/>
              <w:rPr/>
            </w:pPr>
            <w:r>
              <w:rPr/>
              <w:t> </w:t>
            </w:r>
          </w:p>
        </w:tc>
        <w:tc>
          <w:tcPr>
            <w:tcW w:w="865" w:type="dxa"/>
            <w:tcBorders>
              <w:bottom w:val="single" w:sz="6" w:space="0" w:color="7F7F7F"/>
            </w:tcBorders>
            <w:tcMar>
              <w:bottom w:w="40" w:type="dxa"/>
            </w:tcMar>
            <w:vAlign w:val="center"/>
          </w:tcPr>
          <w:p>
            <w:pPr>
              <w:pStyle w:val="TableContents"/>
              <w:bidi w:val="0"/>
              <w:spacing w:before="0" w:after="283"/>
              <w:jc w:val="right"/>
              <w:rPr/>
            </w:pPr>
            <w:r>
              <w:rPr/>
              <w:t>21,764</w:t>
            </w:r>
          </w:p>
        </w:tc>
        <w:tc>
          <w:tcPr>
            <w:tcW w:w="76"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52" w:type="dxa"/>
            <w:tcBorders>
              <w:bottom w:val="single" w:sz="6" w:space="0" w:color="7F7F7F"/>
            </w:tcBorders>
            <w:tcMar>
              <w:bottom w:w="28" w:type="dxa"/>
            </w:tcMar>
            <w:vAlign w:val="center"/>
          </w:tcPr>
          <w:p>
            <w:pPr>
              <w:pStyle w:val="TableContents"/>
              <w:bidi w:val="0"/>
              <w:spacing w:before="0" w:after="283"/>
              <w:jc w:val="left"/>
              <w:rPr/>
            </w:pPr>
            <w:r>
              <w:rPr/>
              <w:t>  </w:t>
            </w:r>
          </w:p>
        </w:tc>
        <w:tc>
          <w:tcPr>
            <w:tcW w:w="90" w:type="dxa"/>
            <w:tcBorders>
              <w:bottom w:val="single" w:sz="6" w:space="0" w:color="7F7F7F"/>
            </w:tcBorders>
            <w:tcMar>
              <w:bottom w:w="28" w:type="dxa"/>
            </w:tcMar>
            <w:vAlign w:val="center"/>
          </w:tcPr>
          <w:p>
            <w:pPr>
              <w:pStyle w:val="TableContents"/>
              <w:bidi w:val="0"/>
              <w:spacing w:before="0" w:after="283"/>
              <w:jc w:val="left"/>
              <w:rPr/>
            </w:pPr>
            <w:r>
              <w:rPr/>
              <w:t> </w:t>
            </w:r>
          </w:p>
        </w:tc>
        <w:tc>
          <w:tcPr>
            <w:tcW w:w="90" w:type="dxa"/>
            <w:tcBorders>
              <w:bottom w:val="single" w:sz="6" w:space="0" w:color="7F7F7F"/>
            </w:tcBorders>
            <w:tcMar>
              <w:bottom w:w="40" w:type="dxa"/>
            </w:tcMar>
            <w:vAlign w:val="center"/>
          </w:tcPr>
          <w:p>
            <w:pPr>
              <w:pStyle w:val="TableContents"/>
              <w:bidi w:val="0"/>
              <w:spacing w:before="0" w:after="283"/>
              <w:jc w:val="left"/>
              <w:rPr/>
            </w:pPr>
            <w:r>
              <w:rPr/>
              <w:t> </w:t>
            </w:r>
          </w:p>
        </w:tc>
        <w:tc>
          <w:tcPr>
            <w:tcW w:w="1221" w:type="dxa"/>
            <w:tcBorders>
              <w:bottom w:val="single" w:sz="6" w:space="0" w:color="7F7F7F"/>
            </w:tcBorders>
            <w:tcMar>
              <w:bottom w:w="40" w:type="dxa"/>
            </w:tcMar>
            <w:vAlign w:val="center"/>
          </w:tcPr>
          <w:p>
            <w:pPr>
              <w:pStyle w:val="TableContents"/>
              <w:bidi w:val="0"/>
              <w:spacing w:before="0" w:after="283"/>
              <w:jc w:val="right"/>
              <w:rPr/>
            </w:pPr>
            <w:r>
              <w:rPr/>
              <w:t>43,528</w:t>
            </w:r>
          </w:p>
        </w:tc>
        <w:tc>
          <w:tcPr>
            <w:tcW w:w="117"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283"/>
              <w:jc w:val="left"/>
              <w:rPr>
                <w:sz w:val="4"/>
                <w:szCs w:val="4"/>
              </w:rPr>
            </w:pPr>
            <w:r>
              <w:rPr>
                <w:sz w:val="4"/>
                <w:szCs w:val="4"/>
              </w:rPr>
            </w:r>
          </w:p>
        </w:tc>
        <w:tc>
          <w:tcPr>
            <w:tcW w:w="1245" w:type="dxa"/>
            <w:gridSpan w:val="5"/>
            <w:tcBorders/>
            <w:vAlign w:val="center"/>
          </w:tcPr>
          <w:p>
            <w:pPr>
              <w:pStyle w:val="TableContents"/>
              <w:bidi w:val="0"/>
              <w:spacing w:before="0" w:after="283"/>
              <w:jc w:val="left"/>
              <w:rPr>
                <w:sz w:val="4"/>
                <w:szCs w:val="4"/>
              </w:rPr>
            </w:pPr>
            <w:r>
              <w:rPr>
                <w:sz w:val="4"/>
                <w:szCs w:val="4"/>
              </w:rPr>
            </w:r>
          </w:p>
        </w:tc>
        <w:tc>
          <w:tcPr>
            <w:tcW w:w="1245"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Tammy L. Browning</w:t>
            </w:r>
          </w:p>
        </w:tc>
        <w:tc>
          <w:tcPr>
            <w:tcW w:w="152" w:type="dxa"/>
            <w:tcBorders>
              <w:bottom w:val="single" w:sz="6" w:space="0" w:color="7F7F7F"/>
            </w:tcBorders>
            <w:tcMar>
              <w:bottom w:w="28" w:type="dxa"/>
            </w:tcMar>
            <w:vAlign w:val="center"/>
          </w:tcPr>
          <w:p>
            <w:pPr>
              <w:pStyle w:val="TableContents"/>
              <w:bidi w:val="0"/>
              <w:spacing w:before="0" w:after="283"/>
              <w:jc w:val="left"/>
              <w:rPr/>
            </w:pPr>
            <w:r>
              <w:rPr/>
              <w:t>  </w:t>
            </w:r>
          </w:p>
        </w:tc>
        <w:tc>
          <w:tcPr>
            <w:tcW w:w="76" w:type="dxa"/>
            <w:tcBorders>
              <w:bottom w:val="single" w:sz="6" w:space="0" w:color="7F7F7F"/>
            </w:tcBorders>
            <w:tcMar>
              <w:bottom w:w="28" w:type="dxa"/>
            </w:tcMar>
            <w:vAlign w:val="center"/>
          </w:tcPr>
          <w:p>
            <w:pPr>
              <w:pStyle w:val="TableContents"/>
              <w:bidi w:val="0"/>
              <w:spacing w:before="0" w:after="283"/>
              <w:jc w:val="left"/>
              <w:rPr/>
            </w:pPr>
            <w:r>
              <w:rPr/>
              <w:t> </w:t>
            </w:r>
          </w:p>
        </w:tc>
        <w:tc>
          <w:tcPr>
            <w:tcW w:w="76" w:type="dxa"/>
            <w:tcBorders>
              <w:bottom w:val="single" w:sz="6" w:space="0" w:color="7F7F7F"/>
            </w:tcBorders>
            <w:tcMar>
              <w:bottom w:w="40" w:type="dxa"/>
            </w:tcMar>
            <w:vAlign w:val="center"/>
          </w:tcPr>
          <w:p>
            <w:pPr>
              <w:pStyle w:val="TableContents"/>
              <w:bidi w:val="0"/>
              <w:spacing w:before="0" w:after="283"/>
              <w:jc w:val="left"/>
              <w:rPr/>
            </w:pPr>
            <w:r>
              <w:rPr/>
              <w:t> </w:t>
            </w:r>
          </w:p>
        </w:tc>
        <w:tc>
          <w:tcPr>
            <w:tcW w:w="865" w:type="dxa"/>
            <w:tcBorders>
              <w:bottom w:val="single" w:sz="6" w:space="0" w:color="7F7F7F"/>
            </w:tcBorders>
            <w:tcMar>
              <w:bottom w:w="40" w:type="dxa"/>
            </w:tcMar>
            <w:vAlign w:val="center"/>
          </w:tcPr>
          <w:p>
            <w:pPr>
              <w:pStyle w:val="TableContents"/>
              <w:bidi w:val="0"/>
              <w:spacing w:before="0" w:after="283"/>
              <w:jc w:val="right"/>
              <w:rPr/>
            </w:pPr>
            <w:r>
              <w:rPr/>
              <w:t>7,048</w:t>
            </w:r>
          </w:p>
        </w:tc>
        <w:tc>
          <w:tcPr>
            <w:tcW w:w="76"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52" w:type="dxa"/>
            <w:tcBorders>
              <w:bottom w:val="single" w:sz="6" w:space="0" w:color="7F7F7F"/>
            </w:tcBorders>
            <w:tcMar>
              <w:bottom w:w="28" w:type="dxa"/>
            </w:tcMar>
            <w:vAlign w:val="center"/>
          </w:tcPr>
          <w:p>
            <w:pPr>
              <w:pStyle w:val="TableContents"/>
              <w:bidi w:val="0"/>
              <w:spacing w:before="0" w:after="283"/>
              <w:jc w:val="left"/>
              <w:rPr/>
            </w:pPr>
            <w:r>
              <w:rPr/>
              <w:t>  </w:t>
            </w:r>
          </w:p>
        </w:tc>
        <w:tc>
          <w:tcPr>
            <w:tcW w:w="76" w:type="dxa"/>
            <w:tcBorders>
              <w:bottom w:val="single" w:sz="6" w:space="0" w:color="7F7F7F"/>
            </w:tcBorders>
            <w:tcMar>
              <w:bottom w:w="28" w:type="dxa"/>
            </w:tcMar>
            <w:vAlign w:val="center"/>
          </w:tcPr>
          <w:p>
            <w:pPr>
              <w:pStyle w:val="TableContents"/>
              <w:bidi w:val="0"/>
              <w:spacing w:before="0" w:after="283"/>
              <w:jc w:val="left"/>
              <w:rPr/>
            </w:pPr>
            <w:r>
              <w:rPr/>
              <w:t> </w:t>
            </w:r>
          </w:p>
        </w:tc>
        <w:tc>
          <w:tcPr>
            <w:tcW w:w="76" w:type="dxa"/>
            <w:tcBorders>
              <w:bottom w:val="single" w:sz="6" w:space="0" w:color="7F7F7F"/>
            </w:tcBorders>
            <w:tcMar>
              <w:bottom w:w="40" w:type="dxa"/>
            </w:tcMar>
            <w:vAlign w:val="center"/>
          </w:tcPr>
          <w:p>
            <w:pPr>
              <w:pStyle w:val="TableContents"/>
              <w:bidi w:val="0"/>
              <w:spacing w:before="0" w:after="283"/>
              <w:jc w:val="left"/>
              <w:rPr/>
            </w:pPr>
            <w:r>
              <w:rPr/>
              <w:t> </w:t>
            </w:r>
          </w:p>
        </w:tc>
        <w:tc>
          <w:tcPr>
            <w:tcW w:w="865" w:type="dxa"/>
            <w:tcBorders>
              <w:bottom w:val="single" w:sz="6" w:space="0" w:color="7F7F7F"/>
            </w:tcBorders>
            <w:tcMar>
              <w:bottom w:w="40" w:type="dxa"/>
            </w:tcMar>
            <w:vAlign w:val="center"/>
          </w:tcPr>
          <w:p>
            <w:pPr>
              <w:pStyle w:val="TableContents"/>
              <w:bidi w:val="0"/>
              <w:spacing w:before="0" w:after="283"/>
              <w:jc w:val="right"/>
              <w:rPr/>
            </w:pPr>
            <w:r>
              <w:rPr/>
              <w:t>7,048</w:t>
            </w:r>
          </w:p>
        </w:tc>
        <w:tc>
          <w:tcPr>
            <w:tcW w:w="76"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52" w:type="dxa"/>
            <w:tcBorders>
              <w:bottom w:val="single" w:sz="6" w:space="0" w:color="7F7F7F"/>
            </w:tcBorders>
            <w:tcMar>
              <w:bottom w:w="28" w:type="dxa"/>
            </w:tcMar>
            <w:vAlign w:val="center"/>
          </w:tcPr>
          <w:p>
            <w:pPr>
              <w:pStyle w:val="TableContents"/>
              <w:bidi w:val="0"/>
              <w:spacing w:before="0" w:after="283"/>
              <w:jc w:val="left"/>
              <w:rPr/>
            </w:pPr>
            <w:r>
              <w:rPr/>
              <w:t>  </w:t>
            </w:r>
          </w:p>
        </w:tc>
        <w:tc>
          <w:tcPr>
            <w:tcW w:w="90" w:type="dxa"/>
            <w:tcBorders>
              <w:bottom w:val="single" w:sz="6" w:space="0" w:color="7F7F7F"/>
            </w:tcBorders>
            <w:tcMar>
              <w:bottom w:w="28" w:type="dxa"/>
            </w:tcMar>
            <w:vAlign w:val="center"/>
          </w:tcPr>
          <w:p>
            <w:pPr>
              <w:pStyle w:val="TableContents"/>
              <w:bidi w:val="0"/>
              <w:spacing w:before="0" w:after="283"/>
              <w:jc w:val="left"/>
              <w:rPr/>
            </w:pPr>
            <w:r>
              <w:rPr/>
              <w:t> </w:t>
            </w:r>
          </w:p>
        </w:tc>
        <w:tc>
          <w:tcPr>
            <w:tcW w:w="90" w:type="dxa"/>
            <w:tcBorders>
              <w:bottom w:val="single" w:sz="6" w:space="0" w:color="7F7F7F"/>
            </w:tcBorders>
            <w:tcMar>
              <w:bottom w:w="40" w:type="dxa"/>
            </w:tcMar>
            <w:vAlign w:val="center"/>
          </w:tcPr>
          <w:p>
            <w:pPr>
              <w:pStyle w:val="TableContents"/>
              <w:bidi w:val="0"/>
              <w:spacing w:before="0" w:after="283"/>
              <w:jc w:val="left"/>
              <w:rPr/>
            </w:pPr>
            <w:r>
              <w:rPr/>
              <w:t> </w:t>
            </w:r>
          </w:p>
        </w:tc>
        <w:tc>
          <w:tcPr>
            <w:tcW w:w="1221" w:type="dxa"/>
            <w:tcBorders>
              <w:bottom w:val="single" w:sz="6" w:space="0" w:color="7F7F7F"/>
            </w:tcBorders>
            <w:tcMar>
              <w:bottom w:w="40" w:type="dxa"/>
            </w:tcMar>
            <w:vAlign w:val="center"/>
          </w:tcPr>
          <w:p>
            <w:pPr>
              <w:pStyle w:val="TableContents"/>
              <w:bidi w:val="0"/>
              <w:spacing w:before="0" w:after="283"/>
              <w:jc w:val="right"/>
              <w:rPr/>
            </w:pPr>
            <w:r>
              <w:rPr/>
              <w:t>14,096</w:t>
            </w:r>
          </w:p>
        </w:tc>
        <w:tc>
          <w:tcPr>
            <w:tcW w:w="117"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283"/>
              <w:jc w:val="left"/>
              <w:rPr>
                <w:sz w:val="4"/>
                <w:szCs w:val="4"/>
              </w:rPr>
            </w:pPr>
            <w:r>
              <w:rPr>
                <w:sz w:val="4"/>
                <w:szCs w:val="4"/>
              </w:rPr>
            </w:r>
          </w:p>
        </w:tc>
        <w:tc>
          <w:tcPr>
            <w:tcW w:w="1245" w:type="dxa"/>
            <w:gridSpan w:val="5"/>
            <w:tcBorders/>
            <w:vAlign w:val="center"/>
          </w:tcPr>
          <w:p>
            <w:pPr>
              <w:pStyle w:val="TableContents"/>
              <w:bidi w:val="0"/>
              <w:spacing w:before="0" w:after="283"/>
              <w:jc w:val="left"/>
              <w:rPr>
                <w:sz w:val="4"/>
                <w:szCs w:val="4"/>
              </w:rPr>
            </w:pPr>
            <w:r>
              <w:rPr>
                <w:sz w:val="4"/>
                <w:szCs w:val="4"/>
              </w:rPr>
            </w:r>
          </w:p>
        </w:tc>
        <w:tc>
          <w:tcPr>
            <w:tcW w:w="1245"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Vanessa P. Williams</w:t>
            </w:r>
          </w:p>
        </w:tc>
        <w:tc>
          <w:tcPr>
            <w:tcW w:w="152" w:type="dxa"/>
            <w:tcBorders>
              <w:bottom w:val="single" w:sz="6" w:space="0" w:color="7F7F7F"/>
            </w:tcBorders>
            <w:tcMar>
              <w:bottom w:w="28" w:type="dxa"/>
            </w:tcMar>
            <w:vAlign w:val="center"/>
          </w:tcPr>
          <w:p>
            <w:pPr>
              <w:pStyle w:val="TableContents"/>
              <w:bidi w:val="0"/>
              <w:spacing w:before="0" w:after="283"/>
              <w:jc w:val="left"/>
              <w:rPr/>
            </w:pPr>
            <w:r>
              <w:rPr/>
              <w:t>  </w:t>
            </w:r>
          </w:p>
        </w:tc>
        <w:tc>
          <w:tcPr>
            <w:tcW w:w="76" w:type="dxa"/>
            <w:tcBorders>
              <w:bottom w:val="single" w:sz="6" w:space="0" w:color="7F7F7F"/>
            </w:tcBorders>
            <w:tcMar>
              <w:bottom w:w="28" w:type="dxa"/>
            </w:tcMar>
            <w:vAlign w:val="center"/>
          </w:tcPr>
          <w:p>
            <w:pPr>
              <w:pStyle w:val="TableContents"/>
              <w:bidi w:val="0"/>
              <w:spacing w:before="0" w:after="283"/>
              <w:jc w:val="left"/>
              <w:rPr/>
            </w:pPr>
            <w:r>
              <w:rPr/>
              <w:t> </w:t>
            </w:r>
          </w:p>
        </w:tc>
        <w:tc>
          <w:tcPr>
            <w:tcW w:w="76" w:type="dxa"/>
            <w:tcBorders>
              <w:bottom w:val="single" w:sz="6" w:space="0" w:color="7F7F7F"/>
            </w:tcBorders>
            <w:tcMar>
              <w:bottom w:w="40" w:type="dxa"/>
            </w:tcMar>
            <w:vAlign w:val="center"/>
          </w:tcPr>
          <w:p>
            <w:pPr>
              <w:pStyle w:val="TableContents"/>
              <w:bidi w:val="0"/>
              <w:spacing w:before="0" w:after="283"/>
              <w:jc w:val="left"/>
              <w:rPr/>
            </w:pPr>
            <w:r>
              <w:rPr/>
              <w:t> </w:t>
            </w:r>
          </w:p>
        </w:tc>
        <w:tc>
          <w:tcPr>
            <w:tcW w:w="865" w:type="dxa"/>
            <w:tcBorders>
              <w:bottom w:val="single" w:sz="6" w:space="0" w:color="7F7F7F"/>
            </w:tcBorders>
            <w:tcMar>
              <w:bottom w:w="40" w:type="dxa"/>
            </w:tcMar>
            <w:vAlign w:val="center"/>
          </w:tcPr>
          <w:p>
            <w:pPr>
              <w:pStyle w:val="TableContents"/>
              <w:bidi w:val="0"/>
              <w:spacing w:before="0" w:after="283"/>
              <w:jc w:val="right"/>
              <w:rPr/>
            </w:pPr>
            <w:r>
              <w:rPr/>
              <w:t>14,509</w:t>
            </w:r>
          </w:p>
        </w:tc>
        <w:tc>
          <w:tcPr>
            <w:tcW w:w="76"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52" w:type="dxa"/>
            <w:tcBorders>
              <w:bottom w:val="single" w:sz="6" w:space="0" w:color="7F7F7F"/>
            </w:tcBorders>
            <w:tcMar>
              <w:bottom w:w="28" w:type="dxa"/>
            </w:tcMar>
            <w:vAlign w:val="center"/>
          </w:tcPr>
          <w:p>
            <w:pPr>
              <w:pStyle w:val="TableContents"/>
              <w:bidi w:val="0"/>
              <w:spacing w:before="0" w:after="283"/>
              <w:jc w:val="left"/>
              <w:rPr/>
            </w:pPr>
            <w:r>
              <w:rPr/>
              <w:t>  </w:t>
            </w:r>
          </w:p>
        </w:tc>
        <w:tc>
          <w:tcPr>
            <w:tcW w:w="76" w:type="dxa"/>
            <w:tcBorders>
              <w:bottom w:val="single" w:sz="6" w:space="0" w:color="7F7F7F"/>
            </w:tcBorders>
            <w:tcMar>
              <w:bottom w:w="28" w:type="dxa"/>
            </w:tcMar>
            <w:vAlign w:val="center"/>
          </w:tcPr>
          <w:p>
            <w:pPr>
              <w:pStyle w:val="TableContents"/>
              <w:bidi w:val="0"/>
              <w:spacing w:before="0" w:after="283"/>
              <w:jc w:val="left"/>
              <w:rPr/>
            </w:pPr>
            <w:r>
              <w:rPr/>
              <w:t> </w:t>
            </w:r>
          </w:p>
        </w:tc>
        <w:tc>
          <w:tcPr>
            <w:tcW w:w="76" w:type="dxa"/>
            <w:tcBorders>
              <w:bottom w:val="single" w:sz="6" w:space="0" w:color="7F7F7F"/>
            </w:tcBorders>
            <w:tcMar>
              <w:bottom w:w="40" w:type="dxa"/>
            </w:tcMar>
            <w:vAlign w:val="center"/>
          </w:tcPr>
          <w:p>
            <w:pPr>
              <w:pStyle w:val="TableContents"/>
              <w:bidi w:val="0"/>
              <w:spacing w:before="0" w:after="283"/>
              <w:jc w:val="left"/>
              <w:rPr/>
            </w:pPr>
            <w:r>
              <w:rPr/>
              <w:t> </w:t>
            </w:r>
          </w:p>
        </w:tc>
        <w:tc>
          <w:tcPr>
            <w:tcW w:w="865" w:type="dxa"/>
            <w:tcBorders>
              <w:bottom w:val="single" w:sz="6" w:space="0" w:color="7F7F7F"/>
            </w:tcBorders>
            <w:tcMar>
              <w:bottom w:w="40" w:type="dxa"/>
            </w:tcMar>
            <w:vAlign w:val="center"/>
          </w:tcPr>
          <w:p>
            <w:pPr>
              <w:pStyle w:val="TableContents"/>
              <w:bidi w:val="0"/>
              <w:spacing w:before="0" w:after="283"/>
              <w:jc w:val="right"/>
              <w:rPr/>
            </w:pPr>
            <w:r>
              <w:rPr/>
              <w:t>14,509</w:t>
            </w:r>
          </w:p>
        </w:tc>
        <w:tc>
          <w:tcPr>
            <w:tcW w:w="76"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52" w:type="dxa"/>
            <w:tcBorders>
              <w:bottom w:val="single" w:sz="6" w:space="0" w:color="7F7F7F"/>
            </w:tcBorders>
            <w:tcMar>
              <w:bottom w:w="28" w:type="dxa"/>
            </w:tcMar>
            <w:vAlign w:val="center"/>
          </w:tcPr>
          <w:p>
            <w:pPr>
              <w:pStyle w:val="TableContents"/>
              <w:bidi w:val="0"/>
              <w:spacing w:before="0" w:after="283"/>
              <w:jc w:val="left"/>
              <w:rPr/>
            </w:pPr>
            <w:r>
              <w:rPr/>
              <w:t>  </w:t>
            </w:r>
          </w:p>
        </w:tc>
        <w:tc>
          <w:tcPr>
            <w:tcW w:w="90" w:type="dxa"/>
            <w:tcBorders>
              <w:bottom w:val="single" w:sz="6" w:space="0" w:color="7F7F7F"/>
            </w:tcBorders>
            <w:tcMar>
              <w:bottom w:w="28" w:type="dxa"/>
            </w:tcMar>
            <w:vAlign w:val="center"/>
          </w:tcPr>
          <w:p>
            <w:pPr>
              <w:pStyle w:val="TableContents"/>
              <w:bidi w:val="0"/>
              <w:spacing w:before="0" w:after="283"/>
              <w:jc w:val="left"/>
              <w:rPr/>
            </w:pPr>
            <w:r>
              <w:rPr/>
              <w:t> </w:t>
            </w:r>
          </w:p>
        </w:tc>
        <w:tc>
          <w:tcPr>
            <w:tcW w:w="90" w:type="dxa"/>
            <w:tcBorders>
              <w:bottom w:val="single" w:sz="6" w:space="0" w:color="7F7F7F"/>
            </w:tcBorders>
            <w:tcMar>
              <w:bottom w:w="40" w:type="dxa"/>
            </w:tcMar>
            <w:vAlign w:val="center"/>
          </w:tcPr>
          <w:p>
            <w:pPr>
              <w:pStyle w:val="TableContents"/>
              <w:bidi w:val="0"/>
              <w:spacing w:before="0" w:after="283"/>
              <w:jc w:val="left"/>
              <w:rPr/>
            </w:pPr>
            <w:r>
              <w:rPr/>
              <w:t> </w:t>
            </w:r>
          </w:p>
        </w:tc>
        <w:tc>
          <w:tcPr>
            <w:tcW w:w="1221" w:type="dxa"/>
            <w:tcBorders>
              <w:bottom w:val="single" w:sz="6" w:space="0" w:color="7F7F7F"/>
            </w:tcBorders>
            <w:tcMar>
              <w:bottom w:w="40" w:type="dxa"/>
            </w:tcMar>
            <w:vAlign w:val="center"/>
          </w:tcPr>
          <w:p>
            <w:pPr>
              <w:pStyle w:val="TableContents"/>
              <w:bidi w:val="0"/>
              <w:spacing w:before="0" w:after="283"/>
              <w:jc w:val="right"/>
              <w:rPr/>
            </w:pPr>
            <w:r>
              <w:rPr/>
              <w:t>29,018</w:t>
            </w:r>
          </w:p>
        </w:tc>
        <w:tc>
          <w:tcPr>
            <w:tcW w:w="117"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283"/>
              <w:jc w:val="left"/>
              <w:rPr>
                <w:sz w:val="4"/>
                <w:szCs w:val="4"/>
              </w:rPr>
            </w:pPr>
            <w:r>
              <w:rPr>
                <w:sz w:val="4"/>
                <w:szCs w:val="4"/>
              </w:rPr>
            </w:r>
          </w:p>
        </w:tc>
        <w:tc>
          <w:tcPr>
            <w:tcW w:w="1245" w:type="dxa"/>
            <w:gridSpan w:val="5"/>
            <w:tcBorders/>
            <w:vAlign w:val="center"/>
          </w:tcPr>
          <w:p>
            <w:pPr>
              <w:pStyle w:val="TableContents"/>
              <w:bidi w:val="0"/>
              <w:spacing w:before="0" w:after="283"/>
              <w:jc w:val="left"/>
              <w:rPr>
                <w:sz w:val="4"/>
                <w:szCs w:val="4"/>
              </w:rPr>
            </w:pPr>
            <w:r>
              <w:rPr>
                <w:sz w:val="4"/>
                <w:szCs w:val="4"/>
              </w:rPr>
            </w:r>
          </w:p>
        </w:tc>
        <w:tc>
          <w:tcPr>
            <w:tcW w:w="1245"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Nicola M. Soares</w:t>
            </w:r>
          </w:p>
        </w:tc>
        <w:tc>
          <w:tcPr>
            <w:tcW w:w="152" w:type="dxa"/>
            <w:tcBorders>
              <w:bottom w:val="single" w:sz="6" w:space="0" w:color="7F7F7F"/>
            </w:tcBorders>
            <w:tcMar>
              <w:bottom w:w="28" w:type="dxa"/>
            </w:tcMar>
            <w:vAlign w:val="center"/>
          </w:tcPr>
          <w:p>
            <w:pPr>
              <w:pStyle w:val="TableContents"/>
              <w:bidi w:val="0"/>
              <w:spacing w:before="0" w:after="283"/>
              <w:jc w:val="left"/>
              <w:rPr/>
            </w:pPr>
            <w:r>
              <w:rPr/>
              <w:t>  </w:t>
            </w:r>
          </w:p>
        </w:tc>
        <w:tc>
          <w:tcPr>
            <w:tcW w:w="76" w:type="dxa"/>
            <w:tcBorders>
              <w:bottom w:val="single" w:sz="6" w:space="0" w:color="7F7F7F"/>
            </w:tcBorders>
            <w:tcMar>
              <w:bottom w:w="28" w:type="dxa"/>
            </w:tcMar>
            <w:vAlign w:val="center"/>
          </w:tcPr>
          <w:p>
            <w:pPr>
              <w:pStyle w:val="TableContents"/>
              <w:bidi w:val="0"/>
              <w:spacing w:before="0" w:after="283"/>
              <w:jc w:val="left"/>
              <w:rPr/>
            </w:pPr>
            <w:r>
              <w:rPr/>
              <w:t> </w:t>
            </w:r>
          </w:p>
        </w:tc>
        <w:tc>
          <w:tcPr>
            <w:tcW w:w="76" w:type="dxa"/>
            <w:tcBorders>
              <w:bottom w:val="single" w:sz="6" w:space="0" w:color="7F7F7F"/>
            </w:tcBorders>
            <w:tcMar>
              <w:bottom w:w="40" w:type="dxa"/>
            </w:tcMar>
            <w:vAlign w:val="center"/>
          </w:tcPr>
          <w:p>
            <w:pPr>
              <w:pStyle w:val="TableContents"/>
              <w:bidi w:val="0"/>
              <w:spacing w:before="0" w:after="283"/>
              <w:jc w:val="left"/>
              <w:rPr/>
            </w:pPr>
            <w:r>
              <w:rPr/>
              <w:t> </w:t>
            </w:r>
          </w:p>
        </w:tc>
        <w:tc>
          <w:tcPr>
            <w:tcW w:w="865" w:type="dxa"/>
            <w:tcBorders>
              <w:bottom w:val="single" w:sz="6" w:space="0" w:color="7F7F7F"/>
            </w:tcBorders>
            <w:tcMar>
              <w:bottom w:w="40" w:type="dxa"/>
            </w:tcMar>
            <w:vAlign w:val="center"/>
          </w:tcPr>
          <w:p>
            <w:pPr>
              <w:pStyle w:val="TableContents"/>
              <w:bidi w:val="0"/>
              <w:spacing w:before="0" w:after="283"/>
              <w:jc w:val="right"/>
              <w:rPr/>
            </w:pPr>
            <w:r>
              <w:rPr/>
              <w:t>6,864</w:t>
            </w:r>
          </w:p>
        </w:tc>
        <w:tc>
          <w:tcPr>
            <w:tcW w:w="76"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52" w:type="dxa"/>
            <w:tcBorders>
              <w:bottom w:val="single" w:sz="6" w:space="0" w:color="7F7F7F"/>
            </w:tcBorders>
            <w:tcMar>
              <w:bottom w:w="28" w:type="dxa"/>
            </w:tcMar>
            <w:vAlign w:val="center"/>
          </w:tcPr>
          <w:p>
            <w:pPr>
              <w:pStyle w:val="TableContents"/>
              <w:bidi w:val="0"/>
              <w:spacing w:before="0" w:after="283"/>
              <w:jc w:val="left"/>
              <w:rPr/>
            </w:pPr>
            <w:r>
              <w:rPr/>
              <w:t>  </w:t>
            </w:r>
          </w:p>
        </w:tc>
        <w:tc>
          <w:tcPr>
            <w:tcW w:w="76" w:type="dxa"/>
            <w:tcBorders>
              <w:bottom w:val="single" w:sz="6" w:space="0" w:color="7F7F7F"/>
            </w:tcBorders>
            <w:tcMar>
              <w:bottom w:w="28" w:type="dxa"/>
            </w:tcMar>
            <w:vAlign w:val="center"/>
          </w:tcPr>
          <w:p>
            <w:pPr>
              <w:pStyle w:val="TableContents"/>
              <w:bidi w:val="0"/>
              <w:spacing w:before="0" w:after="283"/>
              <w:jc w:val="left"/>
              <w:rPr/>
            </w:pPr>
            <w:r>
              <w:rPr/>
              <w:t> </w:t>
            </w:r>
          </w:p>
        </w:tc>
        <w:tc>
          <w:tcPr>
            <w:tcW w:w="76" w:type="dxa"/>
            <w:tcBorders>
              <w:bottom w:val="single" w:sz="6" w:space="0" w:color="7F7F7F"/>
            </w:tcBorders>
            <w:tcMar>
              <w:bottom w:w="40" w:type="dxa"/>
            </w:tcMar>
            <w:vAlign w:val="center"/>
          </w:tcPr>
          <w:p>
            <w:pPr>
              <w:pStyle w:val="TableContents"/>
              <w:bidi w:val="0"/>
              <w:spacing w:before="0" w:after="283"/>
              <w:jc w:val="left"/>
              <w:rPr/>
            </w:pPr>
            <w:r>
              <w:rPr/>
              <w:t> </w:t>
            </w:r>
          </w:p>
        </w:tc>
        <w:tc>
          <w:tcPr>
            <w:tcW w:w="865" w:type="dxa"/>
            <w:tcBorders>
              <w:bottom w:val="single" w:sz="6" w:space="0" w:color="7F7F7F"/>
            </w:tcBorders>
            <w:tcMar>
              <w:bottom w:w="40" w:type="dxa"/>
            </w:tcMar>
            <w:vAlign w:val="center"/>
          </w:tcPr>
          <w:p>
            <w:pPr>
              <w:pStyle w:val="TableContents"/>
              <w:bidi w:val="0"/>
              <w:spacing w:before="0" w:after="283"/>
              <w:jc w:val="right"/>
              <w:rPr/>
            </w:pPr>
            <w:r>
              <w:rPr/>
              <w:t>6,864</w:t>
            </w:r>
          </w:p>
        </w:tc>
        <w:tc>
          <w:tcPr>
            <w:tcW w:w="76"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52" w:type="dxa"/>
            <w:tcBorders>
              <w:bottom w:val="single" w:sz="6" w:space="0" w:color="7F7F7F"/>
            </w:tcBorders>
            <w:tcMar>
              <w:bottom w:w="28" w:type="dxa"/>
            </w:tcMar>
            <w:vAlign w:val="center"/>
          </w:tcPr>
          <w:p>
            <w:pPr>
              <w:pStyle w:val="TableContents"/>
              <w:bidi w:val="0"/>
              <w:spacing w:before="0" w:after="283"/>
              <w:jc w:val="left"/>
              <w:rPr/>
            </w:pPr>
            <w:r>
              <w:rPr/>
              <w:t>  </w:t>
            </w:r>
          </w:p>
        </w:tc>
        <w:tc>
          <w:tcPr>
            <w:tcW w:w="90" w:type="dxa"/>
            <w:tcBorders>
              <w:bottom w:val="single" w:sz="6" w:space="0" w:color="7F7F7F"/>
            </w:tcBorders>
            <w:tcMar>
              <w:bottom w:w="28" w:type="dxa"/>
            </w:tcMar>
            <w:vAlign w:val="center"/>
          </w:tcPr>
          <w:p>
            <w:pPr>
              <w:pStyle w:val="TableContents"/>
              <w:bidi w:val="0"/>
              <w:spacing w:before="0" w:after="283"/>
              <w:jc w:val="left"/>
              <w:rPr/>
            </w:pPr>
            <w:r>
              <w:rPr/>
              <w:t> </w:t>
            </w:r>
          </w:p>
        </w:tc>
        <w:tc>
          <w:tcPr>
            <w:tcW w:w="90" w:type="dxa"/>
            <w:tcBorders>
              <w:bottom w:val="single" w:sz="6" w:space="0" w:color="7F7F7F"/>
            </w:tcBorders>
            <w:tcMar>
              <w:bottom w:w="40" w:type="dxa"/>
            </w:tcMar>
            <w:vAlign w:val="center"/>
          </w:tcPr>
          <w:p>
            <w:pPr>
              <w:pStyle w:val="TableContents"/>
              <w:bidi w:val="0"/>
              <w:spacing w:before="0" w:after="283"/>
              <w:jc w:val="left"/>
              <w:rPr/>
            </w:pPr>
            <w:r>
              <w:rPr/>
              <w:t> </w:t>
            </w:r>
          </w:p>
        </w:tc>
        <w:tc>
          <w:tcPr>
            <w:tcW w:w="1221" w:type="dxa"/>
            <w:tcBorders>
              <w:bottom w:val="single" w:sz="6" w:space="0" w:color="7F7F7F"/>
            </w:tcBorders>
            <w:tcMar>
              <w:bottom w:w="40" w:type="dxa"/>
            </w:tcMar>
            <w:vAlign w:val="center"/>
          </w:tcPr>
          <w:p>
            <w:pPr>
              <w:pStyle w:val="TableContents"/>
              <w:bidi w:val="0"/>
              <w:spacing w:before="0" w:after="283"/>
              <w:jc w:val="right"/>
              <w:rPr/>
            </w:pPr>
            <w:r>
              <w:rPr/>
              <w:t>13,728</w:t>
            </w:r>
          </w:p>
        </w:tc>
        <w:tc>
          <w:tcPr>
            <w:tcW w:w="117"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283"/>
              <w:jc w:val="left"/>
              <w:rPr>
                <w:sz w:val="4"/>
                <w:szCs w:val="4"/>
              </w:rPr>
            </w:pPr>
            <w:r>
              <w:rPr>
                <w:sz w:val="4"/>
                <w:szCs w:val="4"/>
              </w:rPr>
            </w:r>
          </w:p>
        </w:tc>
        <w:tc>
          <w:tcPr>
            <w:tcW w:w="1245" w:type="dxa"/>
            <w:gridSpan w:val="5"/>
            <w:tcBorders/>
            <w:vAlign w:val="center"/>
          </w:tcPr>
          <w:p>
            <w:pPr>
              <w:pStyle w:val="TableContents"/>
              <w:bidi w:val="0"/>
              <w:spacing w:before="0" w:after="283"/>
              <w:jc w:val="left"/>
              <w:rPr>
                <w:sz w:val="4"/>
                <w:szCs w:val="4"/>
              </w:rPr>
            </w:pPr>
            <w:r>
              <w:rPr>
                <w:sz w:val="4"/>
                <w:szCs w:val="4"/>
              </w:rPr>
            </w:r>
          </w:p>
        </w:tc>
        <w:tc>
          <w:tcPr>
            <w:tcW w:w="1245"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0"/>
              <w:jc w:val="left"/>
              <w:rPr>
                <w:rFonts w:ascii="arial" w:hAnsi="arial"/>
                <w:b/>
                <w:i/>
                <w:sz w:val="18"/>
                <w:u w:val="single"/>
              </w:rPr>
            </w:pPr>
            <w:r>
              <w:rPr>
                <w:rFonts w:ascii="arial" w:hAnsi="arial"/>
                <w:b/>
                <w:i/>
                <w:sz w:val="18"/>
                <w:u w:val="single"/>
              </w:rPr>
              <w:t>Former Executives</w:t>
            </w:r>
          </w:p>
          <w:p>
            <w:pPr>
              <w:pStyle w:val="TableContents"/>
              <w:bidi w:val="0"/>
              <w:spacing w:before="0" w:after="20"/>
              <w:jc w:val="left"/>
              <w:rPr/>
            </w:pPr>
            <w:r>
              <w:rPr/>
              <w:t> </w:t>
            </w:r>
          </w:p>
        </w:tc>
        <w:tc>
          <w:tcPr>
            <w:tcW w:w="15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0"/>
              <w:jc w:val="left"/>
              <w:rPr/>
            </w:pPr>
            <w:r>
              <w:rPr/>
              <w:t> </w:t>
            </w:r>
          </w:p>
        </w:tc>
        <w:tc>
          <w:tcPr>
            <w:tcW w:w="76"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0"/>
              <w:jc w:val="left"/>
              <w:rPr/>
            </w:pPr>
            <w:r>
              <w:rPr/>
              <w:t> </w:t>
            </w:r>
          </w:p>
        </w:tc>
        <w:tc>
          <w:tcPr>
            <w:tcW w:w="76"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0"/>
              <w:jc w:val="left"/>
              <w:rPr/>
            </w:pPr>
            <w:r>
              <w:rPr/>
              <w:t> </w:t>
            </w:r>
          </w:p>
        </w:tc>
        <w:tc>
          <w:tcPr>
            <w:tcW w:w="117" w:type="dxa"/>
            <w:tcBorders/>
            <w:vAlign w:val="center"/>
          </w:tcPr>
          <w:p>
            <w:pPr>
              <w:pStyle w:val="TableContents"/>
              <w:bidi w:val="0"/>
              <w:spacing w:before="0" w:after="0"/>
              <w:jc w:val="left"/>
              <w:rPr/>
            </w:pPr>
            <w:r>
              <w:rPr/>
              <w:t> </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1245" w:type="dxa"/>
            <w:gridSpan w:val="5"/>
            <w:tcBorders/>
            <w:vAlign w:val="center"/>
          </w:tcPr>
          <w:p>
            <w:pPr>
              <w:pStyle w:val="TableContents"/>
              <w:bidi w:val="0"/>
              <w:spacing w:before="0" w:after="283"/>
              <w:jc w:val="left"/>
              <w:rPr>
                <w:sz w:val="4"/>
                <w:szCs w:val="4"/>
              </w:rPr>
            </w:pPr>
            <w:r>
              <w:rPr>
                <w:sz w:val="4"/>
                <w:szCs w:val="4"/>
              </w:rPr>
            </w:r>
          </w:p>
        </w:tc>
        <w:tc>
          <w:tcPr>
            <w:tcW w:w="1245"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Peter W. Quigley</w:t>
            </w:r>
          </w:p>
        </w:tc>
        <w:tc>
          <w:tcPr>
            <w:tcW w:w="152" w:type="dxa"/>
            <w:tcBorders>
              <w:bottom w:val="single" w:sz="6" w:space="0" w:color="7F7F7F"/>
            </w:tcBorders>
            <w:tcMar>
              <w:bottom w:w="28" w:type="dxa"/>
            </w:tcMar>
            <w:vAlign w:val="center"/>
          </w:tcPr>
          <w:p>
            <w:pPr>
              <w:pStyle w:val="TableContents"/>
              <w:bidi w:val="0"/>
              <w:spacing w:before="0" w:after="283"/>
              <w:jc w:val="left"/>
              <w:rPr/>
            </w:pPr>
            <w:r>
              <w:rPr/>
              <w:t>  </w:t>
            </w:r>
          </w:p>
        </w:tc>
        <w:tc>
          <w:tcPr>
            <w:tcW w:w="76" w:type="dxa"/>
            <w:tcBorders>
              <w:bottom w:val="single" w:sz="6" w:space="0" w:color="7F7F7F"/>
            </w:tcBorders>
            <w:tcMar>
              <w:bottom w:w="28" w:type="dxa"/>
            </w:tcMar>
            <w:vAlign w:val="center"/>
          </w:tcPr>
          <w:p>
            <w:pPr>
              <w:pStyle w:val="TableContents"/>
              <w:bidi w:val="0"/>
              <w:spacing w:before="0" w:after="283"/>
              <w:jc w:val="left"/>
              <w:rPr/>
            </w:pPr>
            <w:r>
              <w:rPr/>
              <w:t> </w:t>
            </w:r>
          </w:p>
        </w:tc>
        <w:tc>
          <w:tcPr>
            <w:tcW w:w="76" w:type="dxa"/>
            <w:tcBorders>
              <w:bottom w:val="single" w:sz="6" w:space="0" w:color="7F7F7F"/>
            </w:tcBorders>
            <w:tcMar>
              <w:bottom w:w="40" w:type="dxa"/>
            </w:tcMar>
            <w:vAlign w:val="center"/>
          </w:tcPr>
          <w:p>
            <w:pPr>
              <w:pStyle w:val="TableContents"/>
              <w:bidi w:val="0"/>
              <w:spacing w:before="0" w:after="283"/>
              <w:jc w:val="left"/>
              <w:rPr/>
            </w:pPr>
            <w:r>
              <w:rPr/>
              <w:t> </w:t>
            </w:r>
          </w:p>
        </w:tc>
        <w:tc>
          <w:tcPr>
            <w:tcW w:w="865" w:type="dxa"/>
            <w:tcBorders>
              <w:bottom w:val="single" w:sz="6" w:space="0" w:color="7F7F7F"/>
            </w:tcBorders>
            <w:tcMar>
              <w:bottom w:w="40" w:type="dxa"/>
            </w:tcMar>
            <w:vAlign w:val="center"/>
          </w:tcPr>
          <w:p>
            <w:pPr>
              <w:pStyle w:val="TableContents"/>
              <w:bidi w:val="0"/>
              <w:spacing w:before="0" w:after="283"/>
              <w:jc w:val="right"/>
              <w:rPr/>
            </w:pPr>
            <w:r>
              <w:rPr/>
              <w:t>68,011</w:t>
            </w:r>
          </w:p>
        </w:tc>
        <w:tc>
          <w:tcPr>
            <w:tcW w:w="76"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52" w:type="dxa"/>
            <w:tcBorders>
              <w:bottom w:val="single" w:sz="6" w:space="0" w:color="7F7F7F"/>
            </w:tcBorders>
            <w:tcMar>
              <w:bottom w:w="28" w:type="dxa"/>
            </w:tcMar>
            <w:vAlign w:val="center"/>
          </w:tcPr>
          <w:p>
            <w:pPr>
              <w:pStyle w:val="TableContents"/>
              <w:bidi w:val="0"/>
              <w:spacing w:before="0" w:after="283"/>
              <w:jc w:val="left"/>
              <w:rPr/>
            </w:pPr>
            <w:r>
              <w:rPr/>
              <w:t>  </w:t>
            </w:r>
          </w:p>
        </w:tc>
        <w:tc>
          <w:tcPr>
            <w:tcW w:w="76" w:type="dxa"/>
            <w:tcBorders>
              <w:bottom w:val="single" w:sz="6" w:space="0" w:color="7F7F7F"/>
            </w:tcBorders>
            <w:tcMar>
              <w:bottom w:w="28" w:type="dxa"/>
            </w:tcMar>
            <w:vAlign w:val="center"/>
          </w:tcPr>
          <w:p>
            <w:pPr>
              <w:pStyle w:val="TableContents"/>
              <w:bidi w:val="0"/>
              <w:spacing w:before="0" w:after="283"/>
              <w:jc w:val="left"/>
              <w:rPr/>
            </w:pPr>
            <w:r>
              <w:rPr/>
              <w:t> </w:t>
            </w:r>
          </w:p>
        </w:tc>
        <w:tc>
          <w:tcPr>
            <w:tcW w:w="76" w:type="dxa"/>
            <w:tcBorders>
              <w:bottom w:val="single" w:sz="6" w:space="0" w:color="7F7F7F"/>
            </w:tcBorders>
            <w:tcMar>
              <w:bottom w:w="40" w:type="dxa"/>
            </w:tcMar>
            <w:vAlign w:val="center"/>
          </w:tcPr>
          <w:p>
            <w:pPr>
              <w:pStyle w:val="TableContents"/>
              <w:bidi w:val="0"/>
              <w:spacing w:before="0" w:after="283"/>
              <w:jc w:val="left"/>
              <w:rPr/>
            </w:pPr>
            <w:r>
              <w:rPr/>
              <w:t> </w:t>
            </w:r>
          </w:p>
        </w:tc>
        <w:tc>
          <w:tcPr>
            <w:tcW w:w="865" w:type="dxa"/>
            <w:tcBorders>
              <w:bottom w:val="single" w:sz="6" w:space="0" w:color="7F7F7F"/>
            </w:tcBorders>
            <w:tcMar>
              <w:bottom w:w="40" w:type="dxa"/>
            </w:tcMar>
            <w:vAlign w:val="center"/>
          </w:tcPr>
          <w:p>
            <w:pPr>
              <w:pStyle w:val="TableContents"/>
              <w:bidi w:val="0"/>
              <w:spacing w:before="0" w:after="283"/>
              <w:jc w:val="right"/>
              <w:rPr/>
            </w:pPr>
            <w:r>
              <w:rPr/>
              <w:t>68,011</w:t>
            </w:r>
          </w:p>
        </w:tc>
        <w:tc>
          <w:tcPr>
            <w:tcW w:w="76"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52" w:type="dxa"/>
            <w:tcBorders>
              <w:bottom w:val="single" w:sz="6" w:space="0" w:color="7F7F7F"/>
            </w:tcBorders>
            <w:tcMar>
              <w:bottom w:w="28" w:type="dxa"/>
            </w:tcMar>
            <w:vAlign w:val="center"/>
          </w:tcPr>
          <w:p>
            <w:pPr>
              <w:pStyle w:val="TableContents"/>
              <w:bidi w:val="0"/>
              <w:spacing w:before="0" w:after="283"/>
              <w:jc w:val="left"/>
              <w:rPr/>
            </w:pPr>
            <w:r>
              <w:rPr/>
              <w:t>  </w:t>
            </w:r>
          </w:p>
        </w:tc>
        <w:tc>
          <w:tcPr>
            <w:tcW w:w="90" w:type="dxa"/>
            <w:tcBorders>
              <w:bottom w:val="single" w:sz="6" w:space="0" w:color="7F7F7F"/>
            </w:tcBorders>
            <w:tcMar>
              <w:bottom w:w="28" w:type="dxa"/>
            </w:tcMar>
            <w:vAlign w:val="center"/>
          </w:tcPr>
          <w:p>
            <w:pPr>
              <w:pStyle w:val="TableContents"/>
              <w:bidi w:val="0"/>
              <w:spacing w:before="0" w:after="283"/>
              <w:jc w:val="left"/>
              <w:rPr/>
            </w:pPr>
            <w:r>
              <w:rPr/>
              <w:t> </w:t>
            </w:r>
          </w:p>
        </w:tc>
        <w:tc>
          <w:tcPr>
            <w:tcW w:w="90" w:type="dxa"/>
            <w:tcBorders>
              <w:bottom w:val="single" w:sz="6" w:space="0" w:color="7F7F7F"/>
            </w:tcBorders>
            <w:tcMar>
              <w:bottom w:w="40" w:type="dxa"/>
            </w:tcMar>
            <w:vAlign w:val="center"/>
          </w:tcPr>
          <w:p>
            <w:pPr>
              <w:pStyle w:val="TableContents"/>
              <w:bidi w:val="0"/>
              <w:spacing w:before="0" w:after="283"/>
              <w:jc w:val="left"/>
              <w:rPr/>
            </w:pPr>
            <w:r>
              <w:rPr/>
              <w:t> </w:t>
            </w:r>
          </w:p>
        </w:tc>
        <w:tc>
          <w:tcPr>
            <w:tcW w:w="1221" w:type="dxa"/>
            <w:tcBorders>
              <w:bottom w:val="single" w:sz="6" w:space="0" w:color="7F7F7F"/>
            </w:tcBorders>
            <w:tcMar>
              <w:bottom w:w="40" w:type="dxa"/>
            </w:tcMar>
            <w:vAlign w:val="center"/>
          </w:tcPr>
          <w:p>
            <w:pPr>
              <w:pStyle w:val="TableContents"/>
              <w:bidi w:val="0"/>
              <w:spacing w:before="0" w:after="283"/>
              <w:jc w:val="right"/>
              <w:rPr/>
            </w:pPr>
            <w:r>
              <w:rPr/>
              <w:t>136,022</w:t>
            </w:r>
          </w:p>
        </w:tc>
        <w:tc>
          <w:tcPr>
            <w:tcW w:w="117"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sz w:val="18"/>
        </w:rPr>
      </w:pPr>
      <w:r>
        <w:rPr>
          <w:rFonts w:ascii="arial" w:hAnsi="arial"/>
          <w:sz w:val="18"/>
        </w:rPr>
        <w:t xml:space="preserve">Performance share awards are generally forfeited upon termination of employment unless the executive qualifies for certain exceptions, including retirement, disability, death, or termination without cause. In those cases, awards may be prorated based on actual performance. In the event of a qualifying termination in connection with a change in control, performance shares vest at target. Additional detail is provided in the “Potential Payments Upon Termination or Change in Control” section below. </w:t>
      </w:r>
    </w:p>
    <w:p>
      <w:pPr>
        <w:pStyle w:val="TextBody"/>
        <w:bidi w:val="0"/>
        <w:spacing w:before="240" w:after="0"/>
        <w:jc w:val="left"/>
        <w:rPr>
          <w:rFonts w:ascii="arial" w:hAnsi="arial"/>
          <w:i/>
          <w:sz w:val="18"/>
          <w:u w:val="single"/>
        </w:rPr>
      </w:pPr>
      <w:r>
        <w:rPr>
          <w:rFonts w:ascii="arial" w:hAnsi="arial"/>
          <w:i/>
          <w:sz w:val="18"/>
          <w:u w:val="single"/>
        </w:rPr>
        <w:t xml:space="preserve">2023-2025 Long-Term Incentive Performance Results – Year 3 </w:t>
      </w:r>
    </w:p>
    <w:p>
      <w:pPr>
        <w:pStyle w:val="TextBody"/>
        <w:bidi w:val="0"/>
        <w:spacing w:before="80" w:after="0"/>
        <w:jc w:val="left"/>
        <w:rPr>
          <w:rFonts w:ascii="arial" w:hAnsi="arial"/>
          <w:sz w:val="18"/>
        </w:rPr>
      </w:pPr>
      <w:r>
        <w:rPr>
          <w:rFonts w:ascii="arial" w:hAnsi="arial"/>
          <w:sz w:val="18"/>
        </w:rPr>
        <w:t xml:space="preserve">The 2023-2025 performance shares have two financial measures, revenue growth and EBITDA margin, which have three one-year goals set in the beginning of each performance year. In February 2025, the Committee approved goals at threshold, target, and maximum levels of performance for each of the measures for the 2025 portion of the award opportunity. During its February 10, 2026 meeting, the Committee approved the results for the 2025 performance year. Earned shares vested 100% upon Committee approval. Aggregate funding for all performance measures during the 2025 performance year was 53.64% of target. The final performance results for the 2025 performance year are provided in the following chart: </w:t>
      </w:r>
    </w:p>
    <w:p>
      <w:pPr>
        <w:pStyle w:val="TextBody"/>
        <w:bidi w:val="0"/>
        <w:spacing w:before="0" w:after="0"/>
        <w:jc w:val="left"/>
        <w:rPr/>
      </w:pPr>
      <w:r>
        <w:rPr/>
        <w:t> </w:t>
      </w:r>
    </w:p>
    <w:tbl>
      <w:tblPr>
        <w:tblW w:w="9635" w:type="dxa"/>
        <w:jc w:val="left"/>
        <w:tblInd w:w="0" w:type="dxa"/>
        <w:tblLayout w:type="fixed"/>
        <w:tblCellMar>
          <w:top w:w="0" w:type="dxa"/>
          <w:left w:w="0" w:type="dxa"/>
          <w:bottom w:w="0" w:type="dxa"/>
          <w:right w:w="0" w:type="dxa"/>
        </w:tblCellMar>
      </w:tblPr>
      <w:tblGrid>
        <w:gridCol w:w="2600"/>
        <w:gridCol w:w="120"/>
        <w:gridCol w:w="128"/>
        <w:gridCol w:w="942"/>
        <w:gridCol w:w="60"/>
        <w:gridCol w:w="120"/>
        <w:gridCol w:w="69"/>
        <w:gridCol w:w="1001"/>
        <w:gridCol w:w="60"/>
        <w:gridCol w:w="120"/>
        <w:gridCol w:w="60"/>
        <w:gridCol w:w="860"/>
        <w:gridCol w:w="60"/>
        <w:gridCol w:w="120"/>
        <w:gridCol w:w="1070"/>
        <w:gridCol w:w="120"/>
        <w:gridCol w:w="1070"/>
        <w:gridCol w:w="120"/>
        <w:gridCol w:w="60"/>
        <w:gridCol w:w="800"/>
        <w:gridCol w:w="75"/>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00" w:type="dxa"/>
            <w:vMerge w:val="restart"/>
            <w:tcBorders>
              <w:bottom w:val="single" w:sz="8" w:space="0" w:color="000000"/>
            </w:tcBorders>
            <w:tcMar>
              <w:bottom w:w="40" w:type="dxa"/>
            </w:tcMar>
            <w:vAlign w:val="center"/>
          </w:tcPr>
          <w:p>
            <w:pPr>
              <w:pStyle w:val="TableContents"/>
              <w:bidi w:val="0"/>
              <w:spacing w:before="0" w:after="0"/>
              <w:jc w:val="left"/>
              <w:rPr>
                <w:rFonts w:ascii="arial" w:hAnsi="arial"/>
                <w:b/>
                <w:color w:val="00AE4F"/>
                <w:sz w:val="16"/>
              </w:rPr>
            </w:pPr>
            <w:r>
              <w:rPr>
                <w:rFonts w:ascii="arial" w:hAnsi="arial"/>
                <w:b/>
                <w:color w:val="00AE4F"/>
                <w:sz w:val="16"/>
              </w:rPr>
              <w:t>Financial Performance Measures</w:t>
            </w:r>
          </w:p>
        </w:tc>
        <w:tc>
          <w:tcPr>
            <w:tcW w:w="12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1070" w:type="dxa"/>
            <w:gridSpan w:val="2"/>
            <w:vMerge w:val="restart"/>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Weighting</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420" w:type="dxa"/>
            <w:gridSpan w:val="9"/>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2025 Performance Goals</w:t>
            </w:r>
          </w:p>
        </w:tc>
        <w:tc>
          <w:tcPr>
            <w:tcW w:w="12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1070" w:type="dxa"/>
            <w:vMerge w:val="restart"/>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2023 Year</w:t>
              <w:br/>
              <w:t>3 Actual</w:t>
              <w:br/>
              <w:t>Results</w:t>
            </w:r>
          </w:p>
        </w:tc>
        <w:tc>
          <w:tcPr>
            <w:tcW w:w="12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vMerge w:val="restart"/>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Payout</w:t>
              <w:br/>
              <w:t>as % of</w:t>
              <w:br/>
              <w:t>Target</w:t>
            </w:r>
          </w:p>
        </w:tc>
        <w:tc>
          <w:tcPr>
            <w:tcW w:w="75"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600" w:type="dxa"/>
            <w:vMerge w:val="continue"/>
            <w:tcBorders>
              <w:bottom w:val="single" w:sz="8" w:space="0" w:color="000000"/>
            </w:tcBorders>
            <w:tcMar>
              <w:bottom w:w="40" w:type="dxa"/>
            </w:tcMar>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070" w:type="dxa"/>
            <w:gridSpan w:val="2"/>
            <w:vMerge w:val="continue"/>
            <w:tcBorders>
              <w:bottom w:val="single" w:sz="8" w:space="0" w:color="000000"/>
            </w:tcBorders>
            <w:tcMar>
              <w:bottom w:w="40" w:type="dxa"/>
            </w:tcMar>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0" w:type="dxa"/>
            <w:gridSpan w:val="2"/>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Threshold</w:t>
              <w:br/>
              <w:t>50%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20" w:type="dxa"/>
            <w:gridSpan w:val="2"/>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Target</w:t>
              <w:br/>
              <w:t>100%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Maximum</w:t>
              <w:br/>
              <w:t>200%</w:t>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070" w:type="dxa"/>
            <w:vMerge w:val="continue"/>
            <w:tcBorders>
              <w:bottom w:val="single" w:sz="8" w:space="0" w:color="000000"/>
            </w:tcBorders>
            <w:tcMar>
              <w:bottom w:w="40" w:type="dxa"/>
            </w:tcMar>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860" w:type="dxa"/>
            <w:gridSpan w:val="2"/>
            <w:vMerge w:val="continue"/>
            <w:tcBorders>
              <w:bottom w:val="single" w:sz="8" w:space="0" w:color="000000"/>
            </w:tcBorders>
            <w:tcMar>
              <w:bottom w:w="40" w:type="dxa"/>
            </w:tcMar>
            <w:vAlign w:val="center"/>
          </w:tcPr>
          <w:p>
            <w:pPr>
              <w:pStyle w:val="Normal"/>
              <w:bidi w:val="0"/>
              <w:jc w:val="left"/>
              <w:rPr/>
            </w:pPr>
            <w:r>
              <w:rPr/>
            </w:r>
          </w:p>
        </w:tc>
        <w:tc>
          <w:tcPr>
            <w:tcW w:w="75" w:type="dxa"/>
            <w:vMerge w:val="continue"/>
            <w:tcBorders>
              <w:bottom w:val="single" w:sz="8" w:space="0" w:color="000000"/>
            </w:tcBorders>
            <w:tcMar>
              <w:bottom w:w="28" w:type="dxa"/>
            </w:tcMar>
            <w:vAlign w:val="center"/>
          </w:tcPr>
          <w:p>
            <w:pPr>
              <w:pStyle w:val="Normal"/>
              <w:bidi w:val="0"/>
              <w:jc w:val="left"/>
              <w:rPr/>
            </w:pPr>
            <w:r>
              <w:rPr/>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600"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Revenue Growth</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28" w:type="dxa"/>
            <w:tcBorders>
              <w:bottom w:val="single" w:sz="6" w:space="0" w:color="7F7F7F"/>
            </w:tcBorders>
            <w:tcMar>
              <w:bottom w:w="40" w:type="dxa"/>
            </w:tcMar>
            <w:vAlign w:val="center"/>
          </w:tcPr>
          <w:p>
            <w:pPr>
              <w:pStyle w:val="TableContents"/>
              <w:bidi w:val="0"/>
              <w:spacing w:before="0" w:after="283"/>
              <w:jc w:val="left"/>
              <w:rPr/>
            </w:pPr>
            <w:r>
              <w:rPr/>
              <w:t> </w:t>
            </w:r>
          </w:p>
        </w:tc>
        <w:tc>
          <w:tcPr>
            <w:tcW w:w="942" w:type="dxa"/>
            <w:tcBorders>
              <w:bottom w:val="single" w:sz="6" w:space="0" w:color="7F7F7F"/>
            </w:tcBorders>
            <w:tcMar>
              <w:bottom w:w="40" w:type="dxa"/>
            </w:tcMar>
            <w:vAlign w:val="center"/>
          </w:tcPr>
          <w:p>
            <w:pPr>
              <w:pStyle w:val="TableContents"/>
              <w:bidi w:val="0"/>
              <w:spacing w:before="0" w:after="283"/>
              <w:jc w:val="center"/>
              <w:rPr/>
            </w:pPr>
            <w:r>
              <w:rPr/>
              <w:t>50.0%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9" w:type="dxa"/>
            <w:tcBorders>
              <w:bottom w:val="single" w:sz="6" w:space="0" w:color="7F7F7F"/>
            </w:tcBorders>
            <w:tcMar>
              <w:bottom w:w="40" w:type="dxa"/>
            </w:tcMar>
            <w:vAlign w:val="center"/>
          </w:tcPr>
          <w:p>
            <w:pPr>
              <w:pStyle w:val="TableContents"/>
              <w:bidi w:val="0"/>
              <w:spacing w:before="0" w:after="283"/>
              <w:jc w:val="left"/>
              <w:rPr/>
            </w:pPr>
            <w:r>
              <w:rPr/>
              <w:t> </w:t>
            </w:r>
          </w:p>
        </w:tc>
        <w:tc>
          <w:tcPr>
            <w:tcW w:w="1001" w:type="dxa"/>
            <w:tcBorders>
              <w:bottom w:val="single" w:sz="6" w:space="0" w:color="7F7F7F"/>
            </w:tcBorders>
            <w:tcMar>
              <w:bottom w:w="40" w:type="dxa"/>
            </w:tcMar>
            <w:vAlign w:val="center"/>
          </w:tcPr>
          <w:p>
            <w:pPr>
              <w:pStyle w:val="TableContents"/>
              <w:bidi w:val="0"/>
              <w:spacing w:before="0" w:after="283"/>
              <w:jc w:val="center"/>
              <w:rPr/>
            </w:pPr>
            <w:r>
              <w:rPr/>
              <w:t>$4,266.0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860" w:type="dxa"/>
            <w:tcBorders>
              <w:bottom w:val="single" w:sz="6" w:space="0" w:color="7F7F7F"/>
            </w:tcBorders>
            <w:tcMar>
              <w:bottom w:w="40" w:type="dxa"/>
            </w:tcMar>
            <w:vAlign w:val="center"/>
          </w:tcPr>
          <w:p>
            <w:pPr>
              <w:pStyle w:val="TableContents"/>
              <w:bidi w:val="0"/>
              <w:spacing w:before="0" w:after="283"/>
              <w:jc w:val="center"/>
              <w:rPr/>
            </w:pPr>
            <w:r>
              <w:rPr/>
              <w:t>$4,740.0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$5,214.0</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$4,334.9</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800" w:type="dxa"/>
            <w:tcBorders>
              <w:bottom w:val="single" w:sz="6" w:space="0" w:color="7F7F7F"/>
            </w:tcBorders>
            <w:tcMar>
              <w:bottom w:w="40" w:type="dxa"/>
            </w:tcMar>
            <w:vAlign w:val="center"/>
          </w:tcPr>
          <w:p>
            <w:pPr>
              <w:pStyle w:val="TableContents"/>
              <w:bidi w:val="0"/>
              <w:spacing w:before="0" w:after="283"/>
              <w:jc w:val="right"/>
              <w:rPr/>
            </w:pPr>
            <w:r>
              <w:rPr/>
              <w:t>57.27%</w:t>
            </w:r>
          </w:p>
        </w:tc>
        <w:tc>
          <w:tcPr>
            <w:tcW w:w="75"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600"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EBITDA Margin</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28" w:type="dxa"/>
            <w:tcBorders>
              <w:bottom w:val="single" w:sz="6" w:space="0" w:color="7F7F7F"/>
            </w:tcBorders>
            <w:tcMar>
              <w:bottom w:w="40" w:type="dxa"/>
            </w:tcMar>
            <w:vAlign w:val="center"/>
          </w:tcPr>
          <w:p>
            <w:pPr>
              <w:pStyle w:val="TableContents"/>
              <w:bidi w:val="0"/>
              <w:spacing w:before="0" w:after="283"/>
              <w:jc w:val="left"/>
              <w:rPr/>
            </w:pPr>
            <w:r>
              <w:rPr/>
              <w:t> </w:t>
            </w:r>
          </w:p>
        </w:tc>
        <w:tc>
          <w:tcPr>
            <w:tcW w:w="942" w:type="dxa"/>
            <w:tcBorders>
              <w:bottom w:val="single" w:sz="6" w:space="0" w:color="7F7F7F"/>
            </w:tcBorders>
            <w:tcMar>
              <w:bottom w:w="40" w:type="dxa"/>
            </w:tcMar>
            <w:vAlign w:val="center"/>
          </w:tcPr>
          <w:p>
            <w:pPr>
              <w:pStyle w:val="TableContents"/>
              <w:bidi w:val="0"/>
              <w:spacing w:before="0" w:after="283"/>
              <w:jc w:val="center"/>
              <w:rPr/>
            </w:pPr>
            <w:r>
              <w:rPr/>
              <w:t>50.0%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9" w:type="dxa"/>
            <w:tcBorders>
              <w:bottom w:val="single" w:sz="6" w:space="0" w:color="7F7F7F"/>
            </w:tcBorders>
            <w:tcMar>
              <w:bottom w:w="40" w:type="dxa"/>
            </w:tcMar>
            <w:vAlign w:val="center"/>
          </w:tcPr>
          <w:p>
            <w:pPr>
              <w:pStyle w:val="TableContents"/>
              <w:bidi w:val="0"/>
              <w:spacing w:before="0" w:after="283"/>
              <w:jc w:val="left"/>
              <w:rPr/>
            </w:pPr>
            <w:r>
              <w:rPr/>
              <w:t> </w:t>
            </w:r>
          </w:p>
        </w:tc>
        <w:tc>
          <w:tcPr>
            <w:tcW w:w="1001" w:type="dxa"/>
            <w:tcBorders>
              <w:bottom w:val="single" w:sz="6" w:space="0" w:color="7F7F7F"/>
            </w:tcBorders>
            <w:tcMar>
              <w:bottom w:w="40" w:type="dxa"/>
            </w:tcMar>
            <w:vAlign w:val="center"/>
          </w:tcPr>
          <w:p>
            <w:pPr>
              <w:pStyle w:val="TableContents"/>
              <w:bidi w:val="0"/>
              <w:spacing w:before="0" w:after="283"/>
              <w:jc w:val="center"/>
              <w:rPr/>
            </w:pPr>
            <w:r>
              <w:rPr/>
              <w:t>2.88%</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860" w:type="dxa"/>
            <w:tcBorders>
              <w:bottom w:val="single" w:sz="6" w:space="0" w:color="7F7F7F"/>
            </w:tcBorders>
            <w:tcMar>
              <w:bottom w:w="40" w:type="dxa"/>
            </w:tcMar>
            <w:vAlign w:val="center"/>
          </w:tcPr>
          <w:p>
            <w:pPr>
              <w:pStyle w:val="TableContents"/>
              <w:bidi w:val="0"/>
              <w:spacing w:before="0" w:after="283"/>
              <w:jc w:val="center"/>
              <w:rPr/>
            </w:pPr>
            <w:r>
              <w:rPr/>
              <w:t>3.60%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4.32%</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70" w:type="dxa"/>
            <w:tcBorders>
              <w:bottom w:val="single" w:sz="6" w:space="0" w:color="7F7F7F"/>
            </w:tcBorders>
            <w:tcMar>
              <w:bottom w:w="40" w:type="dxa"/>
            </w:tcMar>
            <w:vAlign w:val="center"/>
          </w:tcPr>
          <w:p>
            <w:pPr>
              <w:pStyle w:val="TableContents"/>
              <w:bidi w:val="0"/>
              <w:spacing w:before="0" w:after="283"/>
              <w:jc w:val="center"/>
              <w:rPr/>
            </w:pPr>
            <w:r>
              <w:rPr/>
              <w:t>2.88%</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800" w:type="dxa"/>
            <w:tcBorders>
              <w:bottom w:val="single" w:sz="6" w:space="0" w:color="7F7F7F"/>
            </w:tcBorders>
            <w:tcMar>
              <w:bottom w:w="40" w:type="dxa"/>
            </w:tcMar>
            <w:vAlign w:val="center"/>
          </w:tcPr>
          <w:p>
            <w:pPr>
              <w:pStyle w:val="TableContents"/>
              <w:bidi w:val="0"/>
              <w:spacing w:before="0" w:after="283"/>
              <w:jc w:val="right"/>
              <w:rPr/>
            </w:pPr>
            <w:r>
              <w:rPr/>
              <w:t>50.00%</w:t>
            </w:r>
          </w:p>
        </w:tc>
        <w:tc>
          <w:tcPr>
            <w:tcW w:w="75"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238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600" w:type="dxa"/>
            <w:tcBorders>
              <w:bottom w:val="single" w:sz="6" w:space="0" w:color="7F7F7F"/>
            </w:tcBorders>
            <w:tcMar>
              <w:bottom w:w="40" w:type="dxa"/>
            </w:tcMar>
            <w:vAlign w:val="center"/>
          </w:tcPr>
          <w:p>
            <w:pPr>
              <w:pStyle w:val="TableContents"/>
              <w:bidi w:val="0"/>
              <w:spacing w:before="0" w:after="0"/>
              <w:jc w:val="left"/>
              <w:rPr>
                <w:rFonts w:ascii="arial" w:hAnsi="arial"/>
                <w:i/>
                <w:sz w:val="18"/>
              </w:rPr>
            </w:pPr>
            <w:r>
              <w:rPr>
                <w:rFonts w:ascii="arial" w:hAnsi="arial"/>
                <w:i/>
                <w:sz w:val="18"/>
              </w:rPr>
              <w:t>$ in millions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28"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4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9"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1"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260" w:type="dxa"/>
            <w:gridSpan w:val="3"/>
            <w:tcBorders>
              <w:bottom w:val="single" w:sz="6" w:space="0" w:color="7F7F7F"/>
            </w:tcBorders>
            <w:tcMar>
              <w:bottom w:w="40" w:type="dxa"/>
            </w:tcMar>
            <w:vAlign w:val="center"/>
          </w:tcPr>
          <w:p>
            <w:pPr>
              <w:pStyle w:val="TableContents"/>
              <w:bidi w:val="0"/>
              <w:spacing w:before="0" w:after="283"/>
              <w:jc w:val="right"/>
              <w:rPr>
                <w:b/>
              </w:rPr>
            </w:pPr>
            <w:r>
              <w:rPr>
                <w:b/>
              </w:rPr>
              <w:t>Weighted Payout: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800" w:type="dxa"/>
            <w:tcBorders>
              <w:bottom w:val="single" w:sz="6" w:space="0" w:color="7F7F7F"/>
            </w:tcBorders>
            <w:tcMar>
              <w:bottom w:w="40" w:type="dxa"/>
            </w:tcMar>
            <w:vAlign w:val="center"/>
          </w:tcPr>
          <w:p>
            <w:pPr>
              <w:pStyle w:val="TableContents"/>
              <w:bidi w:val="0"/>
              <w:spacing w:before="0" w:after="283"/>
              <w:jc w:val="right"/>
              <w:rPr>
                <w:b/>
              </w:rPr>
            </w:pPr>
            <w:r>
              <w:rPr>
                <w:b/>
              </w:rPr>
              <w:t>53.64%</w:t>
            </w:r>
          </w:p>
        </w:tc>
        <w:tc>
          <w:tcPr>
            <w:tcW w:w="75" w:type="dxa"/>
            <w:tcBorders>
              <w:bottom w:val="single" w:sz="6" w:space="0" w:color="7F7F7F"/>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305"/>
        <w:gridCol w:w="5975"/>
      </w:tblGrid>
      <w:tr>
        <w:trPr/>
        <w:tc>
          <w:tcPr>
            <w:tcW w:w="305" w:type="dxa"/>
            <w:tcBorders/>
            <w:vAlign w:val="center"/>
          </w:tcPr>
          <w:p>
            <w:pPr>
              <w:pStyle w:val="TableContents"/>
              <w:bidi w:val="0"/>
              <w:spacing w:before="0" w:after="283"/>
              <w:jc w:val="left"/>
              <w:rPr/>
            </w:pPr>
            <w:r>
              <w:rPr/>
              <w:t>(1)</w:t>
            </w:r>
          </w:p>
        </w:tc>
        <w:tc>
          <w:tcPr>
            <w:tcW w:w="5975" w:type="dxa"/>
            <w:tcBorders/>
            <w:vAlign w:val="center"/>
          </w:tcPr>
          <w:p>
            <w:pPr>
              <w:pStyle w:val="TableContents"/>
              <w:bidi w:val="0"/>
              <w:spacing w:before="0" w:after="0"/>
              <w:jc w:val="left"/>
              <w:rPr>
                <w:rFonts w:ascii="arial" w:hAnsi="arial"/>
                <w:sz w:val="14"/>
              </w:rPr>
            </w:pPr>
            <w:r>
              <w:rPr>
                <w:rFonts w:ascii="arial" w:hAnsi="arial"/>
                <w:sz w:val="14"/>
              </w:rPr>
              <w:t xml:space="preserve">2025 performance amount includes adjustments for considerations approved by the Committee. </w:t>
            </w:r>
          </w:p>
        </w:tc>
      </w:tr>
    </w:tbl>
    <w:p>
      <w:pPr>
        <w:pStyle w:val="TextBody"/>
        <w:bidi w:val="0"/>
        <w:spacing w:before="240" w:after="0"/>
        <w:jc w:val="left"/>
        <w:rPr>
          <w:rFonts w:ascii="arial" w:hAnsi="arial"/>
          <w:sz w:val="18"/>
        </w:rPr>
      </w:pPr>
      <w:r>
        <w:rPr>
          <w:rFonts w:ascii="arial" w:hAnsi="arial"/>
          <w:sz w:val="18"/>
        </w:rPr>
        <w:t xml:space="preserve">As a result of the above level of achievement for each of the performance measures for year 3 of the 2023-2025 LTI award, the Committee approved the following number of earned performance shares for each named executive officer.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68"/>
        <w:gridCol w:w="120"/>
        <w:gridCol w:w="102"/>
        <w:gridCol w:w="102"/>
        <w:gridCol w:w="1182"/>
        <w:gridCol w:w="102"/>
        <w:gridCol w:w="207"/>
        <w:gridCol w:w="103"/>
        <w:gridCol w:w="103"/>
        <w:gridCol w:w="1197"/>
        <w:gridCol w:w="116"/>
        <w:gridCol w:w="120"/>
        <w:gridCol w:w="111"/>
        <w:gridCol w:w="111"/>
        <w:gridCol w:w="1266"/>
        <w:gridCol w:w="111"/>
        <w:gridCol w:w="222"/>
        <w:gridCol w:w="123"/>
        <w:gridCol w:w="123"/>
        <w:gridCol w:w="1159"/>
        <w:gridCol w:w="130"/>
        <w:gridCol w:w="120"/>
        <w:gridCol w:w="109"/>
        <w:gridCol w:w="109"/>
        <w:gridCol w:w="1245"/>
        <w:gridCol w:w="144"/>
      </w:tblGrid>
      <w:tr>
        <w:trPr/>
        <w:tc>
          <w:tcPr>
            <w:tcW w:w="1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r>
      <w:tr>
        <w:trPr/>
        <w:tc>
          <w:tcPr>
            <w:tcW w:w="166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14" w:type="dxa"/>
            <w:gridSpan w:val="9"/>
            <w:tcBorders>
              <w:bottom w:val="single" w:sz="8" w:space="0" w:color="000000"/>
            </w:tcBorders>
            <w:tcMar>
              <w:bottom w:w="60" w:type="dxa"/>
            </w:tcMar>
            <w:vAlign w:val="center"/>
          </w:tcPr>
          <w:p>
            <w:pPr>
              <w:pStyle w:val="TableContents"/>
              <w:bidi w:val="0"/>
              <w:spacing w:before="0" w:after="283"/>
              <w:jc w:val="center"/>
              <w:rPr/>
            </w:pPr>
            <w:r>
              <w:rPr>
                <w:b/>
                <w:color w:val="00AE4F"/>
              </w:rPr>
              <w:t>Financial Measure:</w:t>
            </w:r>
            <w:r>
              <w:rPr/>
              <w:br/>
            </w:r>
            <w:r>
              <w:rPr>
                <w:b/>
                <w:color w:val="00AE4F"/>
              </w:rPr>
              <w:t>Revenue Growth</w:t>
            </w:r>
          </w:p>
        </w:tc>
        <w:tc>
          <w:tcPr>
            <w:tcW w:w="120" w:type="dxa"/>
            <w:tcBorders/>
            <w:vAlign w:val="center"/>
          </w:tcPr>
          <w:p>
            <w:pPr>
              <w:pStyle w:val="TableContents"/>
              <w:bidi w:val="0"/>
              <w:spacing w:before="0" w:after="283"/>
              <w:jc w:val="left"/>
              <w:rPr/>
            </w:pPr>
            <w:r>
              <w:rPr/>
              <w:t>  </w:t>
            </w:r>
          </w:p>
        </w:tc>
        <w:tc>
          <w:tcPr>
            <w:tcW w:w="3356" w:type="dxa"/>
            <w:gridSpan w:val="9"/>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Financial Measure: EBITDA</w:t>
              <w:br/>
              <w:t>Margin</w:t>
            </w:r>
          </w:p>
        </w:tc>
        <w:tc>
          <w:tcPr>
            <w:tcW w:w="12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1607" w:type="dxa"/>
            <w:gridSpan w:val="4"/>
            <w:vMerge w:val="restart"/>
            <w:tcBorders>
              <w:bottom w:val="single" w:sz="8" w:space="0" w:color="000000"/>
            </w:tcBorders>
            <w:tcMar>
              <w:bottom w:w="60" w:type="dxa"/>
            </w:tcMar>
            <w:vAlign w:val="center"/>
          </w:tcPr>
          <w:p>
            <w:pPr>
              <w:pStyle w:val="TableContents"/>
              <w:bidi w:val="0"/>
              <w:jc w:val="center"/>
              <w:rPr/>
            </w:pPr>
            <w:r>
              <w:rPr>
                <w:b/>
                <w:color w:val="00AE4F"/>
              </w:rPr>
              <w:t>Total # of</w:t>
              <w:br/>
              <w:t>Year 3</w:t>
              <w:br/>
              <w:t>Performance</w:t>
              <w:br/>
              <w:t>Shares Earned</w:t>
            </w:r>
            <w:r>
              <w:rPr/>
              <w:t xml:space="preserve"> </w:t>
            </w:r>
          </w:p>
          <w:p>
            <w:pPr>
              <w:pStyle w:val="TableContents"/>
              <w:bidi w:val="0"/>
              <w:spacing w:before="0" w:after="20"/>
              <w:jc w:val="left"/>
              <w:rPr/>
            </w:pPr>
            <w:r>
              <w:rPr/>
              <w:t> </w:t>
            </w:r>
          </w:p>
        </w:tc>
      </w:tr>
      <w:tr>
        <w:trPr/>
        <w:tc>
          <w:tcPr>
            <w:tcW w:w="166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14" w:type="dxa"/>
            <w:gridSpan w:val="9"/>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Payout as % of Target: 57.27%</w:t>
            </w:r>
          </w:p>
        </w:tc>
        <w:tc>
          <w:tcPr>
            <w:tcW w:w="120" w:type="dxa"/>
            <w:tcBorders/>
            <w:vAlign w:val="center"/>
          </w:tcPr>
          <w:p>
            <w:pPr>
              <w:pStyle w:val="TableContents"/>
              <w:bidi w:val="0"/>
              <w:spacing w:before="0" w:after="283"/>
              <w:jc w:val="left"/>
              <w:rPr/>
            </w:pPr>
            <w:r>
              <w:rPr/>
              <w:t>  </w:t>
            </w:r>
          </w:p>
        </w:tc>
        <w:tc>
          <w:tcPr>
            <w:tcW w:w="3356" w:type="dxa"/>
            <w:gridSpan w:val="9"/>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Payout as % of Target: 50.00%</w:t>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607" w:type="dxa"/>
            <w:gridSpan w:val="4"/>
            <w:vMerge w:val="continue"/>
            <w:tcBorders>
              <w:bottom w:val="single" w:sz="8" w:space="0" w:color="000000"/>
            </w:tcBorders>
            <w:tcMar>
              <w:bottom w:w="60" w:type="dxa"/>
            </w:tcMar>
            <w:vAlign w:val="center"/>
          </w:tcPr>
          <w:p>
            <w:pPr>
              <w:pStyle w:val="Normal"/>
              <w:bidi w:val="0"/>
              <w:jc w:val="left"/>
              <w:rPr/>
            </w:pPr>
            <w:r>
              <w:rPr/>
            </w:r>
          </w:p>
        </w:tc>
      </w:tr>
      <w:tr>
        <w:trPr/>
        <w:tc>
          <w:tcPr>
            <w:tcW w:w="1668" w:type="dxa"/>
            <w:tcBorders>
              <w:bottom w:val="single" w:sz="8" w:space="0" w:color="000000"/>
            </w:tcBorders>
            <w:tcMar>
              <w:bottom w:w="60" w:type="dxa"/>
            </w:tcMar>
            <w:vAlign w:val="center"/>
          </w:tcPr>
          <w:p>
            <w:pPr>
              <w:pStyle w:val="TableContents"/>
              <w:bidi w:val="0"/>
              <w:spacing w:before="0" w:after="0"/>
              <w:jc w:val="left"/>
              <w:rPr>
                <w:rFonts w:ascii="arial" w:hAnsi="arial"/>
                <w:b/>
                <w:color w:val="00AE4F"/>
                <w:sz w:val="16"/>
              </w:rPr>
            </w:pPr>
            <w:r>
              <w:rPr>
                <w:rFonts w:ascii="arial" w:hAnsi="arial"/>
                <w:b/>
                <w:color w:val="00AE4F"/>
                <w:sz w:val="16"/>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88" w:type="dxa"/>
            <w:gridSpan w:val="4"/>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Year 3 Target</w:t>
              <w:br/>
              <w:t># of Shares</w:t>
            </w:r>
          </w:p>
        </w:tc>
        <w:tc>
          <w:tcPr>
            <w:tcW w:w="207" w:type="dxa"/>
            <w:tcBorders>
              <w:bottom w:val="single" w:sz="8" w:space="0" w:color="000000"/>
            </w:tcBorders>
            <w:tcMar>
              <w:bottom w:w="28" w:type="dxa"/>
            </w:tcMar>
            <w:vAlign w:val="center"/>
          </w:tcPr>
          <w:p>
            <w:pPr>
              <w:pStyle w:val="TableContents"/>
              <w:bidi w:val="0"/>
              <w:spacing w:before="0" w:after="283"/>
              <w:jc w:val="left"/>
              <w:rPr/>
            </w:pPr>
            <w:r>
              <w:rPr/>
              <w:t>  </w:t>
            </w:r>
          </w:p>
        </w:tc>
        <w:tc>
          <w:tcPr>
            <w:tcW w:w="1519" w:type="dxa"/>
            <w:gridSpan w:val="4"/>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Year 3 # of</w:t>
              <w:br/>
              <w:t>Shares Earned</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99" w:type="dxa"/>
            <w:gridSpan w:val="4"/>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Year 3 Target</w:t>
              <w:br/>
              <w:t># of Shares</w:t>
            </w:r>
          </w:p>
        </w:tc>
        <w:tc>
          <w:tcPr>
            <w:tcW w:w="222" w:type="dxa"/>
            <w:tcBorders>
              <w:bottom w:val="single" w:sz="8" w:space="0" w:color="000000"/>
            </w:tcBorders>
            <w:tcMar>
              <w:bottom w:w="28" w:type="dxa"/>
            </w:tcMar>
            <w:vAlign w:val="center"/>
          </w:tcPr>
          <w:p>
            <w:pPr>
              <w:pStyle w:val="TableContents"/>
              <w:bidi w:val="0"/>
              <w:spacing w:before="0" w:after="283"/>
              <w:jc w:val="left"/>
              <w:rPr/>
            </w:pPr>
            <w:r>
              <w:rPr/>
              <w:t>  </w:t>
            </w:r>
          </w:p>
        </w:tc>
        <w:tc>
          <w:tcPr>
            <w:tcW w:w="1535" w:type="dxa"/>
            <w:gridSpan w:val="4"/>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Year 3 # of</w:t>
              <w:br/>
              <w:t>Shares Earned</w:t>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607" w:type="dxa"/>
            <w:gridSpan w:val="4"/>
            <w:vMerge w:val="continue"/>
            <w:tcBorders>
              <w:bottom w:val="single" w:sz="8" w:space="0" w:color="000000"/>
            </w:tcBorders>
            <w:tcMar>
              <w:bottom w:w="60" w:type="dxa"/>
            </w:tcMar>
            <w:vAlign w:val="center"/>
          </w:tcPr>
          <w:p>
            <w:pPr>
              <w:pStyle w:val="Normal"/>
              <w:bidi w:val="0"/>
              <w:jc w:val="left"/>
              <w:rPr/>
            </w:pPr>
            <w:r>
              <w:rPr/>
            </w:r>
          </w:p>
        </w:tc>
      </w:tr>
      <w:tr>
        <w:trPr/>
        <w:tc>
          <w:tcPr>
            <w:tcW w:w="1668" w:type="dxa"/>
            <w:tcBorders/>
            <w:vAlign w:val="center"/>
          </w:tcPr>
          <w:p>
            <w:pPr>
              <w:pStyle w:val="TableContents"/>
              <w:bidi w:val="0"/>
              <w:spacing w:before="0" w:after="283"/>
              <w:jc w:val="left"/>
              <w:rPr>
                <w:sz w:val="4"/>
                <w:szCs w:val="4"/>
              </w:rPr>
            </w:pPr>
            <w:r>
              <w:rPr>
                <w:sz w:val="4"/>
                <w:szCs w:val="4"/>
              </w:rPr>
            </w:r>
          </w:p>
        </w:tc>
        <w:tc>
          <w:tcPr>
            <w:tcW w:w="1608" w:type="dxa"/>
            <w:gridSpan w:val="5"/>
            <w:tcBorders/>
            <w:vAlign w:val="center"/>
          </w:tcPr>
          <w:p>
            <w:pPr>
              <w:pStyle w:val="TableContents"/>
              <w:bidi w:val="0"/>
              <w:spacing w:before="0" w:after="283"/>
              <w:jc w:val="left"/>
              <w:rPr>
                <w:sz w:val="4"/>
                <w:szCs w:val="4"/>
              </w:rPr>
            </w:pPr>
            <w:r>
              <w:rPr>
                <w:sz w:val="4"/>
                <w:szCs w:val="4"/>
              </w:rPr>
            </w:r>
          </w:p>
        </w:tc>
        <w:tc>
          <w:tcPr>
            <w:tcW w:w="1726" w:type="dxa"/>
            <w:gridSpan w:val="5"/>
            <w:tcBorders/>
            <w:vAlign w:val="center"/>
          </w:tcPr>
          <w:p>
            <w:pPr>
              <w:pStyle w:val="TableContents"/>
              <w:bidi w:val="0"/>
              <w:spacing w:before="0" w:after="283"/>
              <w:jc w:val="left"/>
              <w:rPr>
                <w:sz w:val="4"/>
                <w:szCs w:val="4"/>
              </w:rPr>
            </w:pPr>
            <w:r>
              <w:rPr>
                <w:sz w:val="4"/>
                <w:szCs w:val="4"/>
              </w:rPr>
            </w:r>
          </w:p>
        </w:tc>
        <w:tc>
          <w:tcPr>
            <w:tcW w:w="1719" w:type="dxa"/>
            <w:gridSpan w:val="5"/>
            <w:tcBorders/>
            <w:vAlign w:val="center"/>
          </w:tcPr>
          <w:p>
            <w:pPr>
              <w:pStyle w:val="TableContents"/>
              <w:bidi w:val="0"/>
              <w:spacing w:before="0" w:after="283"/>
              <w:jc w:val="left"/>
              <w:rPr>
                <w:sz w:val="4"/>
                <w:szCs w:val="4"/>
              </w:rPr>
            </w:pPr>
            <w:r>
              <w:rPr>
                <w:sz w:val="4"/>
                <w:szCs w:val="4"/>
              </w:rPr>
            </w:r>
          </w:p>
        </w:tc>
        <w:tc>
          <w:tcPr>
            <w:tcW w:w="1757" w:type="dxa"/>
            <w:gridSpan w:val="5"/>
            <w:tcBorders/>
            <w:vAlign w:val="center"/>
          </w:tcPr>
          <w:p>
            <w:pPr>
              <w:pStyle w:val="TableContents"/>
              <w:bidi w:val="0"/>
              <w:spacing w:before="0" w:after="283"/>
              <w:jc w:val="left"/>
              <w:rPr>
                <w:sz w:val="4"/>
                <w:szCs w:val="4"/>
              </w:rPr>
            </w:pPr>
            <w:r>
              <w:rPr>
                <w:sz w:val="4"/>
                <w:szCs w:val="4"/>
              </w:rPr>
            </w:r>
          </w:p>
        </w:tc>
        <w:tc>
          <w:tcPr>
            <w:tcW w:w="1727" w:type="dxa"/>
            <w:gridSpan w:val="5"/>
            <w:tcBorders/>
            <w:vAlign w:val="center"/>
          </w:tcPr>
          <w:p>
            <w:pPr>
              <w:pStyle w:val="TableContents"/>
              <w:bidi w:val="0"/>
              <w:spacing w:before="0" w:after="283"/>
              <w:jc w:val="left"/>
              <w:rPr>
                <w:sz w:val="4"/>
                <w:szCs w:val="4"/>
              </w:rPr>
            </w:pPr>
            <w:r>
              <w:rPr>
                <w:sz w:val="4"/>
                <w:szCs w:val="4"/>
              </w:rPr>
            </w:r>
          </w:p>
        </w:tc>
      </w:tr>
      <w:tr>
        <w:trPr/>
        <w:tc>
          <w:tcPr>
            <w:tcW w:w="1668"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Tammy L. Browning</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2" w:type="dxa"/>
            <w:tcBorders>
              <w:bottom w:val="single" w:sz="6" w:space="0" w:color="7F7F7F"/>
            </w:tcBorders>
            <w:tcMar>
              <w:bottom w:w="28" w:type="dxa"/>
            </w:tcMar>
            <w:vAlign w:val="center"/>
          </w:tcPr>
          <w:p>
            <w:pPr>
              <w:pStyle w:val="TableContents"/>
              <w:bidi w:val="0"/>
              <w:spacing w:before="0" w:after="283"/>
              <w:jc w:val="left"/>
              <w:rPr/>
            </w:pPr>
            <w:r>
              <w:rPr/>
              <w:t> </w:t>
            </w:r>
          </w:p>
        </w:tc>
        <w:tc>
          <w:tcPr>
            <w:tcW w:w="102" w:type="dxa"/>
            <w:tcBorders>
              <w:bottom w:val="single" w:sz="6" w:space="0" w:color="7F7F7F"/>
            </w:tcBorders>
            <w:tcMar>
              <w:bottom w:w="40" w:type="dxa"/>
            </w:tcMar>
            <w:vAlign w:val="center"/>
          </w:tcPr>
          <w:p>
            <w:pPr>
              <w:pStyle w:val="TableContents"/>
              <w:bidi w:val="0"/>
              <w:spacing w:before="0" w:after="283"/>
              <w:jc w:val="left"/>
              <w:rPr/>
            </w:pPr>
            <w:r>
              <w:rPr/>
              <w:t> </w:t>
            </w:r>
          </w:p>
        </w:tc>
        <w:tc>
          <w:tcPr>
            <w:tcW w:w="1182" w:type="dxa"/>
            <w:tcBorders>
              <w:bottom w:val="single" w:sz="6" w:space="0" w:color="7F7F7F"/>
            </w:tcBorders>
            <w:tcMar>
              <w:bottom w:w="40" w:type="dxa"/>
            </w:tcMar>
            <w:vAlign w:val="center"/>
          </w:tcPr>
          <w:p>
            <w:pPr>
              <w:pStyle w:val="TableContents"/>
              <w:bidi w:val="0"/>
              <w:spacing w:before="0" w:after="283"/>
              <w:jc w:val="right"/>
              <w:rPr/>
            </w:pPr>
            <w:r>
              <w:rPr/>
              <w:t>1,877</w:t>
            </w:r>
          </w:p>
        </w:tc>
        <w:tc>
          <w:tcPr>
            <w:tcW w:w="102"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07" w:type="dxa"/>
            <w:tcBorders>
              <w:bottom w:val="single" w:sz="6" w:space="0" w:color="7F7F7F"/>
            </w:tcBorders>
            <w:tcMar>
              <w:bottom w:w="28" w:type="dxa"/>
            </w:tcMar>
            <w:vAlign w:val="center"/>
          </w:tcPr>
          <w:p>
            <w:pPr>
              <w:pStyle w:val="TableContents"/>
              <w:bidi w:val="0"/>
              <w:spacing w:before="0" w:after="283"/>
              <w:jc w:val="left"/>
              <w:rPr/>
            </w:pPr>
            <w:r>
              <w:rPr/>
              <w:t>  </w:t>
            </w:r>
          </w:p>
        </w:tc>
        <w:tc>
          <w:tcPr>
            <w:tcW w:w="103" w:type="dxa"/>
            <w:tcBorders>
              <w:bottom w:val="single" w:sz="6" w:space="0" w:color="7F7F7F"/>
            </w:tcBorders>
            <w:tcMar>
              <w:bottom w:w="28" w:type="dxa"/>
            </w:tcMar>
            <w:vAlign w:val="center"/>
          </w:tcPr>
          <w:p>
            <w:pPr>
              <w:pStyle w:val="TableContents"/>
              <w:bidi w:val="0"/>
              <w:spacing w:before="0" w:after="283"/>
              <w:jc w:val="left"/>
              <w:rPr/>
            </w:pPr>
            <w:r>
              <w:rPr/>
              <w:t> </w:t>
            </w:r>
          </w:p>
        </w:tc>
        <w:tc>
          <w:tcPr>
            <w:tcW w:w="103" w:type="dxa"/>
            <w:tcBorders>
              <w:bottom w:val="single" w:sz="6" w:space="0" w:color="7F7F7F"/>
            </w:tcBorders>
            <w:tcMar>
              <w:bottom w:w="40" w:type="dxa"/>
            </w:tcMar>
            <w:vAlign w:val="center"/>
          </w:tcPr>
          <w:p>
            <w:pPr>
              <w:pStyle w:val="TableContents"/>
              <w:bidi w:val="0"/>
              <w:spacing w:before="0" w:after="283"/>
              <w:jc w:val="left"/>
              <w:rPr/>
            </w:pPr>
            <w:r>
              <w:rPr/>
              <w:t> </w:t>
            </w:r>
          </w:p>
        </w:tc>
        <w:tc>
          <w:tcPr>
            <w:tcW w:w="1197" w:type="dxa"/>
            <w:tcBorders>
              <w:bottom w:val="single" w:sz="6" w:space="0" w:color="7F7F7F"/>
            </w:tcBorders>
            <w:tcMar>
              <w:bottom w:w="40" w:type="dxa"/>
            </w:tcMar>
            <w:vAlign w:val="center"/>
          </w:tcPr>
          <w:p>
            <w:pPr>
              <w:pStyle w:val="TableContents"/>
              <w:bidi w:val="0"/>
              <w:spacing w:before="0" w:after="283"/>
              <w:jc w:val="right"/>
              <w:rPr/>
            </w:pPr>
            <w:r>
              <w:rPr/>
              <w:t>1,075</w:t>
            </w:r>
          </w:p>
        </w:tc>
        <w:tc>
          <w:tcPr>
            <w:tcW w:w="116"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11" w:type="dxa"/>
            <w:tcBorders>
              <w:bottom w:val="single" w:sz="6" w:space="0" w:color="7F7F7F"/>
            </w:tcBorders>
            <w:tcMar>
              <w:bottom w:w="28" w:type="dxa"/>
            </w:tcMar>
            <w:vAlign w:val="center"/>
          </w:tcPr>
          <w:p>
            <w:pPr>
              <w:pStyle w:val="TableContents"/>
              <w:bidi w:val="0"/>
              <w:spacing w:before="0" w:after="283"/>
              <w:jc w:val="left"/>
              <w:rPr/>
            </w:pPr>
            <w:r>
              <w:rPr/>
              <w:t> </w:t>
            </w:r>
          </w:p>
        </w:tc>
        <w:tc>
          <w:tcPr>
            <w:tcW w:w="111" w:type="dxa"/>
            <w:tcBorders>
              <w:bottom w:val="single" w:sz="6" w:space="0" w:color="7F7F7F"/>
            </w:tcBorders>
            <w:tcMar>
              <w:bottom w:w="40" w:type="dxa"/>
            </w:tcMar>
            <w:vAlign w:val="center"/>
          </w:tcPr>
          <w:p>
            <w:pPr>
              <w:pStyle w:val="TableContents"/>
              <w:bidi w:val="0"/>
              <w:spacing w:before="0" w:after="283"/>
              <w:jc w:val="left"/>
              <w:rPr/>
            </w:pPr>
            <w:r>
              <w:rPr/>
              <w:t> </w:t>
            </w:r>
          </w:p>
        </w:tc>
        <w:tc>
          <w:tcPr>
            <w:tcW w:w="1266" w:type="dxa"/>
            <w:tcBorders>
              <w:bottom w:val="single" w:sz="6" w:space="0" w:color="7F7F7F"/>
            </w:tcBorders>
            <w:tcMar>
              <w:bottom w:w="40" w:type="dxa"/>
            </w:tcMar>
            <w:vAlign w:val="center"/>
          </w:tcPr>
          <w:p>
            <w:pPr>
              <w:pStyle w:val="TableContents"/>
              <w:bidi w:val="0"/>
              <w:spacing w:before="0" w:after="283"/>
              <w:jc w:val="right"/>
              <w:rPr/>
            </w:pPr>
            <w:r>
              <w:rPr/>
              <w:t>1,877</w:t>
            </w:r>
          </w:p>
        </w:tc>
        <w:tc>
          <w:tcPr>
            <w:tcW w:w="11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22" w:type="dxa"/>
            <w:tcBorders>
              <w:bottom w:val="single" w:sz="6" w:space="0" w:color="7F7F7F"/>
            </w:tcBorders>
            <w:tcMar>
              <w:bottom w:w="28" w:type="dxa"/>
            </w:tcMar>
            <w:vAlign w:val="center"/>
          </w:tcPr>
          <w:p>
            <w:pPr>
              <w:pStyle w:val="TableContents"/>
              <w:bidi w:val="0"/>
              <w:spacing w:before="0" w:after="283"/>
              <w:jc w:val="left"/>
              <w:rPr/>
            </w:pPr>
            <w:r>
              <w:rPr/>
              <w:t>  </w:t>
            </w:r>
          </w:p>
        </w:tc>
        <w:tc>
          <w:tcPr>
            <w:tcW w:w="123" w:type="dxa"/>
            <w:tcBorders>
              <w:bottom w:val="single" w:sz="6" w:space="0" w:color="7F7F7F"/>
            </w:tcBorders>
            <w:tcMar>
              <w:bottom w:w="28" w:type="dxa"/>
            </w:tcMar>
            <w:vAlign w:val="center"/>
          </w:tcPr>
          <w:p>
            <w:pPr>
              <w:pStyle w:val="TableContents"/>
              <w:bidi w:val="0"/>
              <w:spacing w:before="0" w:after="283"/>
              <w:jc w:val="left"/>
              <w:rPr/>
            </w:pPr>
            <w:r>
              <w:rPr/>
              <w:t> </w:t>
            </w:r>
          </w:p>
        </w:tc>
        <w:tc>
          <w:tcPr>
            <w:tcW w:w="123" w:type="dxa"/>
            <w:tcBorders>
              <w:bottom w:val="single" w:sz="6" w:space="0" w:color="7F7F7F"/>
            </w:tcBorders>
            <w:tcMar>
              <w:bottom w:w="40" w:type="dxa"/>
            </w:tcMar>
            <w:vAlign w:val="center"/>
          </w:tcPr>
          <w:p>
            <w:pPr>
              <w:pStyle w:val="TableContents"/>
              <w:bidi w:val="0"/>
              <w:spacing w:before="0" w:after="283"/>
              <w:jc w:val="left"/>
              <w:rPr/>
            </w:pPr>
            <w:r>
              <w:rPr/>
              <w:t> </w:t>
            </w:r>
          </w:p>
        </w:tc>
        <w:tc>
          <w:tcPr>
            <w:tcW w:w="1159" w:type="dxa"/>
            <w:tcBorders>
              <w:bottom w:val="single" w:sz="6" w:space="0" w:color="7F7F7F"/>
            </w:tcBorders>
            <w:tcMar>
              <w:bottom w:w="40" w:type="dxa"/>
            </w:tcMar>
            <w:vAlign w:val="center"/>
          </w:tcPr>
          <w:p>
            <w:pPr>
              <w:pStyle w:val="TableContents"/>
              <w:bidi w:val="0"/>
              <w:spacing w:before="0" w:after="283"/>
              <w:jc w:val="right"/>
              <w:rPr/>
            </w:pPr>
            <w:r>
              <w:rPr/>
              <w:t>939</w:t>
            </w:r>
          </w:p>
        </w:tc>
        <w:tc>
          <w:tcPr>
            <w:tcW w:w="13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40" w:type="dxa"/>
            </w:tcMar>
            <w:vAlign w:val="center"/>
          </w:tcPr>
          <w:p>
            <w:pPr>
              <w:pStyle w:val="TableContents"/>
              <w:bidi w:val="0"/>
              <w:spacing w:before="0" w:after="283"/>
              <w:jc w:val="left"/>
              <w:rPr/>
            </w:pPr>
            <w:r>
              <w:rPr/>
              <w:t> </w:t>
            </w:r>
          </w:p>
        </w:tc>
        <w:tc>
          <w:tcPr>
            <w:tcW w:w="1245" w:type="dxa"/>
            <w:tcBorders>
              <w:bottom w:val="single" w:sz="6" w:space="0" w:color="7F7F7F"/>
            </w:tcBorders>
            <w:tcMar>
              <w:bottom w:w="40" w:type="dxa"/>
            </w:tcMar>
            <w:vAlign w:val="center"/>
          </w:tcPr>
          <w:p>
            <w:pPr>
              <w:pStyle w:val="TableContents"/>
              <w:bidi w:val="0"/>
              <w:spacing w:before="0" w:after="283"/>
              <w:jc w:val="right"/>
              <w:rPr/>
            </w:pPr>
            <w:r>
              <w:rPr/>
              <w:t>2,014</w:t>
            </w:r>
          </w:p>
        </w:tc>
        <w:tc>
          <w:tcPr>
            <w:tcW w:w="144"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1668" w:type="dxa"/>
            <w:tcBorders/>
            <w:vAlign w:val="center"/>
          </w:tcPr>
          <w:p>
            <w:pPr>
              <w:pStyle w:val="TableContents"/>
              <w:bidi w:val="0"/>
              <w:spacing w:before="0" w:after="283"/>
              <w:jc w:val="left"/>
              <w:rPr>
                <w:sz w:val="4"/>
                <w:szCs w:val="4"/>
              </w:rPr>
            </w:pPr>
            <w:r>
              <w:rPr>
                <w:sz w:val="4"/>
                <w:szCs w:val="4"/>
              </w:rPr>
            </w:r>
          </w:p>
        </w:tc>
        <w:tc>
          <w:tcPr>
            <w:tcW w:w="1608" w:type="dxa"/>
            <w:gridSpan w:val="5"/>
            <w:tcBorders/>
            <w:vAlign w:val="center"/>
          </w:tcPr>
          <w:p>
            <w:pPr>
              <w:pStyle w:val="TableContents"/>
              <w:bidi w:val="0"/>
              <w:spacing w:before="0" w:after="283"/>
              <w:jc w:val="left"/>
              <w:rPr>
                <w:sz w:val="4"/>
                <w:szCs w:val="4"/>
              </w:rPr>
            </w:pPr>
            <w:r>
              <w:rPr>
                <w:sz w:val="4"/>
                <w:szCs w:val="4"/>
              </w:rPr>
            </w:r>
          </w:p>
        </w:tc>
        <w:tc>
          <w:tcPr>
            <w:tcW w:w="1726" w:type="dxa"/>
            <w:gridSpan w:val="5"/>
            <w:tcBorders/>
            <w:vAlign w:val="center"/>
          </w:tcPr>
          <w:p>
            <w:pPr>
              <w:pStyle w:val="TableContents"/>
              <w:bidi w:val="0"/>
              <w:spacing w:before="0" w:after="283"/>
              <w:jc w:val="left"/>
              <w:rPr>
                <w:sz w:val="4"/>
                <w:szCs w:val="4"/>
              </w:rPr>
            </w:pPr>
            <w:r>
              <w:rPr>
                <w:sz w:val="4"/>
                <w:szCs w:val="4"/>
              </w:rPr>
            </w:r>
          </w:p>
        </w:tc>
        <w:tc>
          <w:tcPr>
            <w:tcW w:w="1719" w:type="dxa"/>
            <w:gridSpan w:val="5"/>
            <w:tcBorders/>
            <w:vAlign w:val="center"/>
          </w:tcPr>
          <w:p>
            <w:pPr>
              <w:pStyle w:val="TableContents"/>
              <w:bidi w:val="0"/>
              <w:spacing w:before="0" w:after="283"/>
              <w:jc w:val="left"/>
              <w:rPr>
                <w:sz w:val="4"/>
                <w:szCs w:val="4"/>
              </w:rPr>
            </w:pPr>
            <w:r>
              <w:rPr>
                <w:sz w:val="4"/>
                <w:szCs w:val="4"/>
              </w:rPr>
            </w:r>
          </w:p>
        </w:tc>
        <w:tc>
          <w:tcPr>
            <w:tcW w:w="1757" w:type="dxa"/>
            <w:gridSpan w:val="5"/>
            <w:tcBorders/>
            <w:vAlign w:val="center"/>
          </w:tcPr>
          <w:p>
            <w:pPr>
              <w:pStyle w:val="TableContents"/>
              <w:bidi w:val="0"/>
              <w:spacing w:before="0" w:after="283"/>
              <w:jc w:val="left"/>
              <w:rPr>
                <w:sz w:val="4"/>
                <w:szCs w:val="4"/>
              </w:rPr>
            </w:pPr>
            <w:r>
              <w:rPr>
                <w:sz w:val="4"/>
                <w:szCs w:val="4"/>
              </w:rPr>
            </w:r>
          </w:p>
        </w:tc>
        <w:tc>
          <w:tcPr>
            <w:tcW w:w="1727" w:type="dxa"/>
            <w:gridSpan w:val="5"/>
            <w:tcBorders/>
            <w:vAlign w:val="center"/>
          </w:tcPr>
          <w:p>
            <w:pPr>
              <w:pStyle w:val="TableContents"/>
              <w:bidi w:val="0"/>
              <w:spacing w:before="0" w:after="283"/>
              <w:jc w:val="left"/>
              <w:rPr>
                <w:sz w:val="4"/>
                <w:szCs w:val="4"/>
              </w:rPr>
            </w:pPr>
            <w:r>
              <w:rPr>
                <w:sz w:val="4"/>
                <w:szCs w:val="4"/>
              </w:rPr>
            </w:r>
          </w:p>
        </w:tc>
      </w:tr>
      <w:tr>
        <w:trPr/>
        <w:tc>
          <w:tcPr>
            <w:tcW w:w="1668"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Vanessa P. Williams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2" w:type="dxa"/>
            <w:tcBorders>
              <w:bottom w:val="single" w:sz="6" w:space="0" w:color="7F7F7F"/>
            </w:tcBorders>
            <w:tcMar>
              <w:bottom w:w="28" w:type="dxa"/>
            </w:tcMar>
            <w:vAlign w:val="center"/>
          </w:tcPr>
          <w:p>
            <w:pPr>
              <w:pStyle w:val="TableContents"/>
              <w:bidi w:val="0"/>
              <w:spacing w:before="0" w:after="283"/>
              <w:jc w:val="left"/>
              <w:rPr/>
            </w:pPr>
            <w:r>
              <w:rPr/>
              <w:t> </w:t>
            </w:r>
          </w:p>
        </w:tc>
        <w:tc>
          <w:tcPr>
            <w:tcW w:w="102" w:type="dxa"/>
            <w:tcBorders>
              <w:bottom w:val="single" w:sz="6" w:space="0" w:color="7F7F7F"/>
            </w:tcBorders>
            <w:tcMar>
              <w:bottom w:w="40" w:type="dxa"/>
            </w:tcMar>
            <w:vAlign w:val="center"/>
          </w:tcPr>
          <w:p>
            <w:pPr>
              <w:pStyle w:val="TableContents"/>
              <w:bidi w:val="0"/>
              <w:spacing w:before="0" w:after="283"/>
              <w:jc w:val="left"/>
              <w:rPr/>
            </w:pPr>
            <w:r>
              <w:rPr/>
              <w:t> </w:t>
            </w:r>
          </w:p>
        </w:tc>
        <w:tc>
          <w:tcPr>
            <w:tcW w:w="1182" w:type="dxa"/>
            <w:tcBorders>
              <w:bottom w:val="single" w:sz="6" w:space="0" w:color="7F7F7F"/>
            </w:tcBorders>
            <w:tcMar>
              <w:bottom w:w="40" w:type="dxa"/>
            </w:tcMar>
            <w:vAlign w:val="center"/>
          </w:tcPr>
          <w:p>
            <w:pPr>
              <w:pStyle w:val="TableContents"/>
              <w:bidi w:val="0"/>
              <w:spacing w:before="0" w:after="283"/>
              <w:jc w:val="right"/>
              <w:rPr/>
            </w:pPr>
            <w:r>
              <w:rPr/>
              <w:t>2,584</w:t>
            </w:r>
          </w:p>
        </w:tc>
        <w:tc>
          <w:tcPr>
            <w:tcW w:w="102"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07" w:type="dxa"/>
            <w:tcBorders>
              <w:bottom w:val="single" w:sz="6" w:space="0" w:color="7F7F7F"/>
            </w:tcBorders>
            <w:tcMar>
              <w:bottom w:w="28" w:type="dxa"/>
            </w:tcMar>
            <w:vAlign w:val="center"/>
          </w:tcPr>
          <w:p>
            <w:pPr>
              <w:pStyle w:val="TableContents"/>
              <w:bidi w:val="0"/>
              <w:spacing w:before="0" w:after="283"/>
              <w:jc w:val="left"/>
              <w:rPr/>
            </w:pPr>
            <w:r>
              <w:rPr/>
              <w:t>  </w:t>
            </w:r>
          </w:p>
        </w:tc>
        <w:tc>
          <w:tcPr>
            <w:tcW w:w="103" w:type="dxa"/>
            <w:tcBorders>
              <w:bottom w:val="single" w:sz="6" w:space="0" w:color="7F7F7F"/>
            </w:tcBorders>
            <w:tcMar>
              <w:bottom w:w="28" w:type="dxa"/>
            </w:tcMar>
            <w:vAlign w:val="center"/>
          </w:tcPr>
          <w:p>
            <w:pPr>
              <w:pStyle w:val="TableContents"/>
              <w:bidi w:val="0"/>
              <w:spacing w:before="0" w:after="283"/>
              <w:jc w:val="left"/>
              <w:rPr/>
            </w:pPr>
            <w:r>
              <w:rPr/>
              <w:t> </w:t>
            </w:r>
          </w:p>
        </w:tc>
        <w:tc>
          <w:tcPr>
            <w:tcW w:w="103" w:type="dxa"/>
            <w:tcBorders>
              <w:bottom w:val="single" w:sz="6" w:space="0" w:color="7F7F7F"/>
            </w:tcBorders>
            <w:tcMar>
              <w:bottom w:w="40" w:type="dxa"/>
            </w:tcMar>
            <w:vAlign w:val="center"/>
          </w:tcPr>
          <w:p>
            <w:pPr>
              <w:pStyle w:val="TableContents"/>
              <w:bidi w:val="0"/>
              <w:spacing w:before="0" w:after="283"/>
              <w:jc w:val="left"/>
              <w:rPr/>
            </w:pPr>
            <w:r>
              <w:rPr/>
              <w:t> </w:t>
            </w:r>
          </w:p>
        </w:tc>
        <w:tc>
          <w:tcPr>
            <w:tcW w:w="1197" w:type="dxa"/>
            <w:tcBorders>
              <w:bottom w:val="single" w:sz="6" w:space="0" w:color="7F7F7F"/>
            </w:tcBorders>
            <w:tcMar>
              <w:bottom w:w="40" w:type="dxa"/>
            </w:tcMar>
            <w:vAlign w:val="center"/>
          </w:tcPr>
          <w:p>
            <w:pPr>
              <w:pStyle w:val="TableContents"/>
              <w:bidi w:val="0"/>
              <w:spacing w:before="0" w:after="283"/>
              <w:jc w:val="right"/>
              <w:rPr/>
            </w:pPr>
            <w:r>
              <w:rPr/>
              <w:t>1,480</w:t>
            </w:r>
          </w:p>
        </w:tc>
        <w:tc>
          <w:tcPr>
            <w:tcW w:w="116"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11" w:type="dxa"/>
            <w:tcBorders>
              <w:bottom w:val="single" w:sz="6" w:space="0" w:color="7F7F7F"/>
            </w:tcBorders>
            <w:tcMar>
              <w:bottom w:w="28" w:type="dxa"/>
            </w:tcMar>
            <w:vAlign w:val="center"/>
          </w:tcPr>
          <w:p>
            <w:pPr>
              <w:pStyle w:val="TableContents"/>
              <w:bidi w:val="0"/>
              <w:spacing w:before="0" w:after="283"/>
              <w:jc w:val="left"/>
              <w:rPr/>
            </w:pPr>
            <w:r>
              <w:rPr/>
              <w:t> </w:t>
            </w:r>
          </w:p>
        </w:tc>
        <w:tc>
          <w:tcPr>
            <w:tcW w:w="111" w:type="dxa"/>
            <w:tcBorders>
              <w:bottom w:val="single" w:sz="6" w:space="0" w:color="7F7F7F"/>
            </w:tcBorders>
            <w:tcMar>
              <w:bottom w:w="40" w:type="dxa"/>
            </w:tcMar>
            <w:vAlign w:val="center"/>
          </w:tcPr>
          <w:p>
            <w:pPr>
              <w:pStyle w:val="TableContents"/>
              <w:bidi w:val="0"/>
              <w:spacing w:before="0" w:after="283"/>
              <w:jc w:val="left"/>
              <w:rPr/>
            </w:pPr>
            <w:r>
              <w:rPr/>
              <w:t> </w:t>
            </w:r>
          </w:p>
        </w:tc>
        <w:tc>
          <w:tcPr>
            <w:tcW w:w="1266" w:type="dxa"/>
            <w:tcBorders>
              <w:bottom w:val="single" w:sz="6" w:space="0" w:color="7F7F7F"/>
            </w:tcBorders>
            <w:tcMar>
              <w:bottom w:w="40" w:type="dxa"/>
            </w:tcMar>
            <w:vAlign w:val="center"/>
          </w:tcPr>
          <w:p>
            <w:pPr>
              <w:pStyle w:val="TableContents"/>
              <w:bidi w:val="0"/>
              <w:spacing w:before="0" w:after="283"/>
              <w:jc w:val="right"/>
              <w:rPr/>
            </w:pPr>
            <w:r>
              <w:rPr/>
              <w:t>2,584</w:t>
            </w:r>
          </w:p>
        </w:tc>
        <w:tc>
          <w:tcPr>
            <w:tcW w:w="11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22" w:type="dxa"/>
            <w:tcBorders>
              <w:bottom w:val="single" w:sz="6" w:space="0" w:color="7F7F7F"/>
            </w:tcBorders>
            <w:tcMar>
              <w:bottom w:w="28" w:type="dxa"/>
            </w:tcMar>
            <w:vAlign w:val="center"/>
          </w:tcPr>
          <w:p>
            <w:pPr>
              <w:pStyle w:val="TableContents"/>
              <w:bidi w:val="0"/>
              <w:spacing w:before="0" w:after="283"/>
              <w:jc w:val="left"/>
              <w:rPr/>
            </w:pPr>
            <w:r>
              <w:rPr/>
              <w:t>  </w:t>
            </w:r>
          </w:p>
        </w:tc>
        <w:tc>
          <w:tcPr>
            <w:tcW w:w="123" w:type="dxa"/>
            <w:tcBorders>
              <w:bottom w:val="single" w:sz="6" w:space="0" w:color="7F7F7F"/>
            </w:tcBorders>
            <w:tcMar>
              <w:bottom w:w="28" w:type="dxa"/>
            </w:tcMar>
            <w:vAlign w:val="center"/>
          </w:tcPr>
          <w:p>
            <w:pPr>
              <w:pStyle w:val="TableContents"/>
              <w:bidi w:val="0"/>
              <w:spacing w:before="0" w:after="283"/>
              <w:jc w:val="left"/>
              <w:rPr/>
            </w:pPr>
            <w:r>
              <w:rPr/>
              <w:t> </w:t>
            </w:r>
          </w:p>
        </w:tc>
        <w:tc>
          <w:tcPr>
            <w:tcW w:w="123" w:type="dxa"/>
            <w:tcBorders>
              <w:bottom w:val="single" w:sz="6" w:space="0" w:color="7F7F7F"/>
            </w:tcBorders>
            <w:tcMar>
              <w:bottom w:w="40" w:type="dxa"/>
            </w:tcMar>
            <w:vAlign w:val="center"/>
          </w:tcPr>
          <w:p>
            <w:pPr>
              <w:pStyle w:val="TableContents"/>
              <w:bidi w:val="0"/>
              <w:spacing w:before="0" w:after="283"/>
              <w:jc w:val="left"/>
              <w:rPr/>
            </w:pPr>
            <w:r>
              <w:rPr/>
              <w:t> </w:t>
            </w:r>
          </w:p>
        </w:tc>
        <w:tc>
          <w:tcPr>
            <w:tcW w:w="1159" w:type="dxa"/>
            <w:tcBorders>
              <w:bottom w:val="single" w:sz="6" w:space="0" w:color="7F7F7F"/>
            </w:tcBorders>
            <w:tcMar>
              <w:bottom w:w="40" w:type="dxa"/>
            </w:tcMar>
            <w:vAlign w:val="center"/>
          </w:tcPr>
          <w:p>
            <w:pPr>
              <w:pStyle w:val="TableContents"/>
              <w:bidi w:val="0"/>
              <w:spacing w:before="0" w:after="283"/>
              <w:jc w:val="right"/>
              <w:rPr/>
            </w:pPr>
            <w:r>
              <w:rPr/>
              <w:t>1,292</w:t>
            </w:r>
          </w:p>
        </w:tc>
        <w:tc>
          <w:tcPr>
            <w:tcW w:w="13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40" w:type="dxa"/>
            </w:tcMar>
            <w:vAlign w:val="center"/>
          </w:tcPr>
          <w:p>
            <w:pPr>
              <w:pStyle w:val="TableContents"/>
              <w:bidi w:val="0"/>
              <w:spacing w:before="0" w:after="283"/>
              <w:jc w:val="left"/>
              <w:rPr/>
            </w:pPr>
            <w:r>
              <w:rPr/>
              <w:t> </w:t>
            </w:r>
          </w:p>
        </w:tc>
        <w:tc>
          <w:tcPr>
            <w:tcW w:w="1245" w:type="dxa"/>
            <w:tcBorders>
              <w:bottom w:val="single" w:sz="6" w:space="0" w:color="7F7F7F"/>
            </w:tcBorders>
            <w:tcMar>
              <w:bottom w:w="40" w:type="dxa"/>
            </w:tcMar>
            <w:vAlign w:val="center"/>
          </w:tcPr>
          <w:p>
            <w:pPr>
              <w:pStyle w:val="TableContents"/>
              <w:bidi w:val="0"/>
              <w:spacing w:before="0" w:after="283"/>
              <w:jc w:val="right"/>
              <w:rPr/>
            </w:pPr>
            <w:r>
              <w:rPr/>
              <w:t>2,772</w:t>
            </w:r>
          </w:p>
        </w:tc>
        <w:tc>
          <w:tcPr>
            <w:tcW w:w="144"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1668" w:type="dxa"/>
            <w:tcBorders/>
            <w:vAlign w:val="center"/>
          </w:tcPr>
          <w:p>
            <w:pPr>
              <w:pStyle w:val="TableContents"/>
              <w:bidi w:val="0"/>
              <w:spacing w:before="0" w:after="283"/>
              <w:jc w:val="left"/>
              <w:rPr>
                <w:sz w:val="4"/>
                <w:szCs w:val="4"/>
              </w:rPr>
            </w:pPr>
            <w:r>
              <w:rPr>
                <w:sz w:val="4"/>
                <w:szCs w:val="4"/>
              </w:rPr>
            </w:r>
          </w:p>
        </w:tc>
        <w:tc>
          <w:tcPr>
            <w:tcW w:w="1608" w:type="dxa"/>
            <w:gridSpan w:val="5"/>
            <w:tcBorders/>
            <w:vAlign w:val="center"/>
          </w:tcPr>
          <w:p>
            <w:pPr>
              <w:pStyle w:val="TableContents"/>
              <w:bidi w:val="0"/>
              <w:spacing w:before="0" w:after="283"/>
              <w:jc w:val="left"/>
              <w:rPr>
                <w:sz w:val="4"/>
                <w:szCs w:val="4"/>
              </w:rPr>
            </w:pPr>
            <w:r>
              <w:rPr>
                <w:sz w:val="4"/>
                <w:szCs w:val="4"/>
              </w:rPr>
            </w:r>
          </w:p>
        </w:tc>
        <w:tc>
          <w:tcPr>
            <w:tcW w:w="1726" w:type="dxa"/>
            <w:gridSpan w:val="5"/>
            <w:tcBorders/>
            <w:vAlign w:val="center"/>
          </w:tcPr>
          <w:p>
            <w:pPr>
              <w:pStyle w:val="TableContents"/>
              <w:bidi w:val="0"/>
              <w:spacing w:before="0" w:after="283"/>
              <w:jc w:val="left"/>
              <w:rPr>
                <w:sz w:val="4"/>
                <w:szCs w:val="4"/>
              </w:rPr>
            </w:pPr>
            <w:r>
              <w:rPr>
                <w:sz w:val="4"/>
                <w:szCs w:val="4"/>
              </w:rPr>
            </w:r>
          </w:p>
        </w:tc>
        <w:tc>
          <w:tcPr>
            <w:tcW w:w="1719" w:type="dxa"/>
            <w:gridSpan w:val="5"/>
            <w:tcBorders/>
            <w:vAlign w:val="center"/>
          </w:tcPr>
          <w:p>
            <w:pPr>
              <w:pStyle w:val="TableContents"/>
              <w:bidi w:val="0"/>
              <w:spacing w:before="0" w:after="283"/>
              <w:jc w:val="left"/>
              <w:rPr>
                <w:sz w:val="4"/>
                <w:szCs w:val="4"/>
              </w:rPr>
            </w:pPr>
            <w:r>
              <w:rPr>
                <w:sz w:val="4"/>
                <w:szCs w:val="4"/>
              </w:rPr>
            </w:r>
          </w:p>
        </w:tc>
        <w:tc>
          <w:tcPr>
            <w:tcW w:w="1757" w:type="dxa"/>
            <w:gridSpan w:val="5"/>
            <w:tcBorders/>
            <w:vAlign w:val="center"/>
          </w:tcPr>
          <w:p>
            <w:pPr>
              <w:pStyle w:val="TableContents"/>
              <w:bidi w:val="0"/>
              <w:spacing w:before="0" w:after="283"/>
              <w:jc w:val="left"/>
              <w:rPr>
                <w:sz w:val="4"/>
                <w:szCs w:val="4"/>
              </w:rPr>
            </w:pPr>
            <w:r>
              <w:rPr>
                <w:sz w:val="4"/>
                <w:szCs w:val="4"/>
              </w:rPr>
            </w:r>
          </w:p>
        </w:tc>
        <w:tc>
          <w:tcPr>
            <w:tcW w:w="1727" w:type="dxa"/>
            <w:gridSpan w:val="5"/>
            <w:tcBorders/>
            <w:vAlign w:val="center"/>
          </w:tcPr>
          <w:p>
            <w:pPr>
              <w:pStyle w:val="TableContents"/>
              <w:bidi w:val="0"/>
              <w:spacing w:before="0" w:after="283"/>
              <w:jc w:val="left"/>
              <w:rPr>
                <w:sz w:val="4"/>
                <w:szCs w:val="4"/>
              </w:rPr>
            </w:pPr>
            <w:r>
              <w:rPr>
                <w:sz w:val="4"/>
                <w:szCs w:val="4"/>
              </w:rPr>
            </w:r>
          </w:p>
        </w:tc>
      </w:tr>
      <w:tr>
        <w:trPr/>
        <w:tc>
          <w:tcPr>
            <w:tcW w:w="1668"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Nicola M. Soares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2" w:type="dxa"/>
            <w:tcBorders>
              <w:bottom w:val="single" w:sz="6" w:space="0" w:color="7F7F7F"/>
            </w:tcBorders>
            <w:tcMar>
              <w:bottom w:w="28" w:type="dxa"/>
            </w:tcMar>
            <w:vAlign w:val="center"/>
          </w:tcPr>
          <w:p>
            <w:pPr>
              <w:pStyle w:val="TableContents"/>
              <w:bidi w:val="0"/>
              <w:spacing w:before="0" w:after="283"/>
              <w:jc w:val="left"/>
              <w:rPr/>
            </w:pPr>
            <w:r>
              <w:rPr/>
              <w:t> </w:t>
            </w:r>
          </w:p>
        </w:tc>
        <w:tc>
          <w:tcPr>
            <w:tcW w:w="102" w:type="dxa"/>
            <w:tcBorders>
              <w:bottom w:val="single" w:sz="6" w:space="0" w:color="7F7F7F"/>
            </w:tcBorders>
            <w:tcMar>
              <w:bottom w:w="40" w:type="dxa"/>
            </w:tcMar>
            <w:vAlign w:val="center"/>
          </w:tcPr>
          <w:p>
            <w:pPr>
              <w:pStyle w:val="TableContents"/>
              <w:bidi w:val="0"/>
              <w:spacing w:before="0" w:after="283"/>
              <w:jc w:val="left"/>
              <w:rPr/>
            </w:pPr>
            <w:r>
              <w:rPr/>
              <w:t> </w:t>
            </w:r>
          </w:p>
        </w:tc>
        <w:tc>
          <w:tcPr>
            <w:tcW w:w="1182" w:type="dxa"/>
            <w:tcBorders>
              <w:bottom w:val="single" w:sz="6" w:space="0" w:color="7F7F7F"/>
            </w:tcBorders>
            <w:tcMar>
              <w:bottom w:w="40" w:type="dxa"/>
            </w:tcMar>
            <w:vAlign w:val="center"/>
          </w:tcPr>
          <w:p>
            <w:pPr>
              <w:pStyle w:val="TableContents"/>
              <w:bidi w:val="0"/>
              <w:spacing w:before="0" w:after="283"/>
              <w:jc w:val="right"/>
              <w:rPr/>
            </w:pPr>
            <w:r>
              <w:rPr/>
              <w:t>1,713</w:t>
            </w:r>
          </w:p>
        </w:tc>
        <w:tc>
          <w:tcPr>
            <w:tcW w:w="102"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07" w:type="dxa"/>
            <w:tcBorders>
              <w:bottom w:val="single" w:sz="6" w:space="0" w:color="7F7F7F"/>
            </w:tcBorders>
            <w:tcMar>
              <w:bottom w:w="28" w:type="dxa"/>
            </w:tcMar>
            <w:vAlign w:val="center"/>
          </w:tcPr>
          <w:p>
            <w:pPr>
              <w:pStyle w:val="TableContents"/>
              <w:bidi w:val="0"/>
              <w:spacing w:before="0" w:after="283"/>
              <w:jc w:val="left"/>
              <w:rPr/>
            </w:pPr>
            <w:r>
              <w:rPr/>
              <w:t>  </w:t>
            </w:r>
          </w:p>
        </w:tc>
        <w:tc>
          <w:tcPr>
            <w:tcW w:w="103" w:type="dxa"/>
            <w:tcBorders>
              <w:bottom w:val="single" w:sz="6" w:space="0" w:color="7F7F7F"/>
            </w:tcBorders>
            <w:tcMar>
              <w:bottom w:w="28" w:type="dxa"/>
            </w:tcMar>
            <w:vAlign w:val="center"/>
          </w:tcPr>
          <w:p>
            <w:pPr>
              <w:pStyle w:val="TableContents"/>
              <w:bidi w:val="0"/>
              <w:spacing w:before="0" w:after="283"/>
              <w:jc w:val="left"/>
              <w:rPr/>
            </w:pPr>
            <w:r>
              <w:rPr/>
              <w:t> </w:t>
            </w:r>
          </w:p>
        </w:tc>
        <w:tc>
          <w:tcPr>
            <w:tcW w:w="103" w:type="dxa"/>
            <w:tcBorders>
              <w:bottom w:val="single" w:sz="6" w:space="0" w:color="7F7F7F"/>
            </w:tcBorders>
            <w:tcMar>
              <w:bottom w:w="40" w:type="dxa"/>
            </w:tcMar>
            <w:vAlign w:val="center"/>
          </w:tcPr>
          <w:p>
            <w:pPr>
              <w:pStyle w:val="TableContents"/>
              <w:bidi w:val="0"/>
              <w:spacing w:before="0" w:after="283"/>
              <w:jc w:val="left"/>
              <w:rPr/>
            </w:pPr>
            <w:r>
              <w:rPr/>
              <w:t> </w:t>
            </w:r>
          </w:p>
        </w:tc>
        <w:tc>
          <w:tcPr>
            <w:tcW w:w="1197" w:type="dxa"/>
            <w:tcBorders>
              <w:bottom w:val="single" w:sz="6" w:space="0" w:color="7F7F7F"/>
            </w:tcBorders>
            <w:tcMar>
              <w:bottom w:w="40" w:type="dxa"/>
            </w:tcMar>
            <w:vAlign w:val="center"/>
          </w:tcPr>
          <w:p>
            <w:pPr>
              <w:pStyle w:val="TableContents"/>
              <w:bidi w:val="0"/>
              <w:spacing w:before="0" w:after="283"/>
              <w:jc w:val="right"/>
              <w:rPr/>
            </w:pPr>
            <w:r>
              <w:rPr/>
              <w:t>981</w:t>
            </w:r>
          </w:p>
        </w:tc>
        <w:tc>
          <w:tcPr>
            <w:tcW w:w="116"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11" w:type="dxa"/>
            <w:tcBorders>
              <w:bottom w:val="single" w:sz="6" w:space="0" w:color="7F7F7F"/>
            </w:tcBorders>
            <w:tcMar>
              <w:bottom w:w="28" w:type="dxa"/>
            </w:tcMar>
            <w:vAlign w:val="center"/>
          </w:tcPr>
          <w:p>
            <w:pPr>
              <w:pStyle w:val="TableContents"/>
              <w:bidi w:val="0"/>
              <w:spacing w:before="0" w:after="283"/>
              <w:jc w:val="left"/>
              <w:rPr/>
            </w:pPr>
            <w:r>
              <w:rPr/>
              <w:t> </w:t>
            </w:r>
          </w:p>
        </w:tc>
        <w:tc>
          <w:tcPr>
            <w:tcW w:w="111" w:type="dxa"/>
            <w:tcBorders>
              <w:bottom w:val="single" w:sz="6" w:space="0" w:color="7F7F7F"/>
            </w:tcBorders>
            <w:tcMar>
              <w:bottom w:w="40" w:type="dxa"/>
            </w:tcMar>
            <w:vAlign w:val="center"/>
          </w:tcPr>
          <w:p>
            <w:pPr>
              <w:pStyle w:val="TableContents"/>
              <w:bidi w:val="0"/>
              <w:spacing w:before="0" w:after="283"/>
              <w:jc w:val="left"/>
              <w:rPr/>
            </w:pPr>
            <w:r>
              <w:rPr/>
              <w:t> </w:t>
            </w:r>
          </w:p>
        </w:tc>
        <w:tc>
          <w:tcPr>
            <w:tcW w:w="1266" w:type="dxa"/>
            <w:tcBorders>
              <w:bottom w:val="single" w:sz="6" w:space="0" w:color="7F7F7F"/>
            </w:tcBorders>
            <w:tcMar>
              <w:bottom w:w="40" w:type="dxa"/>
            </w:tcMar>
            <w:vAlign w:val="center"/>
          </w:tcPr>
          <w:p>
            <w:pPr>
              <w:pStyle w:val="TableContents"/>
              <w:bidi w:val="0"/>
              <w:spacing w:before="0" w:after="283"/>
              <w:jc w:val="right"/>
              <w:rPr/>
            </w:pPr>
            <w:r>
              <w:rPr/>
              <w:t>1,713</w:t>
            </w:r>
          </w:p>
        </w:tc>
        <w:tc>
          <w:tcPr>
            <w:tcW w:w="11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22" w:type="dxa"/>
            <w:tcBorders>
              <w:bottom w:val="single" w:sz="6" w:space="0" w:color="7F7F7F"/>
            </w:tcBorders>
            <w:tcMar>
              <w:bottom w:w="28" w:type="dxa"/>
            </w:tcMar>
            <w:vAlign w:val="center"/>
          </w:tcPr>
          <w:p>
            <w:pPr>
              <w:pStyle w:val="TableContents"/>
              <w:bidi w:val="0"/>
              <w:spacing w:before="0" w:after="283"/>
              <w:jc w:val="left"/>
              <w:rPr/>
            </w:pPr>
            <w:r>
              <w:rPr/>
              <w:t>  </w:t>
            </w:r>
          </w:p>
        </w:tc>
        <w:tc>
          <w:tcPr>
            <w:tcW w:w="123" w:type="dxa"/>
            <w:tcBorders>
              <w:bottom w:val="single" w:sz="6" w:space="0" w:color="7F7F7F"/>
            </w:tcBorders>
            <w:tcMar>
              <w:bottom w:w="28" w:type="dxa"/>
            </w:tcMar>
            <w:vAlign w:val="center"/>
          </w:tcPr>
          <w:p>
            <w:pPr>
              <w:pStyle w:val="TableContents"/>
              <w:bidi w:val="0"/>
              <w:spacing w:before="0" w:after="283"/>
              <w:jc w:val="left"/>
              <w:rPr/>
            </w:pPr>
            <w:r>
              <w:rPr/>
              <w:t> </w:t>
            </w:r>
          </w:p>
        </w:tc>
        <w:tc>
          <w:tcPr>
            <w:tcW w:w="123" w:type="dxa"/>
            <w:tcBorders>
              <w:bottom w:val="single" w:sz="6" w:space="0" w:color="7F7F7F"/>
            </w:tcBorders>
            <w:tcMar>
              <w:bottom w:w="40" w:type="dxa"/>
            </w:tcMar>
            <w:vAlign w:val="center"/>
          </w:tcPr>
          <w:p>
            <w:pPr>
              <w:pStyle w:val="TableContents"/>
              <w:bidi w:val="0"/>
              <w:spacing w:before="0" w:after="283"/>
              <w:jc w:val="left"/>
              <w:rPr/>
            </w:pPr>
            <w:r>
              <w:rPr/>
              <w:t> </w:t>
            </w:r>
          </w:p>
        </w:tc>
        <w:tc>
          <w:tcPr>
            <w:tcW w:w="1159" w:type="dxa"/>
            <w:tcBorders>
              <w:bottom w:val="single" w:sz="6" w:space="0" w:color="7F7F7F"/>
            </w:tcBorders>
            <w:tcMar>
              <w:bottom w:w="40" w:type="dxa"/>
            </w:tcMar>
            <w:vAlign w:val="center"/>
          </w:tcPr>
          <w:p>
            <w:pPr>
              <w:pStyle w:val="TableContents"/>
              <w:bidi w:val="0"/>
              <w:spacing w:before="0" w:after="283"/>
              <w:jc w:val="right"/>
              <w:rPr/>
            </w:pPr>
            <w:r>
              <w:rPr/>
              <w:t>857</w:t>
            </w:r>
          </w:p>
        </w:tc>
        <w:tc>
          <w:tcPr>
            <w:tcW w:w="13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40" w:type="dxa"/>
            </w:tcMar>
            <w:vAlign w:val="center"/>
          </w:tcPr>
          <w:p>
            <w:pPr>
              <w:pStyle w:val="TableContents"/>
              <w:bidi w:val="0"/>
              <w:spacing w:before="0" w:after="283"/>
              <w:jc w:val="left"/>
              <w:rPr/>
            </w:pPr>
            <w:r>
              <w:rPr/>
              <w:t> </w:t>
            </w:r>
          </w:p>
        </w:tc>
        <w:tc>
          <w:tcPr>
            <w:tcW w:w="1245" w:type="dxa"/>
            <w:tcBorders>
              <w:bottom w:val="single" w:sz="6" w:space="0" w:color="7F7F7F"/>
            </w:tcBorders>
            <w:tcMar>
              <w:bottom w:w="40" w:type="dxa"/>
            </w:tcMar>
            <w:vAlign w:val="center"/>
          </w:tcPr>
          <w:p>
            <w:pPr>
              <w:pStyle w:val="TableContents"/>
              <w:bidi w:val="0"/>
              <w:spacing w:before="0" w:after="283"/>
              <w:jc w:val="right"/>
              <w:rPr/>
            </w:pPr>
            <w:r>
              <w:rPr/>
              <w:t>1,838</w:t>
            </w:r>
          </w:p>
        </w:tc>
        <w:tc>
          <w:tcPr>
            <w:tcW w:w="144"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1668" w:type="dxa"/>
            <w:tcBorders/>
            <w:vAlign w:val="center"/>
          </w:tcPr>
          <w:p>
            <w:pPr>
              <w:pStyle w:val="TableContents"/>
              <w:bidi w:val="0"/>
              <w:spacing w:before="0" w:after="283"/>
              <w:jc w:val="left"/>
              <w:rPr>
                <w:sz w:val="4"/>
                <w:szCs w:val="4"/>
              </w:rPr>
            </w:pPr>
            <w:r>
              <w:rPr>
                <w:sz w:val="4"/>
                <w:szCs w:val="4"/>
              </w:rPr>
            </w:r>
          </w:p>
        </w:tc>
        <w:tc>
          <w:tcPr>
            <w:tcW w:w="1608" w:type="dxa"/>
            <w:gridSpan w:val="5"/>
            <w:tcBorders/>
            <w:vAlign w:val="center"/>
          </w:tcPr>
          <w:p>
            <w:pPr>
              <w:pStyle w:val="TableContents"/>
              <w:bidi w:val="0"/>
              <w:spacing w:before="0" w:after="283"/>
              <w:jc w:val="left"/>
              <w:rPr>
                <w:sz w:val="4"/>
                <w:szCs w:val="4"/>
              </w:rPr>
            </w:pPr>
            <w:r>
              <w:rPr>
                <w:sz w:val="4"/>
                <w:szCs w:val="4"/>
              </w:rPr>
            </w:r>
          </w:p>
        </w:tc>
        <w:tc>
          <w:tcPr>
            <w:tcW w:w="1726" w:type="dxa"/>
            <w:gridSpan w:val="5"/>
            <w:tcBorders/>
            <w:vAlign w:val="center"/>
          </w:tcPr>
          <w:p>
            <w:pPr>
              <w:pStyle w:val="TableContents"/>
              <w:bidi w:val="0"/>
              <w:spacing w:before="0" w:after="283"/>
              <w:jc w:val="left"/>
              <w:rPr>
                <w:sz w:val="4"/>
                <w:szCs w:val="4"/>
              </w:rPr>
            </w:pPr>
            <w:r>
              <w:rPr>
                <w:sz w:val="4"/>
                <w:szCs w:val="4"/>
              </w:rPr>
            </w:r>
          </w:p>
        </w:tc>
        <w:tc>
          <w:tcPr>
            <w:tcW w:w="1719" w:type="dxa"/>
            <w:gridSpan w:val="5"/>
            <w:tcBorders/>
            <w:vAlign w:val="center"/>
          </w:tcPr>
          <w:p>
            <w:pPr>
              <w:pStyle w:val="TableContents"/>
              <w:bidi w:val="0"/>
              <w:spacing w:before="0" w:after="283"/>
              <w:jc w:val="left"/>
              <w:rPr>
                <w:sz w:val="4"/>
                <w:szCs w:val="4"/>
              </w:rPr>
            </w:pPr>
            <w:r>
              <w:rPr>
                <w:sz w:val="4"/>
                <w:szCs w:val="4"/>
              </w:rPr>
            </w:r>
          </w:p>
        </w:tc>
        <w:tc>
          <w:tcPr>
            <w:tcW w:w="1757" w:type="dxa"/>
            <w:gridSpan w:val="5"/>
            <w:tcBorders/>
            <w:vAlign w:val="center"/>
          </w:tcPr>
          <w:p>
            <w:pPr>
              <w:pStyle w:val="TableContents"/>
              <w:bidi w:val="0"/>
              <w:spacing w:before="0" w:after="283"/>
              <w:jc w:val="left"/>
              <w:rPr>
                <w:sz w:val="4"/>
                <w:szCs w:val="4"/>
              </w:rPr>
            </w:pPr>
            <w:r>
              <w:rPr>
                <w:sz w:val="4"/>
                <w:szCs w:val="4"/>
              </w:rPr>
            </w:r>
          </w:p>
        </w:tc>
        <w:tc>
          <w:tcPr>
            <w:tcW w:w="1727" w:type="dxa"/>
            <w:gridSpan w:val="5"/>
            <w:tcBorders/>
            <w:vAlign w:val="center"/>
          </w:tcPr>
          <w:p>
            <w:pPr>
              <w:pStyle w:val="TableContents"/>
              <w:bidi w:val="0"/>
              <w:spacing w:before="0" w:after="283"/>
              <w:jc w:val="left"/>
              <w:rPr>
                <w:sz w:val="4"/>
                <w:szCs w:val="4"/>
              </w:rPr>
            </w:pPr>
            <w:r>
              <w:rPr>
                <w:sz w:val="4"/>
                <w:szCs w:val="4"/>
              </w:rPr>
            </w:r>
          </w:p>
        </w:tc>
      </w:tr>
      <w:tr>
        <w:trPr/>
        <w:tc>
          <w:tcPr>
            <w:tcW w:w="1668" w:type="dxa"/>
            <w:tcBorders/>
            <w:vAlign w:val="center"/>
          </w:tcPr>
          <w:p>
            <w:pPr>
              <w:pStyle w:val="TableContents"/>
              <w:bidi w:val="0"/>
              <w:spacing w:before="0" w:after="0"/>
              <w:jc w:val="left"/>
              <w:rPr>
                <w:rFonts w:ascii="arial" w:hAnsi="arial"/>
                <w:b/>
                <w:i/>
                <w:sz w:val="18"/>
                <w:u w:val="single"/>
              </w:rPr>
            </w:pPr>
            <w:r>
              <w:rPr>
                <w:rFonts w:ascii="arial" w:hAnsi="arial"/>
                <w:b/>
                <w:i/>
                <w:sz w:val="18"/>
                <w:u w:val="single"/>
              </w:rPr>
              <w:t>Former Executive</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0"/>
              <w:jc w:val="left"/>
              <w:rPr/>
            </w:pPr>
            <w:r>
              <w:rPr/>
              <w:t> </w:t>
            </w:r>
          </w:p>
        </w:tc>
        <w:tc>
          <w:tcPr>
            <w:tcW w:w="1182" w:type="dxa"/>
            <w:tcBorders/>
            <w:vAlign w:val="center"/>
          </w:tcPr>
          <w:p>
            <w:pPr>
              <w:pStyle w:val="TableContents"/>
              <w:bidi w:val="0"/>
              <w:spacing w:before="0" w:after="0"/>
              <w:jc w:val="left"/>
              <w:rPr/>
            </w:pPr>
            <w:r>
              <w:rPr/>
              <w:t> </w:t>
            </w:r>
          </w:p>
        </w:tc>
        <w:tc>
          <w:tcPr>
            <w:tcW w:w="102" w:type="dxa"/>
            <w:tcBorders/>
            <w:vAlign w:val="center"/>
          </w:tcPr>
          <w:p>
            <w:pPr>
              <w:pStyle w:val="TableContents"/>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pPr>
            <w:r>
              <w:rPr/>
              <w:t> </w:t>
            </w:r>
          </w:p>
        </w:tc>
        <w:tc>
          <w:tcPr>
            <w:tcW w:w="1197" w:type="dxa"/>
            <w:tcBorders/>
            <w:vAlign w:val="center"/>
          </w:tcPr>
          <w:p>
            <w:pPr>
              <w:pStyle w:val="TableContents"/>
              <w:bidi w:val="0"/>
              <w:spacing w:before="0" w:after="0"/>
              <w:jc w:val="left"/>
              <w:rPr/>
            </w:pPr>
            <w:r>
              <w:rPr/>
              <w:t> </w:t>
            </w:r>
          </w:p>
        </w:tc>
        <w:tc>
          <w:tcPr>
            <w:tcW w:w="116"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0"/>
              <w:jc w:val="left"/>
              <w:rPr/>
            </w:pPr>
            <w:r>
              <w:rPr/>
              <w:t> </w:t>
            </w:r>
          </w:p>
        </w:tc>
        <w:tc>
          <w:tcPr>
            <w:tcW w:w="1266" w:type="dxa"/>
            <w:tcBorders/>
            <w:vAlign w:val="center"/>
          </w:tcPr>
          <w:p>
            <w:pPr>
              <w:pStyle w:val="TableContents"/>
              <w:bidi w:val="0"/>
              <w:spacing w:before="0" w:after="0"/>
              <w:jc w:val="left"/>
              <w:rPr/>
            </w:pPr>
            <w:r>
              <w:rPr/>
              <w:t> </w:t>
            </w:r>
          </w:p>
        </w:tc>
        <w:tc>
          <w:tcPr>
            <w:tcW w:w="111" w:type="dxa"/>
            <w:tcBorders/>
            <w:vAlign w:val="center"/>
          </w:tcPr>
          <w:p>
            <w:pPr>
              <w:pStyle w:val="TableContents"/>
              <w:bidi w:val="0"/>
              <w:spacing w:before="0" w:after="0"/>
              <w:jc w:val="left"/>
              <w:rPr/>
            </w:pPr>
            <w:r>
              <w:rPr/>
              <w:t> </w:t>
            </w:r>
          </w:p>
        </w:tc>
        <w:tc>
          <w:tcPr>
            <w:tcW w:w="222"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0"/>
              <w:jc w:val="left"/>
              <w:rPr/>
            </w:pPr>
            <w:r>
              <w:rPr/>
              <w:t> </w:t>
            </w:r>
          </w:p>
        </w:tc>
        <w:tc>
          <w:tcPr>
            <w:tcW w:w="1159" w:type="dxa"/>
            <w:tcBorders/>
            <w:vAlign w:val="center"/>
          </w:tcPr>
          <w:p>
            <w:pPr>
              <w:pStyle w:val="TableContents"/>
              <w:bidi w:val="0"/>
              <w:spacing w:before="0" w:after="0"/>
              <w:jc w:val="left"/>
              <w:rPr/>
            </w:pPr>
            <w:r>
              <w:rPr/>
              <w:t> </w:t>
            </w:r>
          </w:p>
        </w:tc>
        <w:tc>
          <w:tcPr>
            <w:tcW w:w="13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pPr>
            <w:r>
              <w:rPr/>
              <w:t> </w:t>
            </w:r>
          </w:p>
        </w:tc>
        <w:tc>
          <w:tcPr>
            <w:tcW w:w="1245"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r>
      <w:tr>
        <w:trPr/>
        <w:tc>
          <w:tcPr>
            <w:tcW w:w="1668" w:type="dxa"/>
            <w:tcBorders/>
            <w:vAlign w:val="center"/>
          </w:tcPr>
          <w:p>
            <w:pPr>
              <w:pStyle w:val="TableContents"/>
              <w:bidi w:val="0"/>
              <w:spacing w:before="0" w:after="283"/>
              <w:jc w:val="left"/>
              <w:rPr>
                <w:sz w:val="4"/>
                <w:szCs w:val="4"/>
              </w:rPr>
            </w:pPr>
            <w:r>
              <w:rPr>
                <w:sz w:val="4"/>
                <w:szCs w:val="4"/>
              </w:rPr>
            </w:r>
          </w:p>
        </w:tc>
        <w:tc>
          <w:tcPr>
            <w:tcW w:w="1608" w:type="dxa"/>
            <w:gridSpan w:val="5"/>
            <w:tcBorders/>
            <w:vAlign w:val="center"/>
          </w:tcPr>
          <w:p>
            <w:pPr>
              <w:pStyle w:val="TableContents"/>
              <w:bidi w:val="0"/>
              <w:spacing w:before="0" w:after="283"/>
              <w:jc w:val="left"/>
              <w:rPr>
                <w:sz w:val="4"/>
                <w:szCs w:val="4"/>
              </w:rPr>
            </w:pPr>
            <w:r>
              <w:rPr>
                <w:sz w:val="4"/>
                <w:szCs w:val="4"/>
              </w:rPr>
            </w:r>
          </w:p>
        </w:tc>
        <w:tc>
          <w:tcPr>
            <w:tcW w:w="1726" w:type="dxa"/>
            <w:gridSpan w:val="5"/>
            <w:tcBorders/>
            <w:vAlign w:val="center"/>
          </w:tcPr>
          <w:p>
            <w:pPr>
              <w:pStyle w:val="TableContents"/>
              <w:bidi w:val="0"/>
              <w:spacing w:before="0" w:after="283"/>
              <w:jc w:val="left"/>
              <w:rPr>
                <w:sz w:val="4"/>
                <w:szCs w:val="4"/>
              </w:rPr>
            </w:pPr>
            <w:r>
              <w:rPr>
                <w:sz w:val="4"/>
                <w:szCs w:val="4"/>
              </w:rPr>
            </w:r>
          </w:p>
        </w:tc>
        <w:tc>
          <w:tcPr>
            <w:tcW w:w="1719" w:type="dxa"/>
            <w:gridSpan w:val="5"/>
            <w:tcBorders/>
            <w:vAlign w:val="center"/>
          </w:tcPr>
          <w:p>
            <w:pPr>
              <w:pStyle w:val="TableContents"/>
              <w:bidi w:val="0"/>
              <w:spacing w:before="0" w:after="283"/>
              <w:jc w:val="left"/>
              <w:rPr>
                <w:sz w:val="4"/>
                <w:szCs w:val="4"/>
              </w:rPr>
            </w:pPr>
            <w:r>
              <w:rPr>
                <w:sz w:val="4"/>
                <w:szCs w:val="4"/>
              </w:rPr>
            </w:r>
          </w:p>
        </w:tc>
        <w:tc>
          <w:tcPr>
            <w:tcW w:w="1757" w:type="dxa"/>
            <w:gridSpan w:val="5"/>
            <w:tcBorders/>
            <w:vAlign w:val="center"/>
          </w:tcPr>
          <w:p>
            <w:pPr>
              <w:pStyle w:val="TableContents"/>
              <w:bidi w:val="0"/>
              <w:spacing w:before="0" w:after="283"/>
              <w:jc w:val="left"/>
              <w:rPr>
                <w:sz w:val="4"/>
                <w:szCs w:val="4"/>
              </w:rPr>
            </w:pPr>
            <w:r>
              <w:rPr>
                <w:sz w:val="4"/>
                <w:szCs w:val="4"/>
              </w:rPr>
            </w:r>
          </w:p>
        </w:tc>
        <w:tc>
          <w:tcPr>
            <w:tcW w:w="1727" w:type="dxa"/>
            <w:gridSpan w:val="5"/>
            <w:tcBorders/>
            <w:vAlign w:val="center"/>
          </w:tcPr>
          <w:p>
            <w:pPr>
              <w:pStyle w:val="TableContents"/>
              <w:bidi w:val="0"/>
              <w:spacing w:before="0" w:after="283"/>
              <w:jc w:val="left"/>
              <w:rPr>
                <w:sz w:val="4"/>
                <w:szCs w:val="4"/>
              </w:rPr>
            </w:pPr>
            <w:r>
              <w:rPr>
                <w:sz w:val="4"/>
                <w:szCs w:val="4"/>
              </w:rPr>
            </w:r>
          </w:p>
        </w:tc>
      </w:tr>
      <w:tr>
        <w:trPr/>
        <w:tc>
          <w:tcPr>
            <w:tcW w:w="1668"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Peter W. Quigley</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2" w:type="dxa"/>
            <w:tcBorders>
              <w:bottom w:val="single" w:sz="6" w:space="0" w:color="7F7F7F"/>
            </w:tcBorders>
            <w:tcMar>
              <w:bottom w:w="28" w:type="dxa"/>
            </w:tcMar>
            <w:vAlign w:val="center"/>
          </w:tcPr>
          <w:p>
            <w:pPr>
              <w:pStyle w:val="TableContents"/>
              <w:bidi w:val="0"/>
              <w:spacing w:before="0" w:after="283"/>
              <w:jc w:val="left"/>
              <w:rPr/>
            </w:pPr>
            <w:r>
              <w:rPr/>
              <w:t> </w:t>
            </w:r>
          </w:p>
        </w:tc>
        <w:tc>
          <w:tcPr>
            <w:tcW w:w="102" w:type="dxa"/>
            <w:tcBorders>
              <w:bottom w:val="single" w:sz="6" w:space="0" w:color="7F7F7F"/>
            </w:tcBorders>
            <w:tcMar>
              <w:bottom w:w="40" w:type="dxa"/>
            </w:tcMar>
            <w:vAlign w:val="center"/>
          </w:tcPr>
          <w:p>
            <w:pPr>
              <w:pStyle w:val="TableContents"/>
              <w:bidi w:val="0"/>
              <w:spacing w:before="0" w:after="283"/>
              <w:jc w:val="left"/>
              <w:rPr/>
            </w:pPr>
            <w:r>
              <w:rPr/>
              <w:t> </w:t>
            </w:r>
          </w:p>
        </w:tc>
        <w:tc>
          <w:tcPr>
            <w:tcW w:w="1182" w:type="dxa"/>
            <w:tcBorders>
              <w:bottom w:val="single" w:sz="6" w:space="0" w:color="7F7F7F"/>
            </w:tcBorders>
            <w:tcMar>
              <w:bottom w:w="40" w:type="dxa"/>
            </w:tcMar>
            <w:vAlign w:val="center"/>
          </w:tcPr>
          <w:p>
            <w:pPr>
              <w:pStyle w:val="TableContents"/>
              <w:bidi w:val="0"/>
              <w:spacing w:before="0" w:after="283"/>
              <w:jc w:val="right"/>
              <w:rPr/>
            </w:pPr>
            <w:r>
              <w:rPr/>
              <w:t>17,546</w:t>
            </w:r>
          </w:p>
        </w:tc>
        <w:tc>
          <w:tcPr>
            <w:tcW w:w="102"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07" w:type="dxa"/>
            <w:tcBorders>
              <w:bottom w:val="single" w:sz="6" w:space="0" w:color="7F7F7F"/>
            </w:tcBorders>
            <w:tcMar>
              <w:bottom w:w="28" w:type="dxa"/>
            </w:tcMar>
            <w:vAlign w:val="center"/>
          </w:tcPr>
          <w:p>
            <w:pPr>
              <w:pStyle w:val="TableContents"/>
              <w:bidi w:val="0"/>
              <w:spacing w:before="0" w:after="283"/>
              <w:jc w:val="left"/>
              <w:rPr/>
            </w:pPr>
            <w:r>
              <w:rPr/>
              <w:t>  </w:t>
            </w:r>
          </w:p>
        </w:tc>
        <w:tc>
          <w:tcPr>
            <w:tcW w:w="103" w:type="dxa"/>
            <w:tcBorders>
              <w:bottom w:val="single" w:sz="6" w:space="0" w:color="7F7F7F"/>
            </w:tcBorders>
            <w:tcMar>
              <w:bottom w:w="28" w:type="dxa"/>
            </w:tcMar>
            <w:vAlign w:val="center"/>
          </w:tcPr>
          <w:p>
            <w:pPr>
              <w:pStyle w:val="TableContents"/>
              <w:bidi w:val="0"/>
              <w:spacing w:before="0" w:after="283"/>
              <w:jc w:val="left"/>
              <w:rPr/>
            </w:pPr>
            <w:r>
              <w:rPr/>
              <w:t> </w:t>
            </w:r>
          </w:p>
        </w:tc>
        <w:tc>
          <w:tcPr>
            <w:tcW w:w="103" w:type="dxa"/>
            <w:tcBorders>
              <w:bottom w:val="single" w:sz="6" w:space="0" w:color="7F7F7F"/>
            </w:tcBorders>
            <w:tcMar>
              <w:bottom w:w="40" w:type="dxa"/>
            </w:tcMar>
            <w:vAlign w:val="center"/>
          </w:tcPr>
          <w:p>
            <w:pPr>
              <w:pStyle w:val="TableContents"/>
              <w:bidi w:val="0"/>
              <w:spacing w:before="0" w:after="283"/>
              <w:jc w:val="left"/>
              <w:rPr/>
            </w:pPr>
            <w:r>
              <w:rPr/>
              <w:t> </w:t>
            </w:r>
          </w:p>
        </w:tc>
        <w:tc>
          <w:tcPr>
            <w:tcW w:w="1197" w:type="dxa"/>
            <w:tcBorders>
              <w:bottom w:val="single" w:sz="6" w:space="0" w:color="7F7F7F"/>
            </w:tcBorders>
            <w:tcMar>
              <w:bottom w:w="40" w:type="dxa"/>
            </w:tcMar>
            <w:vAlign w:val="center"/>
          </w:tcPr>
          <w:p>
            <w:pPr>
              <w:pStyle w:val="TableContents"/>
              <w:bidi w:val="0"/>
              <w:spacing w:before="0" w:after="283"/>
              <w:jc w:val="right"/>
              <w:rPr/>
            </w:pPr>
            <w:r>
              <w:rPr/>
              <w:t>10,049</w:t>
            </w:r>
          </w:p>
        </w:tc>
        <w:tc>
          <w:tcPr>
            <w:tcW w:w="116"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11" w:type="dxa"/>
            <w:tcBorders>
              <w:bottom w:val="single" w:sz="6" w:space="0" w:color="7F7F7F"/>
            </w:tcBorders>
            <w:tcMar>
              <w:bottom w:w="28" w:type="dxa"/>
            </w:tcMar>
            <w:vAlign w:val="center"/>
          </w:tcPr>
          <w:p>
            <w:pPr>
              <w:pStyle w:val="TableContents"/>
              <w:bidi w:val="0"/>
              <w:spacing w:before="0" w:after="283"/>
              <w:jc w:val="left"/>
              <w:rPr/>
            </w:pPr>
            <w:r>
              <w:rPr/>
              <w:t> </w:t>
            </w:r>
          </w:p>
        </w:tc>
        <w:tc>
          <w:tcPr>
            <w:tcW w:w="111" w:type="dxa"/>
            <w:tcBorders>
              <w:bottom w:val="single" w:sz="6" w:space="0" w:color="7F7F7F"/>
            </w:tcBorders>
            <w:tcMar>
              <w:bottom w:w="40" w:type="dxa"/>
            </w:tcMar>
            <w:vAlign w:val="center"/>
          </w:tcPr>
          <w:p>
            <w:pPr>
              <w:pStyle w:val="TableContents"/>
              <w:bidi w:val="0"/>
              <w:spacing w:before="0" w:after="283"/>
              <w:jc w:val="left"/>
              <w:rPr/>
            </w:pPr>
            <w:r>
              <w:rPr/>
              <w:t> </w:t>
            </w:r>
          </w:p>
        </w:tc>
        <w:tc>
          <w:tcPr>
            <w:tcW w:w="1266" w:type="dxa"/>
            <w:tcBorders>
              <w:bottom w:val="single" w:sz="6" w:space="0" w:color="7F7F7F"/>
            </w:tcBorders>
            <w:tcMar>
              <w:bottom w:w="40" w:type="dxa"/>
            </w:tcMar>
            <w:vAlign w:val="center"/>
          </w:tcPr>
          <w:p>
            <w:pPr>
              <w:pStyle w:val="TableContents"/>
              <w:bidi w:val="0"/>
              <w:spacing w:before="0" w:after="283"/>
              <w:jc w:val="right"/>
              <w:rPr/>
            </w:pPr>
            <w:r>
              <w:rPr/>
              <w:t>17,546</w:t>
            </w:r>
          </w:p>
        </w:tc>
        <w:tc>
          <w:tcPr>
            <w:tcW w:w="11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22" w:type="dxa"/>
            <w:tcBorders>
              <w:bottom w:val="single" w:sz="6" w:space="0" w:color="7F7F7F"/>
            </w:tcBorders>
            <w:tcMar>
              <w:bottom w:w="28" w:type="dxa"/>
            </w:tcMar>
            <w:vAlign w:val="center"/>
          </w:tcPr>
          <w:p>
            <w:pPr>
              <w:pStyle w:val="TableContents"/>
              <w:bidi w:val="0"/>
              <w:spacing w:before="0" w:after="283"/>
              <w:jc w:val="left"/>
              <w:rPr/>
            </w:pPr>
            <w:r>
              <w:rPr/>
              <w:t>  </w:t>
            </w:r>
          </w:p>
        </w:tc>
        <w:tc>
          <w:tcPr>
            <w:tcW w:w="123" w:type="dxa"/>
            <w:tcBorders>
              <w:bottom w:val="single" w:sz="6" w:space="0" w:color="7F7F7F"/>
            </w:tcBorders>
            <w:tcMar>
              <w:bottom w:w="28" w:type="dxa"/>
            </w:tcMar>
            <w:vAlign w:val="center"/>
          </w:tcPr>
          <w:p>
            <w:pPr>
              <w:pStyle w:val="TableContents"/>
              <w:bidi w:val="0"/>
              <w:spacing w:before="0" w:after="283"/>
              <w:jc w:val="left"/>
              <w:rPr/>
            </w:pPr>
            <w:r>
              <w:rPr/>
              <w:t> </w:t>
            </w:r>
          </w:p>
        </w:tc>
        <w:tc>
          <w:tcPr>
            <w:tcW w:w="123" w:type="dxa"/>
            <w:tcBorders>
              <w:bottom w:val="single" w:sz="6" w:space="0" w:color="7F7F7F"/>
            </w:tcBorders>
            <w:tcMar>
              <w:bottom w:w="40" w:type="dxa"/>
            </w:tcMar>
            <w:vAlign w:val="center"/>
          </w:tcPr>
          <w:p>
            <w:pPr>
              <w:pStyle w:val="TableContents"/>
              <w:bidi w:val="0"/>
              <w:spacing w:before="0" w:after="283"/>
              <w:jc w:val="left"/>
              <w:rPr/>
            </w:pPr>
            <w:r>
              <w:rPr/>
              <w:t> </w:t>
            </w:r>
          </w:p>
        </w:tc>
        <w:tc>
          <w:tcPr>
            <w:tcW w:w="1159" w:type="dxa"/>
            <w:tcBorders>
              <w:bottom w:val="single" w:sz="6" w:space="0" w:color="7F7F7F"/>
            </w:tcBorders>
            <w:tcMar>
              <w:bottom w:w="40" w:type="dxa"/>
            </w:tcMar>
            <w:vAlign w:val="center"/>
          </w:tcPr>
          <w:p>
            <w:pPr>
              <w:pStyle w:val="TableContents"/>
              <w:bidi w:val="0"/>
              <w:spacing w:before="0" w:after="283"/>
              <w:jc w:val="right"/>
              <w:rPr/>
            </w:pPr>
            <w:r>
              <w:rPr/>
              <w:t>8,773</w:t>
            </w:r>
          </w:p>
        </w:tc>
        <w:tc>
          <w:tcPr>
            <w:tcW w:w="13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40" w:type="dxa"/>
            </w:tcMar>
            <w:vAlign w:val="center"/>
          </w:tcPr>
          <w:p>
            <w:pPr>
              <w:pStyle w:val="TableContents"/>
              <w:bidi w:val="0"/>
              <w:spacing w:before="0" w:after="283"/>
              <w:jc w:val="left"/>
              <w:rPr/>
            </w:pPr>
            <w:r>
              <w:rPr/>
              <w:t> </w:t>
            </w:r>
          </w:p>
        </w:tc>
        <w:tc>
          <w:tcPr>
            <w:tcW w:w="1245" w:type="dxa"/>
            <w:tcBorders>
              <w:bottom w:val="single" w:sz="6" w:space="0" w:color="7F7F7F"/>
            </w:tcBorders>
            <w:tcMar>
              <w:bottom w:w="40" w:type="dxa"/>
            </w:tcMar>
            <w:vAlign w:val="center"/>
          </w:tcPr>
          <w:p>
            <w:pPr>
              <w:pStyle w:val="TableContents"/>
              <w:bidi w:val="0"/>
              <w:spacing w:before="0" w:after="283"/>
              <w:jc w:val="right"/>
              <w:rPr/>
            </w:pPr>
            <w:r>
              <w:rPr/>
              <w:t>18,822</w:t>
            </w:r>
          </w:p>
        </w:tc>
        <w:tc>
          <w:tcPr>
            <w:tcW w:w="144"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0"/>
        <w:jc w:val="left"/>
        <w:rPr>
          <w:rFonts w:ascii="arial" w:hAnsi="arial"/>
          <w:sz w:val="18"/>
        </w:rPr>
      </w:pPr>
      <w:r>
        <w:rPr>
          <w:rFonts w:ascii="arial" w:hAnsi="arial"/>
          <w:sz w:val="18"/>
        </w:rPr>
        <w:t xml:space="preserve">Note: Based on the hire dates for Messrs. Layden and Anderson, they are not participating in the 2023-2025 LTI award. </w:t>
      </w:r>
    </w:p>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58 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206"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79" descr=""/>
                          <pic:cNvPicPr>
                            <a:picLocks noChangeAspect="1" noChangeArrowheads="1"/>
                          </pic:cNvPicPr>
                        </pic:nvPicPr>
                        <pic:blipFill>
                          <a:blip r:embed="rId191"/>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i/>
          <w:sz w:val="18"/>
          <w:u w:val="single"/>
        </w:rPr>
      </w:pPr>
      <w:r>
        <w:rPr>
          <w:rFonts w:ascii="arial" w:hAnsi="arial"/>
          <w:i/>
          <w:sz w:val="18"/>
          <w:u w:val="single"/>
        </w:rPr>
        <w:t xml:space="preserve">2024-2026 Long-Term Incentive Performance Results – Year 2 </w:t>
      </w:r>
    </w:p>
    <w:p>
      <w:pPr>
        <w:pStyle w:val="TextBody"/>
        <w:bidi w:val="0"/>
        <w:spacing w:before="80" w:after="0"/>
        <w:jc w:val="left"/>
        <w:rPr>
          <w:rFonts w:ascii="arial" w:hAnsi="arial"/>
          <w:sz w:val="18"/>
        </w:rPr>
      </w:pPr>
      <w:r>
        <w:rPr>
          <w:rFonts w:ascii="arial" w:hAnsi="arial"/>
          <w:sz w:val="18"/>
        </w:rPr>
        <w:t xml:space="preserve">The 2024-2026 performance shares have two financial measures, revenue growth and EBITDA margin, which have three one-year goals set in the beginning of each performance year. In February 2025, the Committee approved goals at threshold, target, and maximum levels of performance for each of the measures for the 2025 portion of the award opportunity. During its February 10, 2026 meeting, the Committee approved the results for the 2025 performance year. Earned shares will vest 100% upon the third anniversary of the grant (February 2027). Aggregate funding for all performance measures during the 2025 performance year was 53.64% of target (as shown in the 2025 Performance Goals table above). </w:t>
      </w:r>
    </w:p>
    <w:p>
      <w:pPr>
        <w:pStyle w:val="TextBody"/>
        <w:bidi w:val="0"/>
        <w:spacing w:before="80" w:after="0"/>
        <w:jc w:val="left"/>
        <w:rPr>
          <w:rFonts w:ascii="arial" w:hAnsi="arial"/>
          <w:sz w:val="18"/>
        </w:rPr>
      </w:pPr>
      <w:r>
        <w:rPr>
          <w:rFonts w:ascii="arial" w:hAnsi="arial"/>
          <w:sz w:val="18"/>
        </w:rPr>
        <w:t xml:space="preserve">As a result of the above level of achievement for each of the performance measures for year 2 of the 2024-2026 LTI award, the Committee approved the following number of earned performance shares for each named executive officer.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25"/>
        <w:gridCol w:w="120"/>
        <w:gridCol w:w="110"/>
        <w:gridCol w:w="110"/>
        <w:gridCol w:w="1261"/>
        <w:gridCol w:w="110"/>
        <w:gridCol w:w="221"/>
        <w:gridCol w:w="120"/>
        <w:gridCol w:w="120"/>
        <w:gridCol w:w="1131"/>
        <w:gridCol w:w="123"/>
        <w:gridCol w:w="120"/>
        <w:gridCol w:w="110"/>
        <w:gridCol w:w="110"/>
        <w:gridCol w:w="1261"/>
        <w:gridCol w:w="110"/>
        <w:gridCol w:w="221"/>
        <w:gridCol w:w="120"/>
        <w:gridCol w:w="120"/>
        <w:gridCol w:w="1131"/>
        <w:gridCol w:w="123"/>
        <w:gridCol w:w="120"/>
        <w:gridCol w:w="109"/>
        <w:gridCol w:w="109"/>
        <w:gridCol w:w="1242"/>
        <w:gridCol w:w="148"/>
      </w:tblGrid>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sz w:val="4"/>
                <w:szCs w:val="4"/>
              </w:rPr>
            </w:pPr>
            <w:r>
              <w:rPr>
                <w:sz w:val="4"/>
                <w:szCs w:val="4"/>
              </w:rPr>
            </w:r>
          </w:p>
        </w:tc>
        <w:tc>
          <w:tcPr>
            <w:tcW w:w="3426" w:type="dxa"/>
            <w:gridSpan w:val="10"/>
            <w:tcBorders/>
            <w:vAlign w:val="center"/>
          </w:tcPr>
          <w:p>
            <w:pPr>
              <w:pStyle w:val="TableContents"/>
              <w:bidi w:val="0"/>
              <w:spacing w:before="0" w:after="283"/>
              <w:jc w:val="left"/>
              <w:rPr>
                <w:sz w:val="4"/>
                <w:szCs w:val="4"/>
              </w:rPr>
            </w:pPr>
            <w:r>
              <w:rPr>
                <w:sz w:val="4"/>
                <w:szCs w:val="4"/>
              </w:rPr>
            </w:r>
          </w:p>
        </w:tc>
        <w:tc>
          <w:tcPr>
            <w:tcW w:w="3426" w:type="dxa"/>
            <w:gridSpan w:val="10"/>
            <w:tcBorders/>
            <w:vAlign w:val="center"/>
          </w:tcPr>
          <w:p>
            <w:pPr>
              <w:pStyle w:val="TableContents"/>
              <w:bidi w:val="0"/>
              <w:spacing w:before="0" w:after="283"/>
              <w:jc w:val="left"/>
              <w:rPr>
                <w:sz w:val="4"/>
                <w:szCs w:val="4"/>
              </w:rPr>
            </w:pPr>
            <w:r>
              <w:rPr>
                <w:sz w:val="4"/>
                <w:szCs w:val="4"/>
              </w:rPr>
            </w:r>
          </w:p>
        </w:tc>
        <w:tc>
          <w:tcPr>
            <w:tcW w:w="1728" w:type="dxa"/>
            <w:gridSpan w:val="5"/>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06" w:type="dxa"/>
            <w:gridSpan w:val="9"/>
            <w:tcBorders>
              <w:bottom w:val="single" w:sz="8" w:space="0" w:color="000000"/>
            </w:tcBorders>
            <w:tcMar>
              <w:bottom w:w="60" w:type="dxa"/>
            </w:tcMar>
            <w:vAlign w:val="center"/>
          </w:tcPr>
          <w:p>
            <w:pPr>
              <w:pStyle w:val="TableContents"/>
              <w:bidi w:val="0"/>
              <w:spacing w:before="0" w:after="283"/>
              <w:jc w:val="center"/>
              <w:rPr/>
            </w:pPr>
            <w:r>
              <w:rPr>
                <w:b/>
                <w:color w:val="00AE4F"/>
              </w:rPr>
              <w:t>Financial Measure:</w:t>
            </w:r>
            <w:r>
              <w:rPr/>
              <w:br/>
            </w:r>
            <w:r>
              <w:rPr>
                <w:b/>
                <w:color w:val="00AE4F"/>
              </w:rPr>
              <w:t>Revenue Growth</w:t>
            </w:r>
          </w:p>
        </w:tc>
        <w:tc>
          <w:tcPr>
            <w:tcW w:w="120" w:type="dxa"/>
            <w:tcBorders/>
            <w:vAlign w:val="center"/>
          </w:tcPr>
          <w:p>
            <w:pPr>
              <w:pStyle w:val="TableContents"/>
              <w:bidi w:val="0"/>
              <w:spacing w:before="0" w:after="283"/>
              <w:jc w:val="left"/>
              <w:rPr/>
            </w:pPr>
            <w:r>
              <w:rPr/>
              <w:t>  </w:t>
            </w:r>
          </w:p>
        </w:tc>
        <w:tc>
          <w:tcPr>
            <w:tcW w:w="3306" w:type="dxa"/>
            <w:gridSpan w:val="9"/>
            <w:tcBorders>
              <w:bottom w:val="single" w:sz="8" w:space="0" w:color="000000"/>
            </w:tcBorders>
            <w:tcMar>
              <w:bottom w:w="60" w:type="dxa"/>
            </w:tcMar>
            <w:vAlign w:val="center"/>
          </w:tcPr>
          <w:p>
            <w:pPr>
              <w:pStyle w:val="TableContents"/>
              <w:bidi w:val="0"/>
              <w:spacing w:before="0" w:after="283"/>
              <w:jc w:val="center"/>
              <w:rPr/>
            </w:pPr>
            <w:r>
              <w:rPr>
                <w:b/>
                <w:color w:val="00AE4F"/>
              </w:rPr>
              <w:t>Financial Measure:</w:t>
            </w:r>
            <w:r>
              <w:rPr/>
              <w:br/>
            </w:r>
            <w:r>
              <w:rPr>
                <w:b/>
                <w:color w:val="00AE4F"/>
              </w:rPr>
              <w:t>EBITDA Margin</w:t>
            </w:r>
          </w:p>
        </w:tc>
        <w:tc>
          <w:tcPr>
            <w:tcW w:w="12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1608" w:type="dxa"/>
            <w:gridSpan w:val="4"/>
            <w:vMerge w:val="restart"/>
            <w:tcBorders>
              <w:bottom w:val="single" w:sz="8" w:space="0" w:color="000000"/>
            </w:tcBorders>
            <w:tcMar>
              <w:bottom w:w="60" w:type="dxa"/>
            </w:tcMar>
            <w:vAlign w:val="center"/>
          </w:tcPr>
          <w:p>
            <w:pPr>
              <w:pStyle w:val="TableContents"/>
              <w:bidi w:val="0"/>
              <w:jc w:val="center"/>
              <w:rPr/>
            </w:pPr>
            <w:r>
              <w:rPr>
                <w:b/>
                <w:color w:val="00AE4F"/>
              </w:rPr>
              <w:t>Total # of</w:t>
              <w:br/>
              <w:t>Year 2</w:t>
              <w:br/>
              <w:t>Performance</w:t>
              <w:br/>
              <w:t>Shares Earned</w:t>
            </w:r>
            <w:r>
              <w:rPr/>
              <w:t xml:space="preserve"> </w:t>
            </w:r>
          </w:p>
          <w:p>
            <w:pPr>
              <w:pStyle w:val="TableContents"/>
              <w:bidi w:val="0"/>
              <w:spacing w:before="0" w:after="20"/>
              <w:jc w:val="left"/>
              <w:rPr/>
            </w:pPr>
            <w:r>
              <w:rPr/>
              <w:t> </w:t>
            </w:r>
          </w:p>
        </w:tc>
      </w:tr>
      <w:tr>
        <w:trPr/>
        <w:tc>
          <w:tcPr>
            <w:tcW w:w="16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06" w:type="dxa"/>
            <w:gridSpan w:val="9"/>
            <w:tcBorders>
              <w:bottom w:val="single" w:sz="8" w:space="0" w:color="000000"/>
            </w:tcBorders>
            <w:tcMar>
              <w:bottom w:w="28" w:type="dxa"/>
            </w:tcMar>
            <w:vAlign w:val="center"/>
          </w:tcPr>
          <w:p>
            <w:pPr>
              <w:pStyle w:val="TableContents"/>
              <w:bidi w:val="0"/>
              <w:spacing w:before="0" w:after="283"/>
              <w:jc w:val="center"/>
              <w:rPr>
                <w:b/>
                <w:color w:val="00AE4F"/>
              </w:rPr>
            </w:pPr>
            <w:r>
              <w:rPr>
                <w:b/>
                <w:color w:val="00AE4F"/>
              </w:rPr>
              <w:t>Payout as % of Target: 57.27%</w:t>
            </w:r>
          </w:p>
        </w:tc>
        <w:tc>
          <w:tcPr>
            <w:tcW w:w="120" w:type="dxa"/>
            <w:tcBorders/>
            <w:vAlign w:val="center"/>
          </w:tcPr>
          <w:p>
            <w:pPr>
              <w:pStyle w:val="TableContents"/>
              <w:bidi w:val="0"/>
              <w:spacing w:before="0" w:after="283"/>
              <w:jc w:val="left"/>
              <w:rPr/>
            </w:pPr>
            <w:r>
              <w:rPr/>
              <w:t>  </w:t>
            </w:r>
          </w:p>
        </w:tc>
        <w:tc>
          <w:tcPr>
            <w:tcW w:w="3306" w:type="dxa"/>
            <w:gridSpan w:val="9"/>
            <w:tcBorders>
              <w:bottom w:val="single" w:sz="8" w:space="0" w:color="000000"/>
            </w:tcBorders>
            <w:tcMar>
              <w:bottom w:w="28" w:type="dxa"/>
            </w:tcMar>
            <w:vAlign w:val="center"/>
          </w:tcPr>
          <w:p>
            <w:pPr>
              <w:pStyle w:val="TableContents"/>
              <w:bidi w:val="0"/>
              <w:spacing w:before="0" w:after="283"/>
              <w:jc w:val="center"/>
              <w:rPr>
                <w:b/>
                <w:color w:val="00AE4F"/>
              </w:rPr>
            </w:pPr>
            <w:r>
              <w:rPr>
                <w:b/>
                <w:color w:val="00AE4F"/>
              </w:rPr>
              <w:t>Payout as % of Target: 50.00%</w:t>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608" w:type="dxa"/>
            <w:gridSpan w:val="4"/>
            <w:vMerge w:val="continue"/>
            <w:tcBorders>
              <w:bottom w:val="single" w:sz="8" w:space="0" w:color="000000"/>
            </w:tcBorders>
            <w:tcMar>
              <w:bottom w:w="60" w:type="dxa"/>
            </w:tcMar>
            <w:vAlign w:val="center"/>
          </w:tcPr>
          <w:p>
            <w:pPr>
              <w:pStyle w:val="Normal"/>
              <w:bidi w:val="0"/>
              <w:jc w:val="left"/>
              <w:rPr/>
            </w:pPr>
            <w:r>
              <w:rPr/>
            </w:r>
          </w:p>
        </w:tc>
      </w:tr>
      <w:tr>
        <w:trPr/>
        <w:tc>
          <w:tcPr>
            <w:tcW w:w="1625" w:type="dxa"/>
            <w:tcBorders>
              <w:bottom w:val="single" w:sz="8" w:space="0" w:color="000000"/>
            </w:tcBorders>
            <w:tcMar>
              <w:bottom w:w="60" w:type="dxa"/>
            </w:tcMar>
            <w:vAlign w:val="center"/>
          </w:tcPr>
          <w:p>
            <w:pPr>
              <w:pStyle w:val="TableContents"/>
              <w:bidi w:val="0"/>
              <w:spacing w:before="0" w:after="0"/>
              <w:jc w:val="left"/>
              <w:rPr>
                <w:rFonts w:ascii="arial" w:hAnsi="arial"/>
                <w:b/>
                <w:color w:val="00AE4F"/>
                <w:sz w:val="16"/>
              </w:rPr>
            </w:pPr>
            <w:r>
              <w:rPr>
                <w:rFonts w:ascii="arial" w:hAnsi="arial"/>
                <w:b/>
                <w:color w:val="00AE4F"/>
                <w:sz w:val="16"/>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91" w:type="dxa"/>
            <w:gridSpan w:val="4"/>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Year 2 Target</w:t>
              <w:br/>
              <w:t># of Shares</w:t>
            </w:r>
          </w:p>
        </w:tc>
        <w:tc>
          <w:tcPr>
            <w:tcW w:w="221" w:type="dxa"/>
            <w:tcBorders>
              <w:bottom w:val="single" w:sz="8" w:space="0" w:color="000000"/>
            </w:tcBorders>
            <w:tcMar>
              <w:bottom w:w="28" w:type="dxa"/>
            </w:tcMar>
            <w:vAlign w:val="center"/>
          </w:tcPr>
          <w:p>
            <w:pPr>
              <w:pStyle w:val="TableContents"/>
              <w:bidi w:val="0"/>
              <w:spacing w:before="0" w:after="283"/>
              <w:jc w:val="left"/>
              <w:rPr/>
            </w:pPr>
            <w:r>
              <w:rPr/>
              <w:t>  </w:t>
            </w:r>
          </w:p>
        </w:tc>
        <w:tc>
          <w:tcPr>
            <w:tcW w:w="1494" w:type="dxa"/>
            <w:gridSpan w:val="4"/>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Year 2 # of</w:t>
              <w:br/>
              <w:t>Shares Earned</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91" w:type="dxa"/>
            <w:gridSpan w:val="4"/>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Year 2 Target</w:t>
              <w:br/>
              <w:t># of Shares</w:t>
            </w:r>
          </w:p>
        </w:tc>
        <w:tc>
          <w:tcPr>
            <w:tcW w:w="221" w:type="dxa"/>
            <w:tcBorders>
              <w:bottom w:val="single" w:sz="8" w:space="0" w:color="000000"/>
            </w:tcBorders>
            <w:tcMar>
              <w:bottom w:w="28" w:type="dxa"/>
            </w:tcMar>
            <w:vAlign w:val="center"/>
          </w:tcPr>
          <w:p>
            <w:pPr>
              <w:pStyle w:val="TableContents"/>
              <w:bidi w:val="0"/>
              <w:spacing w:before="0" w:after="283"/>
              <w:jc w:val="left"/>
              <w:rPr/>
            </w:pPr>
            <w:r>
              <w:rPr/>
              <w:t>  </w:t>
            </w:r>
          </w:p>
        </w:tc>
        <w:tc>
          <w:tcPr>
            <w:tcW w:w="1494" w:type="dxa"/>
            <w:gridSpan w:val="4"/>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Year 2 # of</w:t>
              <w:br/>
              <w:t>Shares Earned</w:t>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608" w:type="dxa"/>
            <w:gridSpan w:val="4"/>
            <w:vMerge w:val="continue"/>
            <w:tcBorders>
              <w:bottom w:val="single" w:sz="8" w:space="0" w:color="000000"/>
            </w:tcBorders>
            <w:tcMar>
              <w:bottom w:w="60" w:type="dxa"/>
            </w:tcMar>
            <w:vAlign w:val="center"/>
          </w:tcPr>
          <w:p>
            <w:pPr>
              <w:pStyle w:val="Normal"/>
              <w:bidi w:val="0"/>
              <w:jc w:val="left"/>
              <w:rPr/>
            </w:pPr>
            <w:r>
              <w:rPr/>
            </w:r>
          </w:p>
        </w:tc>
      </w:tr>
      <w:tr>
        <w:trPr/>
        <w:tc>
          <w:tcPr>
            <w:tcW w:w="1625" w:type="dxa"/>
            <w:tcBorders/>
            <w:vAlign w:val="center"/>
          </w:tcPr>
          <w:p>
            <w:pPr>
              <w:pStyle w:val="TableContents"/>
              <w:bidi w:val="0"/>
              <w:spacing w:before="0" w:after="283"/>
              <w:jc w:val="left"/>
              <w:rPr>
                <w:sz w:val="4"/>
                <w:szCs w:val="4"/>
              </w:rPr>
            </w:pPr>
            <w:r>
              <w:rPr>
                <w:sz w:val="4"/>
                <w:szCs w:val="4"/>
              </w:rPr>
            </w:r>
          </w:p>
        </w:tc>
        <w:tc>
          <w:tcPr>
            <w:tcW w:w="1711"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711"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728" w:type="dxa"/>
            <w:gridSpan w:val="5"/>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Tammy L. Browning</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10" w:type="dxa"/>
            <w:tcBorders>
              <w:bottom w:val="single" w:sz="6" w:space="0" w:color="7F7F7F"/>
            </w:tcBorders>
            <w:tcMar>
              <w:bottom w:w="28" w:type="dxa"/>
            </w:tcMar>
            <w:vAlign w:val="center"/>
          </w:tcPr>
          <w:p>
            <w:pPr>
              <w:pStyle w:val="TableContents"/>
              <w:bidi w:val="0"/>
              <w:spacing w:before="0" w:after="283"/>
              <w:jc w:val="left"/>
              <w:rPr/>
            </w:pPr>
            <w:r>
              <w:rPr/>
              <w:t> </w:t>
            </w:r>
          </w:p>
        </w:tc>
        <w:tc>
          <w:tcPr>
            <w:tcW w:w="110" w:type="dxa"/>
            <w:tcBorders>
              <w:bottom w:val="single" w:sz="6" w:space="0" w:color="7F7F7F"/>
            </w:tcBorders>
            <w:tcMar>
              <w:bottom w:w="40" w:type="dxa"/>
            </w:tcMar>
            <w:vAlign w:val="center"/>
          </w:tcPr>
          <w:p>
            <w:pPr>
              <w:pStyle w:val="TableContents"/>
              <w:bidi w:val="0"/>
              <w:spacing w:before="0" w:after="283"/>
              <w:jc w:val="left"/>
              <w:rPr/>
            </w:pPr>
            <w:r>
              <w:rPr/>
              <w:t> </w:t>
            </w:r>
          </w:p>
        </w:tc>
        <w:tc>
          <w:tcPr>
            <w:tcW w:w="1261" w:type="dxa"/>
            <w:tcBorders>
              <w:bottom w:val="single" w:sz="6" w:space="0" w:color="7F7F7F"/>
            </w:tcBorders>
            <w:tcMar>
              <w:bottom w:w="40" w:type="dxa"/>
            </w:tcMar>
            <w:vAlign w:val="center"/>
          </w:tcPr>
          <w:p>
            <w:pPr>
              <w:pStyle w:val="TableContents"/>
              <w:bidi w:val="0"/>
              <w:spacing w:before="0" w:after="283"/>
              <w:jc w:val="right"/>
              <w:rPr/>
            </w:pPr>
            <w:r>
              <w:rPr/>
              <w:t>1,445</w:t>
            </w:r>
          </w:p>
        </w:tc>
        <w:tc>
          <w:tcPr>
            <w:tcW w:w="11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21"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40" w:type="dxa"/>
            </w:tcMar>
            <w:vAlign w:val="center"/>
          </w:tcPr>
          <w:p>
            <w:pPr>
              <w:pStyle w:val="TableContents"/>
              <w:bidi w:val="0"/>
              <w:spacing w:before="0" w:after="283"/>
              <w:jc w:val="left"/>
              <w:rPr/>
            </w:pPr>
            <w:r>
              <w:rPr/>
              <w:t> </w:t>
            </w:r>
          </w:p>
        </w:tc>
        <w:tc>
          <w:tcPr>
            <w:tcW w:w="1131" w:type="dxa"/>
            <w:tcBorders>
              <w:bottom w:val="single" w:sz="6" w:space="0" w:color="7F7F7F"/>
            </w:tcBorders>
            <w:tcMar>
              <w:bottom w:w="40" w:type="dxa"/>
            </w:tcMar>
            <w:vAlign w:val="center"/>
          </w:tcPr>
          <w:p>
            <w:pPr>
              <w:pStyle w:val="TableContents"/>
              <w:bidi w:val="0"/>
              <w:spacing w:before="0" w:after="283"/>
              <w:jc w:val="right"/>
              <w:rPr/>
            </w:pPr>
            <w:r>
              <w:rPr/>
              <w:t>828</w:t>
            </w:r>
          </w:p>
        </w:tc>
        <w:tc>
          <w:tcPr>
            <w:tcW w:w="1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10" w:type="dxa"/>
            <w:tcBorders>
              <w:bottom w:val="single" w:sz="6" w:space="0" w:color="7F7F7F"/>
            </w:tcBorders>
            <w:tcMar>
              <w:bottom w:w="28" w:type="dxa"/>
            </w:tcMar>
            <w:vAlign w:val="center"/>
          </w:tcPr>
          <w:p>
            <w:pPr>
              <w:pStyle w:val="TableContents"/>
              <w:bidi w:val="0"/>
              <w:spacing w:before="0" w:after="283"/>
              <w:jc w:val="left"/>
              <w:rPr/>
            </w:pPr>
            <w:r>
              <w:rPr/>
              <w:t> </w:t>
            </w:r>
          </w:p>
        </w:tc>
        <w:tc>
          <w:tcPr>
            <w:tcW w:w="110" w:type="dxa"/>
            <w:tcBorders>
              <w:bottom w:val="single" w:sz="6" w:space="0" w:color="7F7F7F"/>
            </w:tcBorders>
            <w:tcMar>
              <w:bottom w:w="40" w:type="dxa"/>
            </w:tcMar>
            <w:vAlign w:val="center"/>
          </w:tcPr>
          <w:p>
            <w:pPr>
              <w:pStyle w:val="TableContents"/>
              <w:bidi w:val="0"/>
              <w:spacing w:before="0" w:after="283"/>
              <w:jc w:val="left"/>
              <w:rPr/>
            </w:pPr>
            <w:r>
              <w:rPr/>
              <w:t> </w:t>
            </w:r>
          </w:p>
        </w:tc>
        <w:tc>
          <w:tcPr>
            <w:tcW w:w="1261" w:type="dxa"/>
            <w:tcBorders>
              <w:bottom w:val="single" w:sz="6" w:space="0" w:color="7F7F7F"/>
            </w:tcBorders>
            <w:tcMar>
              <w:bottom w:w="40" w:type="dxa"/>
            </w:tcMar>
            <w:vAlign w:val="center"/>
          </w:tcPr>
          <w:p>
            <w:pPr>
              <w:pStyle w:val="TableContents"/>
              <w:bidi w:val="0"/>
              <w:spacing w:before="0" w:after="283"/>
              <w:jc w:val="right"/>
              <w:rPr/>
            </w:pPr>
            <w:r>
              <w:rPr/>
              <w:t>1,445</w:t>
            </w:r>
          </w:p>
        </w:tc>
        <w:tc>
          <w:tcPr>
            <w:tcW w:w="11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21"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40" w:type="dxa"/>
            </w:tcMar>
            <w:vAlign w:val="center"/>
          </w:tcPr>
          <w:p>
            <w:pPr>
              <w:pStyle w:val="TableContents"/>
              <w:bidi w:val="0"/>
              <w:spacing w:before="0" w:after="283"/>
              <w:jc w:val="left"/>
              <w:rPr/>
            </w:pPr>
            <w:r>
              <w:rPr/>
              <w:t> </w:t>
            </w:r>
          </w:p>
        </w:tc>
        <w:tc>
          <w:tcPr>
            <w:tcW w:w="1131" w:type="dxa"/>
            <w:tcBorders>
              <w:bottom w:val="single" w:sz="6" w:space="0" w:color="7F7F7F"/>
            </w:tcBorders>
            <w:tcMar>
              <w:bottom w:w="40" w:type="dxa"/>
            </w:tcMar>
            <w:vAlign w:val="center"/>
          </w:tcPr>
          <w:p>
            <w:pPr>
              <w:pStyle w:val="TableContents"/>
              <w:bidi w:val="0"/>
              <w:spacing w:before="0" w:after="283"/>
              <w:jc w:val="right"/>
              <w:rPr/>
            </w:pPr>
            <w:r>
              <w:rPr/>
              <w:t>723</w:t>
            </w:r>
          </w:p>
        </w:tc>
        <w:tc>
          <w:tcPr>
            <w:tcW w:w="1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40" w:type="dxa"/>
            </w:tcMar>
            <w:vAlign w:val="center"/>
          </w:tcPr>
          <w:p>
            <w:pPr>
              <w:pStyle w:val="TableContents"/>
              <w:bidi w:val="0"/>
              <w:spacing w:before="0" w:after="283"/>
              <w:jc w:val="left"/>
              <w:rPr/>
            </w:pPr>
            <w:r>
              <w:rPr/>
              <w:t> </w:t>
            </w:r>
          </w:p>
        </w:tc>
        <w:tc>
          <w:tcPr>
            <w:tcW w:w="1242" w:type="dxa"/>
            <w:tcBorders>
              <w:bottom w:val="single" w:sz="6" w:space="0" w:color="7F7F7F"/>
            </w:tcBorders>
            <w:tcMar>
              <w:bottom w:w="40" w:type="dxa"/>
            </w:tcMar>
            <w:vAlign w:val="center"/>
          </w:tcPr>
          <w:p>
            <w:pPr>
              <w:pStyle w:val="TableContents"/>
              <w:bidi w:val="0"/>
              <w:spacing w:before="0" w:after="283"/>
              <w:jc w:val="right"/>
              <w:rPr/>
            </w:pPr>
            <w:r>
              <w:rPr/>
              <w:t>1,551</w:t>
            </w:r>
          </w:p>
        </w:tc>
        <w:tc>
          <w:tcPr>
            <w:tcW w:w="148"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sz w:val="4"/>
                <w:szCs w:val="4"/>
              </w:rPr>
            </w:pPr>
            <w:r>
              <w:rPr>
                <w:sz w:val="4"/>
                <w:szCs w:val="4"/>
              </w:rPr>
            </w:r>
          </w:p>
        </w:tc>
        <w:tc>
          <w:tcPr>
            <w:tcW w:w="1711"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711"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728" w:type="dxa"/>
            <w:gridSpan w:val="5"/>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Vanessa P. Williams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10" w:type="dxa"/>
            <w:tcBorders>
              <w:bottom w:val="single" w:sz="6" w:space="0" w:color="7F7F7F"/>
            </w:tcBorders>
            <w:tcMar>
              <w:bottom w:w="28" w:type="dxa"/>
            </w:tcMar>
            <w:vAlign w:val="center"/>
          </w:tcPr>
          <w:p>
            <w:pPr>
              <w:pStyle w:val="TableContents"/>
              <w:bidi w:val="0"/>
              <w:spacing w:before="0" w:after="283"/>
              <w:jc w:val="left"/>
              <w:rPr/>
            </w:pPr>
            <w:r>
              <w:rPr/>
              <w:t> </w:t>
            </w:r>
          </w:p>
        </w:tc>
        <w:tc>
          <w:tcPr>
            <w:tcW w:w="110" w:type="dxa"/>
            <w:tcBorders>
              <w:bottom w:val="single" w:sz="6" w:space="0" w:color="7F7F7F"/>
            </w:tcBorders>
            <w:tcMar>
              <w:bottom w:w="40" w:type="dxa"/>
            </w:tcMar>
            <w:vAlign w:val="center"/>
          </w:tcPr>
          <w:p>
            <w:pPr>
              <w:pStyle w:val="TableContents"/>
              <w:bidi w:val="0"/>
              <w:spacing w:before="0" w:after="283"/>
              <w:jc w:val="left"/>
              <w:rPr/>
            </w:pPr>
            <w:r>
              <w:rPr/>
              <w:t> </w:t>
            </w:r>
          </w:p>
        </w:tc>
        <w:tc>
          <w:tcPr>
            <w:tcW w:w="1261" w:type="dxa"/>
            <w:tcBorders>
              <w:bottom w:val="single" w:sz="6" w:space="0" w:color="7F7F7F"/>
            </w:tcBorders>
            <w:tcMar>
              <w:bottom w:w="40" w:type="dxa"/>
            </w:tcMar>
            <w:vAlign w:val="center"/>
          </w:tcPr>
          <w:p>
            <w:pPr>
              <w:pStyle w:val="TableContents"/>
              <w:bidi w:val="0"/>
              <w:spacing w:before="0" w:after="283"/>
              <w:jc w:val="right"/>
              <w:rPr/>
            </w:pPr>
            <w:r>
              <w:rPr/>
              <w:t>2,853</w:t>
            </w:r>
          </w:p>
        </w:tc>
        <w:tc>
          <w:tcPr>
            <w:tcW w:w="11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21"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40" w:type="dxa"/>
            </w:tcMar>
            <w:vAlign w:val="center"/>
          </w:tcPr>
          <w:p>
            <w:pPr>
              <w:pStyle w:val="TableContents"/>
              <w:bidi w:val="0"/>
              <w:spacing w:before="0" w:after="283"/>
              <w:jc w:val="left"/>
              <w:rPr/>
            </w:pPr>
            <w:r>
              <w:rPr/>
              <w:t> </w:t>
            </w:r>
          </w:p>
        </w:tc>
        <w:tc>
          <w:tcPr>
            <w:tcW w:w="1131" w:type="dxa"/>
            <w:tcBorders>
              <w:bottom w:val="single" w:sz="6" w:space="0" w:color="7F7F7F"/>
            </w:tcBorders>
            <w:tcMar>
              <w:bottom w:w="40" w:type="dxa"/>
            </w:tcMar>
            <w:vAlign w:val="center"/>
          </w:tcPr>
          <w:p>
            <w:pPr>
              <w:pStyle w:val="TableContents"/>
              <w:bidi w:val="0"/>
              <w:spacing w:before="0" w:after="283"/>
              <w:jc w:val="right"/>
              <w:rPr/>
            </w:pPr>
            <w:r>
              <w:rPr/>
              <w:t>1,634</w:t>
            </w:r>
          </w:p>
        </w:tc>
        <w:tc>
          <w:tcPr>
            <w:tcW w:w="1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10" w:type="dxa"/>
            <w:tcBorders>
              <w:bottom w:val="single" w:sz="6" w:space="0" w:color="7F7F7F"/>
            </w:tcBorders>
            <w:tcMar>
              <w:bottom w:w="28" w:type="dxa"/>
            </w:tcMar>
            <w:vAlign w:val="center"/>
          </w:tcPr>
          <w:p>
            <w:pPr>
              <w:pStyle w:val="TableContents"/>
              <w:bidi w:val="0"/>
              <w:spacing w:before="0" w:after="283"/>
              <w:jc w:val="left"/>
              <w:rPr/>
            </w:pPr>
            <w:r>
              <w:rPr/>
              <w:t> </w:t>
            </w:r>
          </w:p>
        </w:tc>
        <w:tc>
          <w:tcPr>
            <w:tcW w:w="110" w:type="dxa"/>
            <w:tcBorders>
              <w:bottom w:val="single" w:sz="6" w:space="0" w:color="7F7F7F"/>
            </w:tcBorders>
            <w:tcMar>
              <w:bottom w:w="40" w:type="dxa"/>
            </w:tcMar>
            <w:vAlign w:val="center"/>
          </w:tcPr>
          <w:p>
            <w:pPr>
              <w:pStyle w:val="TableContents"/>
              <w:bidi w:val="0"/>
              <w:spacing w:before="0" w:after="283"/>
              <w:jc w:val="left"/>
              <w:rPr/>
            </w:pPr>
            <w:r>
              <w:rPr/>
              <w:t> </w:t>
            </w:r>
          </w:p>
        </w:tc>
        <w:tc>
          <w:tcPr>
            <w:tcW w:w="1261" w:type="dxa"/>
            <w:tcBorders>
              <w:bottom w:val="single" w:sz="6" w:space="0" w:color="7F7F7F"/>
            </w:tcBorders>
            <w:tcMar>
              <w:bottom w:w="40" w:type="dxa"/>
            </w:tcMar>
            <w:vAlign w:val="center"/>
          </w:tcPr>
          <w:p>
            <w:pPr>
              <w:pStyle w:val="TableContents"/>
              <w:bidi w:val="0"/>
              <w:spacing w:before="0" w:after="283"/>
              <w:jc w:val="right"/>
              <w:rPr/>
            </w:pPr>
            <w:r>
              <w:rPr/>
              <w:t>2,853</w:t>
            </w:r>
          </w:p>
        </w:tc>
        <w:tc>
          <w:tcPr>
            <w:tcW w:w="11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21"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40" w:type="dxa"/>
            </w:tcMar>
            <w:vAlign w:val="center"/>
          </w:tcPr>
          <w:p>
            <w:pPr>
              <w:pStyle w:val="TableContents"/>
              <w:bidi w:val="0"/>
              <w:spacing w:before="0" w:after="283"/>
              <w:jc w:val="left"/>
              <w:rPr/>
            </w:pPr>
            <w:r>
              <w:rPr/>
              <w:t> </w:t>
            </w:r>
          </w:p>
        </w:tc>
        <w:tc>
          <w:tcPr>
            <w:tcW w:w="1131" w:type="dxa"/>
            <w:tcBorders>
              <w:bottom w:val="single" w:sz="6" w:space="0" w:color="7F7F7F"/>
            </w:tcBorders>
            <w:tcMar>
              <w:bottom w:w="40" w:type="dxa"/>
            </w:tcMar>
            <w:vAlign w:val="center"/>
          </w:tcPr>
          <w:p>
            <w:pPr>
              <w:pStyle w:val="TableContents"/>
              <w:bidi w:val="0"/>
              <w:spacing w:before="0" w:after="283"/>
              <w:jc w:val="right"/>
              <w:rPr/>
            </w:pPr>
            <w:r>
              <w:rPr/>
              <w:t>1,427</w:t>
            </w:r>
          </w:p>
        </w:tc>
        <w:tc>
          <w:tcPr>
            <w:tcW w:w="1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40" w:type="dxa"/>
            </w:tcMar>
            <w:vAlign w:val="center"/>
          </w:tcPr>
          <w:p>
            <w:pPr>
              <w:pStyle w:val="TableContents"/>
              <w:bidi w:val="0"/>
              <w:spacing w:before="0" w:after="283"/>
              <w:jc w:val="left"/>
              <w:rPr/>
            </w:pPr>
            <w:r>
              <w:rPr/>
              <w:t> </w:t>
            </w:r>
          </w:p>
        </w:tc>
        <w:tc>
          <w:tcPr>
            <w:tcW w:w="1242" w:type="dxa"/>
            <w:tcBorders>
              <w:bottom w:val="single" w:sz="6" w:space="0" w:color="7F7F7F"/>
            </w:tcBorders>
            <w:tcMar>
              <w:bottom w:w="40" w:type="dxa"/>
            </w:tcMar>
            <w:vAlign w:val="center"/>
          </w:tcPr>
          <w:p>
            <w:pPr>
              <w:pStyle w:val="TableContents"/>
              <w:bidi w:val="0"/>
              <w:spacing w:before="0" w:after="283"/>
              <w:jc w:val="right"/>
              <w:rPr/>
            </w:pPr>
            <w:r>
              <w:rPr/>
              <w:t>3,061</w:t>
            </w:r>
          </w:p>
        </w:tc>
        <w:tc>
          <w:tcPr>
            <w:tcW w:w="148"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sz w:val="4"/>
                <w:szCs w:val="4"/>
              </w:rPr>
            </w:pPr>
            <w:r>
              <w:rPr>
                <w:sz w:val="4"/>
                <w:szCs w:val="4"/>
              </w:rPr>
            </w:r>
          </w:p>
        </w:tc>
        <w:tc>
          <w:tcPr>
            <w:tcW w:w="1711"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711"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728" w:type="dxa"/>
            <w:gridSpan w:val="5"/>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Nicola M. Soares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10" w:type="dxa"/>
            <w:tcBorders>
              <w:bottom w:val="single" w:sz="6" w:space="0" w:color="7F7F7F"/>
            </w:tcBorders>
            <w:tcMar>
              <w:bottom w:w="28" w:type="dxa"/>
            </w:tcMar>
            <w:vAlign w:val="center"/>
          </w:tcPr>
          <w:p>
            <w:pPr>
              <w:pStyle w:val="TableContents"/>
              <w:bidi w:val="0"/>
              <w:spacing w:before="0" w:after="283"/>
              <w:jc w:val="left"/>
              <w:rPr/>
            </w:pPr>
            <w:r>
              <w:rPr/>
              <w:t> </w:t>
            </w:r>
          </w:p>
        </w:tc>
        <w:tc>
          <w:tcPr>
            <w:tcW w:w="110" w:type="dxa"/>
            <w:tcBorders>
              <w:bottom w:val="single" w:sz="6" w:space="0" w:color="7F7F7F"/>
            </w:tcBorders>
            <w:tcMar>
              <w:bottom w:w="40" w:type="dxa"/>
            </w:tcMar>
            <w:vAlign w:val="center"/>
          </w:tcPr>
          <w:p>
            <w:pPr>
              <w:pStyle w:val="TableContents"/>
              <w:bidi w:val="0"/>
              <w:spacing w:before="0" w:after="283"/>
              <w:jc w:val="left"/>
              <w:rPr/>
            </w:pPr>
            <w:r>
              <w:rPr/>
              <w:t> </w:t>
            </w:r>
          </w:p>
        </w:tc>
        <w:tc>
          <w:tcPr>
            <w:tcW w:w="1261" w:type="dxa"/>
            <w:tcBorders>
              <w:bottom w:val="single" w:sz="6" w:space="0" w:color="7F7F7F"/>
            </w:tcBorders>
            <w:tcMar>
              <w:bottom w:w="40" w:type="dxa"/>
            </w:tcMar>
            <w:vAlign w:val="center"/>
          </w:tcPr>
          <w:p>
            <w:pPr>
              <w:pStyle w:val="TableContents"/>
              <w:bidi w:val="0"/>
              <w:spacing w:before="0" w:after="283"/>
              <w:jc w:val="right"/>
              <w:rPr/>
            </w:pPr>
            <w:r>
              <w:rPr/>
              <w:t>1,384</w:t>
            </w:r>
          </w:p>
        </w:tc>
        <w:tc>
          <w:tcPr>
            <w:tcW w:w="11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21"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40" w:type="dxa"/>
            </w:tcMar>
            <w:vAlign w:val="center"/>
          </w:tcPr>
          <w:p>
            <w:pPr>
              <w:pStyle w:val="TableContents"/>
              <w:bidi w:val="0"/>
              <w:spacing w:before="0" w:after="283"/>
              <w:jc w:val="left"/>
              <w:rPr/>
            </w:pPr>
            <w:r>
              <w:rPr/>
              <w:t> </w:t>
            </w:r>
          </w:p>
        </w:tc>
        <w:tc>
          <w:tcPr>
            <w:tcW w:w="1131" w:type="dxa"/>
            <w:tcBorders>
              <w:bottom w:val="single" w:sz="6" w:space="0" w:color="7F7F7F"/>
            </w:tcBorders>
            <w:tcMar>
              <w:bottom w:w="40" w:type="dxa"/>
            </w:tcMar>
            <w:vAlign w:val="center"/>
          </w:tcPr>
          <w:p>
            <w:pPr>
              <w:pStyle w:val="TableContents"/>
              <w:bidi w:val="0"/>
              <w:spacing w:before="0" w:after="283"/>
              <w:jc w:val="right"/>
              <w:rPr/>
            </w:pPr>
            <w:r>
              <w:rPr/>
              <w:t>793</w:t>
            </w:r>
          </w:p>
        </w:tc>
        <w:tc>
          <w:tcPr>
            <w:tcW w:w="1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10" w:type="dxa"/>
            <w:tcBorders>
              <w:bottom w:val="single" w:sz="6" w:space="0" w:color="7F7F7F"/>
            </w:tcBorders>
            <w:tcMar>
              <w:bottom w:w="28" w:type="dxa"/>
            </w:tcMar>
            <w:vAlign w:val="center"/>
          </w:tcPr>
          <w:p>
            <w:pPr>
              <w:pStyle w:val="TableContents"/>
              <w:bidi w:val="0"/>
              <w:spacing w:before="0" w:after="283"/>
              <w:jc w:val="left"/>
              <w:rPr/>
            </w:pPr>
            <w:r>
              <w:rPr/>
              <w:t> </w:t>
            </w:r>
          </w:p>
        </w:tc>
        <w:tc>
          <w:tcPr>
            <w:tcW w:w="110" w:type="dxa"/>
            <w:tcBorders>
              <w:bottom w:val="single" w:sz="6" w:space="0" w:color="7F7F7F"/>
            </w:tcBorders>
            <w:tcMar>
              <w:bottom w:w="40" w:type="dxa"/>
            </w:tcMar>
            <w:vAlign w:val="center"/>
          </w:tcPr>
          <w:p>
            <w:pPr>
              <w:pStyle w:val="TableContents"/>
              <w:bidi w:val="0"/>
              <w:spacing w:before="0" w:after="283"/>
              <w:jc w:val="left"/>
              <w:rPr/>
            </w:pPr>
            <w:r>
              <w:rPr/>
              <w:t> </w:t>
            </w:r>
          </w:p>
        </w:tc>
        <w:tc>
          <w:tcPr>
            <w:tcW w:w="1261" w:type="dxa"/>
            <w:tcBorders>
              <w:bottom w:val="single" w:sz="6" w:space="0" w:color="7F7F7F"/>
            </w:tcBorders>
            <w:tcMar>
              <w:bottom w:w="40" w:type="dxa"/>
            </w:tcMar>
            <w:vAlign w:val="center"/>
          </w:tcPr>
          <w:p>
            <w:pPr>
              <w:pStyle w:val="TableContents"/>
              <w:bidi w:val="0"/>
              <w:spacing w:before="0" w:after="283"/>
              <w:jc w:val="right"/>
              <w:rPr/>
            </w:pPr>
            <w:r>
              <w:rPr/>
              <w:t>1,384</w:t>
            </w:r>
          </w:p>
        </w:tc>
        <w:tc>
          <w:tcPr>
            <w:tcW w:w="11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21"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40" w:type="dxa"/>
            </w:tcMar>
            <w:vAlign w:val="center"/>
          </w:tcPr>
          <w:p>
            <w:pPr>
              <w:pStyle w:val="TableContents"/>
              <w:bidi w:val="0"/>
              <w:spacing w:before="0" w:after="283"/>
              <w:jc w:val="left"/>
              <w:rPr/>
            </w:pPr>
            <w:r>
              <w:rPr/>
              <w:t> </w:t>
            </w:r>
          </w:p>
        </w:tc>
        <w:tc>
          <w:tcPr>
            <w:tcW w:w="1131" w:type="dxa"/>
            <w:tcBorders>
              <w:bottom w:val="single" w:sz="6" w:space="0" w:color="7F7F7F"/>
            </w:tcBorders>
            <w:tcMar>
              <w:bottom w:w="40" w:type="dxa"/>
            </w:tcMar>
            <w:vAlign w:val="center"/>
          </w:tcPr>
          <w:p>
            <w:pPr>
              <w:pStyle w:val="TableContents"/>
              <w:bidi w:val="0"/>
              <w:spacing w:before="0" w:after="283"/>
              <w:jc w:val="right"/>
              <w:rPr/>
            </w:pPr>
            <w:r>
              <w:rPr/>
              <w:t>692</w:t>
            </w:r>
          </w:p>
        </w:tc>
        <w:tc>
          <w:tcPr>
            <w:tcW w:w="1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40" w:type="dxa"/>
            </w:tcMar>
            <w:vAlign w:val="center"/>
          </w:tcPr>
          <w:p>
            <w:pPr>
              <w:pStyle w:val="TableContents"/>
              <w:bidi w:val="0"/>
              <w:spacing w:before="0" w:after="283"/>
              <w:jc w:val="left"/>
              <w:rPr/>
            </w:pPr>
            <w:r>
              <w:rPr/>
              <w:t> </w:t>
            </w:r>
          </w:p>
        </w:tc>
        <w:tc>
          <w:tcPr>
            <w:tcW w:w="1242" w:type="dxa"/>
            <w:tcBorders>
              <w:bottom w:val="single" w:sz="6" w:space="0" w:color="7F7F7F"/>
            </w:tcBorders>
            <w:tcMar>
              <w:bottom w:w="40" w:type="dxa"/>
            </w:tcMar>
            <w:vAlign w:val="center"/>
          </w:tcPr>
          <w:p>
            <w:pPr>
              <w:pStyle w:val="TableContents"/>
              <w:bidi w:val="0"/>
              <w:spacing w:before="0" w:after="283"/>
              <w:jc w:val="right"/>
              <w:rPr/>
            </w:pPr>
            <w:r>
              <w:rPr/>
              <w:t>1,485</w:t>
            </w:r>
          </w:p>
        </w:tc>
        <w:tc>
          <w:tcPr>
            <w:tcW w:w="148"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sz w:val="4"/>
                <w:szCs w:val="4"/>
              </w:rPr>
            </w:pPr>
            <w:r>
              <w:rPr>
                <w:sz w:val="4"/>
                <w:szCs w:val="4"/>
              </w:rPr>
            </w:r>
          </w:p>
        </w:tc>
        <w:tc>
          <w:tcPr>
            <w:tcW w:w="1711"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711"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728" w:type="dxa"/>
            <w:gridSpan w:val="5"/>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0"/>
              <w:jc w:val="left"/>
              <w:rPr>
                <w:rFonts w:ascii="arial" w:hAnsi="arial"/>
                <w:b/>
                <w:i/>
                <w:sz w:val="18"/>
                <w:u w:val="single"/>
              </w:rPr>
            </w:pPr>
            <w:r>
              <w:rPr>
                <w:rFonts w:ascii="arial" w:hAnsi="arial"/>
                <w:b/>
                <w:i/>
                <w:sz w:val="18"/>
                <w:u w:val="single"/>
              </w:rPr>
              <w:t>Former Executive</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 </w:t>
            </w:r>
          </w:p>
        </w:tc>
        <w:tc>
          <w:tcPr>
            <w:tcW w:w="1261"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 </w:t>
            </w:r>
          </w:p>
        </w:tc>
        <w:tc>
          <w:tcPr>
            <w:tcW w:w="22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pPr>
            <w:r>
              <w:rPr/>
              <w:t> </w:t>
            </w:r>
          </w:p>
        </w:tc>
        <w:tc>
          <w:tcPr>
            <w:tcW w:w="1131" w:type="dxa"/>
            <w:tcBorders/>
            <w:vAlign w:val="center"/>
          </w:tcPr>
          <w:p>
            <w:pPr>
              <w:pStyle w:val="TableContents"/>
              <w:bidi w:val="0"/>
              <w:spacing w:before="0" w:after="0"/>
              <w:jc w:val="left"/>
              <w:rPr/>
            </w:pPr>
            <w:r>
              <w:rPr/>
              <w:t> </w:t>
            </w:r>
          </w:p>
        </w:tc>
        <w:tc>
          <w:tcPr>
            <w:tcW w:w="123"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 </w:t>
            </w:r>
          </w:p>
        </w:tc>
        <w:tc>
          <w:tcPr>
            <w:tcW w:w="1261"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 </w:t>
            </w:r>
          </w:p>
        </w:tc>
        <w:tc>
          <w:tcPr>
            <w:tcW w:w="22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pPr>
            <w:r>
              <w:rPr/>
              <w:t> </w:t>
            </w:r>
          </w:p>
        </w:tc>
        <w:tc>
          <w:tcPr>
            <w:tcW w:w="1131" w:type="dxa"/>
            <w:tcBorders/>
            <w:vAlign w:val="center"/>
          </w:tcPr>
          <w:p>
            <w:pPr>
              <w:pStyle w:val="TableContents"/>
              <w:bidi w:val="0"/>
              <w:spacing w:before="0" w:after="0"/>
              <w:jc w:val="left"/>
              <w:rPr/>
            </w:pPr>
            <w:r>
              <w:rPr/>
              <w:t> </w:t>
            </w:r>
          </w:p>
        </w:tc>
        <w:tc>
          <w:tcPr>
            <w:tcW w:w="123"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1711"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711"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728" w:type="dxa"/>
            <w:gridSpan w:val="5"/>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Peter W. Quigley</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10" w:type="dxa"/>
            <w:tcBorders>
              <w:bottom w:val="single" w:sz="6" w:space="0" w:color="7F7F7F"/>
            </w:tcBorders>
            <w:tcMar>
              <w:bottom w:w="28" w:type="dxa"/>
            </w:tcMar>
            <w:vAlign w:val="center"/>
          </w:tcPr>
          <w:p>
            <w:pPr>
              <w:pStyle w:val="TableContents"/>
              <w:bidi w:val="0"/>
              <w:spacing w:before="0" w:after="283"/>
              <w:jc w:val="left"/>
              <w:rPr/>
            </w:pPr>
            <w:r>
              <w:rPr/>
              <w:t> </w:t>
            </w:r>
          </w:p>
        </w:tc>
        <w:tc>
          <w:tcPr>
            <w:tcW w:w="110" w:type="dxa"/>
            <w:tcBorders>
              <w:bottom w:val="single" w:sz="6" w:space="0" w:color="7F7F7F"/>
            </w:tcBorders>
            <w:tcMar>
              <w:bottom w:w="40" w:type="dxa"/>
            </w:tcMar>
            <w:vAlign w:val="center"/>
          </w:tcPr>
          <w:p>
            <w:pPr>
              <w:pStyle w:val="TableContents"/>
              <w:bidi w:val="0"/>
              <w:spacing w:before="0" w:after="283"/>
              <w:jc w:val="left"/>
              <w:rPr/>
            </w:pPr>
            <w:r>
              <w:rPr/>
              <w:t> </w:t>
            </w:r>
          </w:p>
        </w:tc>
        <w:tc>
          <w:tcPr>
            <w:tcW w:w="1261" w:type="dxa"/>
            <w:tcBorders>
              <w:bottom w:val="single" w:sz="6" w:space="0" w:color="7F7F7F"/>
            </w:tcBorders>
            <w:tcMar>
              <w:bottom w:w="40" w:type="dxa"/>
            </w:tcMar>
            <w:vAlign w:val="center"/>
          </w:tcPr>
          <w:p>
            <w:pPr>
              <w:pStyle w:val="TableContents"/>
              <w:bidi w:val="0"/>
              <w:spacing w:before="0" w:after="283"/>
              <w:jc w:val="right"/>
              <w:rPr/>
            </w:pPr>
            <w:r>
              <w:rPr/>
              <w:t>13,514</w:t>
            </w:r>
          </w:p>
        </w:tc>
        <w:tc>
          <w:tcPr>
            <w:tcW w:w="11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21"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40" w:type="dxa"/>
            </w:tcMar>
            <w:vAlign w:val="center"/>
          </w:tcPr>
          <w:p>
            <w:pPr>
              <w:pStyle w:val="TableContents"/>
              <w:bidi w:val="0"/>
              <w:spacing w:before="0" w:after="283"/>
              <w:jc w:val="left"/>
              <w:rPr/>
            </w:pPr>
            <w:r>
              <w:rPr/>
              <w:t> </w:t>
            </w:r>
          </w:p>
        </w:tc>
        <w:tc>
          <w:tcPr>
            <w:tcW w:w="1131" w:type="dxa"/>
            <w:tcBorders>
              <w:bottom w:val="single" w:sz="6" w:space="0" w:color="7F7F7F"/>
            </w:tcBorders>
            <w:tcMar>
              <w:bottom w:w="40" w:type="dxa"/>
            </w:tcMar>
            <w:vAlign w:val="center"/>
          </w:tcPr>
          <w:p>
            <w:pPr>
              <w:pStyle w:val="TableContents"/>
              <w:bidi w:val="0"/>
              <w:spacing w:before="0" w:after="283"/>
              <w:jc w:val="right"/>
              <w:rPr/>
            </w:pPr>
            <w:r>
              <w:rPr/>
              <w:t>7,739</w:t>
            </w:r>
          </w:p>
        </w:tc>
        <w:tc>
          <w:tcPr>
            <w:tcW w:w="1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10" w:type="dxa"/>
            <w:tcBorders>
              <w:bottom w:val="single" w:sz="6" w:space="0" w:color="7F7F7F"/>
            </w:tcBorders>
            <w:tcMar>
              <w:bottom w:w="28" w:type="dxa"/>
            </w:tcMar>
            <w:vAlign w:val="center"/>
          </w:tcPr>
          <w:p>
            <w:pPr>
              <w:pStyle w:val="TableContents"/>
              <w:bidi w:val="0"/>
              <w:spacing w:before="0" w:after="283"/>
              <w:jc w:val="left"/>
              <w:rPr/>
            </w:pPr>
            <w:r>
              <w:rPr/>
              <w:t> </w:t>
            </w:r>
          </w:p>
        </w:tc>
        <w:tc>
          <w:tcPr>
            <w:tcW w:w="110" w:type="dxa"/>
            <w:tcBorders>
              <w:bottom w:val="single" w:sz="6" w:space="0" w:color="7F7F7F"/>
            </w:tcBorders>
            <w:tcMar>
              <w:bottom w:w="40" w:type="dxa"/>
            </w:tcMar>
            <w:vAlign w:val="center"/>
          </w:tcPr>
          <w:p>
            <w:pPr>
              <w:pStyle w:val="TableContents"/>
              <w:bidi w:val="0"/>
              <w:spacing w:before="0" w:after="283"/>
              <w:jc w:val="left"/>
              <w:rPr/>
            </w:pPr>
            <w:r>
              <w:rPr/>
              <w:t> </w:t>
            </w:r>
          </w:p>
        </w:tc>
        <w:tc>
          <w:tcPr>
            <w:tcW w:w="1261" w:type="dxa"/>
            <w:tcBorders>
              <w:bottom w:val="single" w:sz="6" w:space="0" w:color="7F7F7F"/>
            </w:tcBorders>
            <w:tcMar>
              <w:bottom w:w="40" w:type="dxa"/>
            </w:tcMar>
            <w:vAlign w:val="center"/>
          </w:tcPr>
          <w:p>
            <w:pPr>
              <w:pStyle w:val="TableContents"/>
              <w:bidi w:val="0"/>
              <w:spacing w:before="0" w:after="283"/>
              <w:jc w:val="right"/>
              <w:rPr/>
            </w:pPr>
            <w:r>
              <w:rPr/>
              <w:t>13,514</w:t>
            </w:r>
          </w:p>
        </w:tc>
        <w:tc>
          <w:tcPr>
            <w:tcW w:w="11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21"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bottom w:val="single" w:sz="6" w:space="0" w:color="7F7F7F"/>
            </w:tcBorders>
            <w:tcMar>
              <w:bottom w:w="40" w:type="dxa"/>
            </w:tcMar>
            <w:vAlign w:val="center"/>
          </w:tcPr>
          <w:p>
            <w:pPr>
              <w:pStyle w:val="TableContents"/>
              <w:bidi w:val="0"/>
              <w:spacing w:before="0" w:after="283"/>
              <w:jc w:val="left"/>
              <w:rPr/>
            </w:pPr>
            <w:r>
              <w:rPr/>
              <w:t> </w:t>
            </w:r>
          </w:p>
        </w:tc>
        <w:tc>
          <w:tcPr>
            <w:tcW w:w="1131" w:type="dxa"/>
            <w:tcBorders>
              <w:bottom w:val="single" w:sz="6" w:space="0" w:color="7F7F7F"/>
            </w:tcBorders>
            <w:tcMar>
              <w:bottom w:w="40" w:type="dxa"/>
            </w:tcMar>
            <w:vAlign w:val="center"/>
          </w:tcPr>
          <w:p>
            <w:pPr>
              <w:pStyle w:val="TableContents"/>
              <w:bidi w:val="0"/>
              <w:spacing w:before="0" w:after="283"/>
              <w:jc w:val="right"/>
              <w:rPr/>
            </w:pPr>
            <w:r>
              <w:rPr/>
              <w:t>6,757</w:t>
            </w:r>
          </w:p>
        </w:tc>
        <w:tc>
          <w:tcPr>
            <w:tcW w:w="1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40" w:type="dxa"/>
            </w:tcMar>
            <w:vAlign w:val="center"/>
          </w:tcPr>
          <w:p>
            <w:pPr>
              <w:pStyle w:val="TableContents"/>
              <w:bidi w:val="0"/>
              <w:spacing w:before="0" w:after="283"/>
              <w:jc w:val="left"/>
              <w:rPr/>
            </w:pPr>
            <w:r>
              <w:rPr/>
              <w:t> </w:t>
            </w:r>
          </w:p>
        </w:tc>
        <w:tc>
          <w:tcPr>
            <w:tcW w:w="1242" w:type="dxa"/>
            <w:tcBorders>
              <w:bottom w:val="single" w:sz="6" w:space="0" w:color="7F7F7F"/>
            </w:tcBorders>
            <w:tcMar>
              <w:bottom w:w="40" w:type="dxa"/>
            </w:tcMar>
            <w:vAlign w:val="center"/>
          </w:tcPr>
          <w:p>
            <w:pPr>
              <w:pStyle w:val="TableContents"/>
              <w:bidi w:val="0"/>
              <w:spacing w:before="0" w:after="283"/>
              <w:jc w:val="right"/>
              <w:rPr/>
            </w:pPr>
            <w:r>
              <w:rPr/>
              <w:t>14,496</w:t>
            </w:r>
          </w:p>
        </w:tc>
        <w:tc>
          <w:tcPr>
            <w:tcW w:w="148"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0"/>
        <w:jc w:val="left"/>
        <w:rPr>
          <w:rFonts w:ascii="arial" w:hAnsi="arial"/>
          <w:sz w:val="18"/>
        </w:rPr>
      </w:pPr>
      <w:r>
        <w:rPr>
          <w:rFonts w:ascii="arial" w:hAnsi="arial"/>
          <w:sz w:val="18"/>
        </w:rPr>
        <w:t xml:space="preserve">Note: Based on the hire dates for Messrs. Layden and Anderson, they are not participating in the 2024-2026 LTI award. </w:t>
      </w:r>
    </w:p>
    <w:p>
      <w:pPr>
        <w:pStyle w:val="TextBody"/>
        <w:bidi w:val="0"/>
        <w:spacing w:before="240" w:after="0"/>
        <w:jc w:val="left"/>
        <w:rPr>
          <w:rFonts w:ascii="arial" w:hAnsi="arial"/>
          <w:i/>
          <w:sz w:val="18"/>
          <w:u w:val="single"/>
        </w:rPr>
      </w:pPr>
      <w:r>
        <w:rPr>
          <w:rFonts w:ascii="arial" w:hAnsi="arial"/>
          <w:i/>
          <w:sz w:val="18"/>
          <w:u w:val="single"/>
        </w:rPr>
        <w:t xml:space="preserve">2025-2027 Long-Term Incentive Performance Results – Year 1 </w:t>
      </w:r>
    </w:p>
    <w:p>
      <w:pPr>
        <w:pStyle w:val="TextBody"/>
        <w:bidi w:val="0"/>
        <w:spacing w:before="80" w:after="0"/>
        <w:jc w:val="left"/>
        <w:rPr>
          <w:rFonts w:ascii="arial" w:hAnsi="arial"/>
          <w:sz w:val="18"/>
        </w:rPr>
      </w:pPr>
      <w:r>
        <w:rPr>
          <w:rFonts w:ascii="arial" w:hAnsi="arial"/>
          <w:sz w:val="18"/>
        </w:rPr>
        <w:t xml:space="preserve">As described above, the 2025-2027 performance shares have two financial measures, revenue growth and EBITDA margin, which have three one-year goals set in the beginning of each performance year. In February 2025, the Committee approved goals at threshold, target, and maximum levels of performance for each of the measures for the 2025 portion of the award opportunity. During its February 10, 2026 meeting, the Committee approved the results for the 2025 performance year. Earned shares will vest 100% upon the third anniversary of the grant (February 2028). Aggregate funding for all performance measures during the 2025 performance year was 53.64% of target (as shown in the 2025 Performance Goals table above). </w:t>
      </w:r>
    </w:p>
    <w:p>
      <w:pPr>
        <w:pStyle w:val="TextBody"/>
        <w:bidi w:val="0"/>
        <w:spacing w:before="80" w:after="0"/>
        <w:jc w:val="left"/>
        <w:rPr>
          <w:rFonts w:ascii="arial" w:hAnsi="arial"/>
          <w:sz w:val="18"/>
        </w:rPr>
      </w:pPr>
      <w:r>
        <w:rPr>
          <w:rFonts w:ascii="arial" w:hAnsi="arial"/>
          <w:sz w:val="18"/>
        </w:rPr>
        <w:t xml:space="preserve">As a result of the above level of achievement for each of the performance measures for year 1 of the 2025-2027 LTI award, the Committee approved the following number of earned performance shares for each named executive officer.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22"/>
        <w:gridCol w:w="120"/>
        <w:gridCol w:w="113"/>
        <w:gridCol w:w="113"/>
        <w:gridCol w:w="1298"/>
        <w:gridCol w:w="116"/>
        <w:gridCol w:w="207"/>
        <w:gridCol w:w="106"/>
        <w:gridCol w:w="106"/>
        <w:gridCol w:w="1212"/>
        <w:gridCol w:w="111"/>
        <w:gridCol w:w="120"/>
        <w:gridCol w:w="104"/>
        <w:gridCol w:w="104"/>
        <w:gridCol w:w="1186"/>
        <w:gridCol w:w="102"/>
        <w:gridCol w:w="207"/>
        <w:gridCol w:w="106"/>
        <w:gridCol w:w="106"/>
        <w:gridCol w:w="1212"/>
        <w:gridCol w:w="111"/>
        <w:gridCol w:w="120"/>
        <w:gridCol w:w="109"/>
        <w:gridCol w:w="109"/>
        <w:gridCol w:w="1242"/>
        <w:gridCol w:w="143"/>
      </w:tblGrid>
      <w:tr>
        <w:trPr/>
        <w:tc>
          <w:tcPr>
            <w:tcW w:w="16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r>
      <w:tr>
        <w:trPr/>
        <w:tc>
          <w:tcPr>
            <w:tcW w:w="1622" w:type="dxa"/>
            <w:tcBorders/>
            <w:vAlign w:val="center"/>
          </w:tcPr>
          <w:p>
            <w:pPr>
              <w:pStyle w:val="TableContents"/>
              <w:bidi w:val="0"/>
              <w:spacing w:before="0" w:after="283"/>
              <w:jc w:val="left"/>
              <w:rPr>
                <w:sz w:val="4"/>
                <w:szCs w:val="4"/>
              </w:rPr>
            </w:pPr>
            <w:r>
              <w:rPr>
                <w:sz w:val="4"/>
                <w:szCs w:val="4"/>
              </w:rPr>
            </w:r>
          </w:p>
        </w:tc>
        <w:tc>
          <w:tcPr>
            <w:tcW w:w="3502" w:type="dxa"/>
            <w:gridSpan w:val="10"/>
            <w:tcBorders/>
            <w:vAlign w:val="center"/>
          </w:tcPr>
          <w:p>
            <w:pPr>
              <w:pStyle w:val="TableContents"/>
              <w:bidi w:val="0"/>
              <w:spacing w:before="0" w:after="283"/>
              <w:jc w:val="left"/>
              <w:rPr>
                <w:sz w:val="4"/>
                <w:szCs w:val="4"/>
              </w:rPr>
            </w:pPr>
            <w:r>
              <w:rPr>
                <w:sz w:val="4"/>
                <w:szCs w:val="4"/>
              </w:rPr>
            </w:r>
          </w:p>
        </w:tc>
        <w:tc>
          <w:tcPr>
            <w:tcW w:w="3358" w:type="dxa"/>
            <w:gridSpan w:val="10"/>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r>
      <w:tr>
        <w:trPr/>
        <w:tc>
          <w:tcPr>
            <w:tcW w:w="162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82" w:type="dxa"/>
            <w:gridSpan w:val="9"/>
            <w:tcBorders>
              <w:bottom w:val="single" w:sz="8" w:space="0" w:color="000000"/>
            </w:tcBorders>
            <w:tcMar>
              <w:bottom w:w="60" w:type="dxa"/>
            </w:tcMar>
            <w:vAlign w:val="center"/>
          </w:tcPr>
          <w:p>
            <w:pPr>
              <w:pStyle w:val="TableContents"/>
              <w:bidi w:val="0"/>
              <w:spacing w:before="0" w:after="283"/>
              <w:jc w:val="center"/>
              <w:rPr/>
            </w:pPr>
            <w:r>
              <w:rPr>
                <w:b/>
                <w:color w:val="00AE4F"/>
              </w:rPr>
              <w:t>Financial Measure:</w:t>
            </w:r>
            <w:r>
              <w:rPr/>
              <w:br/>
            </w:r>
            <w:r>
              <w:rPr>
                <w:b/>
                <w:color w:val="00AE4F"/>
              </w:rPr>
              <w:t>Revenue Growth</w:t>
            </w:r>
          </w:p>
        </w:tc>
        <w:tc>
          <w:tcPr>
            <w:tcW w:w="120" w:type="dxa"/>
            <w:tcBorders/>
            <w:vAlign w:val="center"/>
          </w:tcPr>
          <w:p>
            <w:pPr>
              <w:pStyle w:val="TableContents"/>
              <w:bidi w:val="0"/>
              <w:spacing w:before="0" w:after="283"/>
              <w:jc w:val="left"/>
              <w:rPr/>
            </w:pPr>
            <w:r>
              <w:rPr/>
              <w:t>  </w:t>
            </w:r>
          </w:p>
        </w:tc>
        <w:tc>
          <w:tcPr>
            <w:tcW w:w="3238" w:type="dxa"/>
            <w:gridSpan w:val="9"/>
            <w:tcBorders>
              <w:bottom w:val="single" w:sz="8" w:space="0" w:color="000000"/>
            </w:tcBorders>
            <w:tcMar>
              <w:bottom w:w="60" w:type="dxa"/>
            </w:tcMar>
            <w:vAlign w:val="center"/>
          </w:tcPr>
          <w:p>
            <w:pPr>
              <w:pStyle w:val="TableContents"/>
              <w:bidi w:val="0"/>
              <w:spacing w:before="0" w:after="283"/>
              <w:jc w:val="center"/>
              <w:rPr/>
            </w:pPr>
            <w:r>
              <w:rPr>
                <w:b/>
                <w:color w:val="00AE4F"/>
              </w:rPr>
              <w:t>Financial Measure:</w:t>
            </w:r>
            <w:r>
              <w:rPr/>
              <w:br/>
            </w:r>
            <w:r>
              <w:rPr>
                <w:b/>
                <w:color w:val="00AE4F"/>
              </w:rPr>
              <w:t>EBITDA Margin</w:t>
            </w:r>
          </w:p>
        </w:tc>
        <w:tc>
          <w:tcPr>
            <w:tcW w:w="12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1603" w:type="dxa"/>
            <w:gridSpan w:val="4"/>
            <w:vMerge w:val="restart"/>
            <w:tcBorders>
              <w:bottom w:val="single" w:sz="8" w:space="0" w:color="000000"/>
            </w:tcBorders>
            <w:tcMar>
              <w:bottom w:w="60" w:type="dxa"/>
            </w:tcMar>
            <w:vAlign w:val="center"/>
          </w:tcPr>
          <w:p>
            <w:pPr>
              <w:pStyle w:val="TableContents"/>
              <w:bidi w:val="0"/>
              <w:jc w:val="center"/>
              <w:rPr/>
            </w:pPr>
            <w:r>
              <w:rPr>
                <w:b/>
                <w:color w:val="00AE4F"/>
              </w:rPr>
              <w:t>Total # of</w:t>
              <w:br/>
              <w:t>Year 1</w:t>
              <w:br/>
              <w:t>Performance</w:t>
              <w:br/>
              <w:t>Shares Earned</w:t>
            </w:r>
            <w:r>
              <w:rPr/>
              <w:t xml:space="preserve"> </w:t>
            </w:r>
          </w:p>
          <w:p>
            <w:pPr>
              <w:pStyle w:val="TableContents"/>
              <w:bidi w:val="0"/>
              <w:spacing w:before="0" w:after="20"/>
              <w:jc w:val="left"/>
              <w:rPr/>
            </w:pPr>
            <w:r>
              <w:rPr/>
              <w:t> </w:t>
            </w:r>
          </w:p>
        </w:tc>
      </w:tr>
      <w:tr>
        <w:trPr/>
        <w:tc>
          <w:tcPr>
            <w:tcW w:w="162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82" w:type="dxa"/>
            <w:gridSpan w:val="9"/>
            <w:tcBorders>
              <w:bottom w:val="single" w:sz="8" w:space="0" w:color="000000"/>
            </w:tcBorders>
            <w:tcMar>
              <w:bottom w:w="28" w:type="dxa"/>
            </w:tcMar>
            <w:vAlign w:val="center"/>
          </w:tcPr>
          <w:p>
            <w:pPr>
              <w:pStyle w:val="TableContents"/>
              <w:bidi w:val="0"/>
              <w:spacing w:before="0" w:after="283"/>
              <w:jc w:val="center"/>
              <w:rPr>
                <w:b/>
                <w:color w:val="00AE4F"/>
              </w:rPr>
            </w:pPr>
            <w:r>
              <w:rPr>
                <w:b/>
                <w:color w:val="00AE4F"/>
              </w:rPr>
              <w:t>Payout as % of Target: 57.27%</w:t>
            </w:r>
          </w:p>
        </w:tc>
        <w:tc>
          <w:tcPr>
            <w:tcW w:w="120" w:type="dxa"/>
            <w:tcBorders/>
            <w:vAlign w:val="center"/>
          </w:tcPr>
          <w:p>
            <w:pPr>
              <w:pStyle w:val="TableContents"/>
              <w:bidi w:val="0"/>
              <w:spacing w:before="0" w:after="283"/>
              <w:jc w:val="left"/>
              <w:rPr/>
            </w:pPr>
            <w:r>
              <w:rPr/>
              <w:t>  </w:t>
            </w:r>
          </w:p>
        </w:tc>
        <w:tc>
          <w:tcPr>
            <w:tcW w:w="3238" w:type="dxa"/>
            <w:gridSpan w:val="9"/>
            <w:tcBorders>
              <w:bottom w:val="single" w:sz="8" w:space="0" w:color="000000"/>
            </w:tcBorders>
            <w:tcMar>
              <w:bottom w:w="28" w:type="dxa"/>
            </w:tcMar>
            <w:vAlign w:val="center"/>
          </w:tcPr>
          <w:p>
            <w:pPr>
              <w:pStyle w:val="TableContents"/>
              <w:bidi w:val="0"/>
              <w:spacing w:before="0" w:after="283"/>
              <w:jc w:val="center"/>
              <w:rPr>
                <w:b/>
                <w:color w:val="00AE4F"/>
              </w:rPr>
            </w:pPr>
            <w:r>
              <w:rPr>
                <w:b/>
                <w:color w:val="00AE4F"/>
              </w:rPr>
              <w:t>Payout as % of Target: 50.00%</w:t>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603" w:type="dxa"/>
            <w:gridSpan w:val="4"/>
            <w:vMerge w:val="continue"/>
            <w:tcBorders>
              <w:bottom w:val="single" w:sz="8" w:space="0" w:color="000000"/>
            </w:tcBorders>
            <w:tcMar>
              <w:bottom w:w="60" w:type="dxa"/>
            </w:tcMar>
            <w:vAlign w:val="center"/>
          </w:tcPr>
          <w:p>
            <w:pPr>
              <w:pStyle w:val="Normal"/>
              <w:bidi w:val="0"/>
              <w:jc w:val="left"/>
              <w:rPr/>
            </w:pPr>
            <w:r>
              <w:rPr/>
            </w:r>
          </w:p>
        </w:tc>
      </w:tr>
      <w:tr>
        <w:trPr/>
        <w:tc>
          <w:tcPr>
            <w:tcW w:w="1622" w:type="dxa"/>
            <w:tcBorders>
              <w:bottom w:val="single" w:sz="8" w:space="0" w:color="000000"/>
            </w:tcBorders>
            <w:tcMar>
              <w:bottom w:w="60" w:type="dxa"/>
            </w:tcMar>
            <w:vAlign w:val="center"/>
          </w:tcPr>
          <w:p>
            <w:pPr>
              <w:pStyle w:val="TableContents"/>
              <w:bidi w:val="0"/>
              <w:spacing w:before="0" w:after="0"/>
              <w:jc w:val="left"/>
              <w:rPr>
                <w:rFonts w:ascii="arial" w:hAnsi="arial"/>
                <w:b/>
                <w:color w:val="00AE4F"/>
                <w:sz w:val="16"/>
              </w:rPr>
            </w:pPr>
            <w:r>
              <w:rPr>
                <w:rFonts w:ascii="arial" w:hAnsi="arial"/>
                <w:b/>
                <w:color w:val="00AE4F"/>
                <w:sz w:val="16"/>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640" w:type="dxa"/>
            <w:gridSpan w:val="4"/>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Year 1 Target #</w:t>
              <w:br/>
              <w:t>of Shares</w:t>
            </w:r>
          </w:p>
        </w:tc>
        <w:tc>
          <w:tcPr>
            <w:tcW w:w="207" w:type="dxa"/>
            <w:tcBorders>
              <w:bottom w:val="single" w:sz="8" w:space="0" w:color="000000"/>
            </w:tcBorders>
            <w:tcMar>
              <w:bottom w:w="28" w:type="dxa"/>
            </w:tcMar>
            <w:vAlign w:val="center"/>
          </w:tcPr>
          <w:p>
            <w:pPr>
              <w:pStyle w:val="TableContents"/>
              <w:bidi w:val="0"/>
              <w:spacing w:before="0" w:after="283"/>
              <w:jc w:val="left"/>
              <w:rPr/>
            </w:pPr>
            <w:r>
              <w:rPr/>
              <w:t>  </w:t>
            </w:r>
          </w:p>
        </w:tc>
        <w:tc>
          <w:tcPr>
            <w:tcW w:w="1535" w:type="dxa"/>
            <w:gridSpan w:val="4"/>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Year 1 # of</w:t>
              <w:br/>
              <w:t>Shares Earned</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96" w:type="dxa"/>
            <w:gridSpan w:val="4"/>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Year 1 Target</w:t>
              <w:br/>
              <w:t># of Shares</w:t>
            </w:r>
          </w:p>
        </w:tc>
        <w:tc>
          <w:tcPr>
            <w:tcW w:w="207" w:type="dxa"/>
            <w:tcBorders>
              <w:bottom w:val="single" w:sz="8" w:space="0" w:color="000000"/>
            </w:tcBorders>
            <w:tcMar>
              <w:bottom w:w="28" w:type="dxa"/>
            </w:tcMar>
            <w:vAlign w:val="center"/>
          </w:tcPr>
          <w:p>
            <w:pPr>
              <w:pStyle w:val="TableContents"/>
              <w:bidi w:val="0"/>
              <w:spacing w:before="0" w:after="283"/>
              <w:jc w:val="left"/>
              <w:rPr/>
            </w:pPr>
            <w:r>
              <w:rPr/>
              <w:t>  </w:t>
            </w:r>
          </w:p>
        </w:tc>
        <w:tc>
          <w:tcPr>
            <w:tcW w:w="1535" w:type="dxa"/>
            <w:gridSpan w:val="4"/>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Year 1 # of</w:t>
              <w:br/>
              <w:t>Shares Earned</w:t>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603" w:type="dxa"/>
            <w:gridSpan w:val="4"/>
            <w:vMerge w:val="continue"/>
            <w:tcBorders>
              <w:bottom w:val="single" w:sz="8" w:space="0" w:color="000000"/>
            </w:tcBorders>
            <w:tcMar>
              <w:bottom w:w="60" w:type="dxa"/>
            </w:tcMar>
            <w:vAlign w:val="center"/>
          </w:tcPr>
          <w:p>
            <w:pPr>
              <w:pStyle w:val="Normal"/>
              <w:bidi w:val="0"/>
              <w:jc w:val="left"/>
              <w:rPr/>
            </w:pPr>
            <w:r>
              <w:rPr/>
            </w:r>
          </w:p>
        </w:tc>
      </w:tr>
      <w:tr>
        <w:trPr/>
        <w:tc>
          <w:tcPr>
            <w:tcW w:w="1622" w:type="dxa"/>
            <w:tcBorders/>
            <w:vAlign w:val="center"/>
          </w:tcPr>
          <w:p>
            <w:pPr>
              <w:pStyle w:val="TableContents"/>
              <w:bidi w:val="0"/>
              <w:spacing w:before="0" w:after="283"/>
              <w:jc w:val="left"/>
              <w:rPr>
                <w:sz w:val="4"/>
                <w:szCs w:val="4"/>
              </w:rPr>
            </w:pPr>
            <w:r>
              <w:rPr>
                <w:sz w:val="4"/>
                <w:szCs w:val="4"/>
              </w:rPr>
            </w:r>
          </w:p>
        </w:tc>
        <w:tc>
          <w:tcPr>
            <w:tcW w:w="1760" w:type="dxa"/>
            <w:gridSpan w:val="5"/>
            <w:tcBorders/>
            <w:vAlign w:val="center"/>
          </w:tcPr>
          <w:p>
            <w:pPr>
              <w:pStyle w:val="TableContents"/>
              <w:bidi w:val="0"/>
              <w:spacing w:before="0" w:after="283"/>
              <w:jc w:val="left"/>
              <w:rPr>
                <w:sz w:val="4"/>
                <w:szCs w:val="4"/>
              </w:rPr>
            </w:pPr>
            <w:r>
              <w:rPr>
                <w:sz w:val="4"/>
                <w:szCs w:val="4"/>
              </w:rPr>
            </w:r>
          </w:p>
        </w:tc>
        <w:tc>
          <w:tcPr>
            <w:tcW w:w="1742" w:type="dxa"/>
            <w:gridSpan w:val="5"/>
            <w:tcBorders/>
            <w:vAlign w:val="center"/>
          </w:tcPr>
          <w:p>
            <w:pPr>
              <w:pStyle w:val="TableContents"/>
              <w:bidi w:val="0"/>
              <w:spacing w:before="0" w:after="283"/>
              <w:jc w:val="left"/>
              <w:rPr>
                <w:sz w:val="4"/>
                <w:szCs w:val="4"/>
              </w:rPr>
            </w:pPr>
            <w:r>
              <w:rPr>
                <w:sz w:val="4"/>
                <w:szCs w:val="4"/>
              </w:rPr>
            </w:r>
          </w:p>
        </w:tc>
        <w:tc>
          <w:tcPr>
            <w:tcW w:w="1616" w:type="dxa"/>
            <w:gridSpan w:val="5"/>
            <w:tcBorders/>
            <w:vAlign w:val="center"/>
          </w:tcPr>
          <w:p>
            <w:pPr>
              <w:pStyle w:val="TableContents"/>
              <w:bidi w:val="0"/>
              <w:spacing w:before="0" w:after="283"/>
              <w:jc w:val="left"/>
              <w:rPr>
                <w:sz w:val="4"/>
                <w:szCs w:val="4"/>
              </w:rPr>
            </w:pPr>
            <w:r>
              <w:rPr>
                <w:sz w:val="4"/>
                <w:szCs w:val="4"/>
              </w:rPr>
            </w:r>
          </w:p>
        </w:tc>
        <w:tc>
          <w:tcPr>
            <w:tcW w:w="1742"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r>
      <w:tr>
        <w:trPr/>
        <w:tc>
          <w:tcPr>
            <w:tcW w:w="1622"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Troy R. Anderson</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13" w:type="dxa"/>
            <w:tcBorders>
              <w:bottom w:val="single" w:sz="6" w:space="0" w:color="7F7F7F"/>
            </w:tcBorders>
            <w:tcMar>
              <w:bottom w:w="28" w:type="dxa"/>
            </w:tcMar>
            <w:vAlign w:val="center"/>
          </w:tcPr>
          <w:p>
            <w:pPr>
              <w:pStyle w:val="TableContents"/>
              <w:bidi w:val="0"/>
              <w:spacing w:before="0" w:after="283"/>
              <w:jc w:val="left"/>
              <w:rPr/>
            </w:pPr>
            <w:r>
              <w:rPr/>
              <w:t> </w:t>
            </w:r>
          </w:p>
        </w:tc>
        <w:tc>
          <w:tcPr>
            <w:tcW w:w="113" w:type="dxa"/>
            <w:tcBorders>
              <w:bottom w:val="single" w:sz="6" w:space="0" w:color="7F7F7F"/>
            </w:tcBorders>
            <w:tcMar>
              <w:bottom w:w="40" w:type="dxa"/>
            </w:tcMar>
            <w:vAlign w:val="center"/>
          </w:tcPr>
          <w:p>
            <w:pPr>
              <w:pStyle w:val="TableContents"/>
              <w:bidi w:val="0"/>
              <w:spacing w:before="0" w:after="283"/>
              <w:jc w:val="left"/>
              <w:rPr/>
            </w:pPr>
            <w:r>
              <w:rPr/>
              <w:t> </w:t>
            </w:r>
          </w:p>
        </w:tc>
        <w:tc>
          <w:tcPr>
            <w:tcW w:w="1298" w:type="dxa"/>
            <w:tcBorders>
              <w:bottom w:val="single" w:sz="6" w:space="0" w:color="7F7F7F"/>
            </w:tcBorders>
            <w:tcMar>
              <w:bottom w:w="40" w:type="dxa"/>
            </w:tcMar>
            <w:vAlign w:val="center"/>
          </w:tcPr>
          <w:p>
            <w:pPr>
              <w:pStyle w:val="TableContents"/>
              <w:bidi w:val="0"/>
              <w:spacing w:before="0" w:after="283"/>
              <w:jc w:val="right"/>
              <w:rPr/>
            </w:pPr>
            <w:r>
              <w:rPr/>
              <w:t>7,254</w:t>
            </w:r>
          </w:p>
        </w:tc>
        <w:tc>
          <w:tcPr>
            <w:tcW w:w="116"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07" w:type="dxa"/>
            <w:tcBorders>
              <w:bottom w:val="single" w:sz="6" w:space="0" w:color="7F7F7F"/>
            </w:tcBorders>
            <w:tcMar>
              <w:bottom w:w="28" w:type="dxa"/>
            </w:tcMar>
            <w:vAlign w:val="center"/>
          </w:tcPr>
          <w:p>
            <w:pPr>
              <w:pStyle w:val="TableContents"/>
              <w:bidi w:val="0"/>
              <w:spacing w:before="0" w:after="283"/>
              <w:jc w:val="left"/>
              <w:rPr/>
            </w:pPr>
            <w:r>
              <w:rPr/>
              <w:t>  </w:t>
            </w:r>
          </w:p>
        </w:tc>
        <w:tc>
          <w:tcPr>
            <w:tcW w:w="106" w:type="dxa"/>
            <w:tcBorders>
              <w:bottom w:val="single" w:sz="6" w:space="0" w:color="7F7F7F"/>
            </w:tcBorders>
            <w:tcMar>
              <w:bottom w:w="28" w:type="dxa"/>
            </w:tcMar>
            <w:vAlign w:val="center"/>
          </w:tcPr>
          <w:p>
            <w:pPr>
              <w:pStyle w:val="TableContents"/>
              <w:bidi w:val="0"/>
              <w:spacing w:before="0" w:after="283"/>
              <w:jc w:val="left"/>
              <w:rPr/>
            </w:pPr>
            <w:r>
              <w:rPr/>
              <w:t> </w:t>
            </w:r>
          </w:p>
        </w:tc>
        <w:tc>
          <w:tcPr>
            <w:tcW w:w="106" w:type="dxa"/>
            <w:tcBorders>
              <w:bottom w:val="single" w:sz="6" w:space="0" w:color="7F7F7F"/>
            </w:tcBorders>
            <w:tcMar>
              <w:bottom w:w="40" w:type="dxa"/>
            </w:tcMar>
            <w:vAlign w:val="center"/>
          </w:tcPr>
          <w:p>
            <w:pPr>
              <w:pStyle w:val="TableContents"/>
              <w:bidi w:val="0"/>
              <w:spacing w:before="0" w:after="283"/>
              <w:jc w:val="left"/>
              <w:rPr/>
            </w:pPr>
            <w:r>
              <w:rPr/>
              <w:t> </w:t>
            </w:r>
          </w:p>
        </w:tc>
        <w:tc>
          <w:tcPr>
            <w:tcW w:w="1212" w:type="dxa"/>
            <w:tcBorders>
              <w:bottom w:val="single" w:sz="6" w:space="0" w:color="7F7F7F"/>
            </w:tcBorders>
            <w:tcMar>
              <w:bottom w:w="40" w:type="dxa"/>
            </w:tcMar>
            <w:vAlign w:val="center"/>
          </w:tcPr>
          <w:p>
            <w:pPr>
              <w:pStyle w:val="TableContents"/>
              <w:bidi w:val="0"/>
              <w:spacing w:before="0" w:after="283"/>
              <w:jc w:val="right"/>
              <w:rPr/>
            </w:pPr>
            <w:r>
              <w:rPr/>
              <w:t>4,154</w:t>
            </w:r>
          </w:p>
        </w:tc>
        <w:tc>
          <w:tcPr>
            <w:tcW w:w="11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4" w:type="dxa"/>
            <w:tcBorders>
              <w:bottom w:val="single" w:sz="6" w:space="0" w:color="7F7F7F"/>
            </w:tcBorders>
            <w:tcMar>
              <w:bottom w:w="28" w:type="dxa"/>
            </w:tcMar>
            <w:vAlign w:val="center"/>
          </w:tcPr>
          <w:p>
            <w:pPr>
              <w:pStyle w:val="TableContents"/>
              <w:bidi w:val="0"/>
              <w:spacing w:before="0" w:after="283"/>
              <w:jc w:val="left"/>
              <w:rPr/>
            </w:pPr>
            <w:r>
              <w:rPr/>
              <w:t> </w:t>
            </w:r>
          </w:p>
        </w:tc>
        <w:tc>
          <w:tcPr>
            <w:tcW w:w="104" w:type="dxa"/>
            <w:tcBorders>
              <w:bottom w:val="single" w:sz="6" w:space="0" w:color="7F7F7F"/>
            </w:tcBorders>
            <w:tcMar>
              <w:bottom w:w="40" w:type="dxa"/>
            </w:tcMar>
            <w:vAlign w:val="center"/>
          </w:tcPr>
          <w:p>
            <w:pPr>
              <w:pStyle w:val="TableContents"/>
              <w:bidi w:val="0"/>
              <w:spacing w:before="0" w:after="283"/>
              <w:jc w:val="left"/>
              <w:rPr/>
            </w:pPr>
            <w:r>
              <w:rPr/>
              <w:t> </w:t>
            </w:r>
          </w:p>
        </w:tc>
        <w:tc>
          <w:tcPr>
            <w:tcW w:w="1186" w:type="dxa"/>
            <w:tcBorders>
              <w:bottom w:val="single" w:sz="6" w:space="0" w:color="7F7F7F"/>
            </w:tcBorders>
            <w:tcMar>
              <w:bottom w:w="40" w:type="dxa"/>
            </w:tcMar>
            <w:vAlign w:val="center"/>
          </w:tcPr>
          <w:p>
            <w:pPr>
              <w:pStyle w:val="TableContents"/>
              <w:bidi w:val="0"/>
              <w:spacing w:before="0" w:after="283"/>
              <w:jc w:val="right"/>
              <w:rPr/>
            </w:pPr>
            <w:r>
              <w:rPr/>
              <w:t>7,254</w:t>
            </w:r>
          </w:p>
        </w:tc>
        <w:tc>
          <w:tcPr>
            <w:tcW w:w="102"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07" w:type="dxa"/>
            <w:tcBorders>
              <w:bottom w:val="single" w:sz="6" w:space="0" w:color="7F7F7F"/>
            </w:tcBorders>
            <w:tcMar>
              <w:bottom w:w="28" w:type="dxa"/>
            </w:tcMar>
            <w:vAlign w:val="center"/>
          </w:tcPr>
          <w:p>
            <w:pPr>
              <w:pStyle w:val="TableContents"/>
              <w:bidi w:val="0"/>
              <w:spacing w:before="0" w:after="283"/>
              <w:jc w:val="left"/>
              <w:rPr/>
            </w:pPr>
            <w:r>
              <w:rPr/>
              <w:t>  </w:t>
            </w:r>
          </w:p>
        </w:tc>
        <w:tc>
          <w:tcPr>
            <w:tcW w:w="106" w:type="dxa"/>
            <w:tcBorders>
              <w:bottom w:val="single" w:sz="6" w:space="0" w:color="7F7F7F"/>
            </w:tcBorders>
            <w:tcMar>
              <w:bottom w:w="28" w:type="dxa"/>
            </w:tcMar>
            <w:vAlign w:val="center"/>
          </w:tcPr>
          <w:p>
            <w:pPr>
              <w:pStyle w:val="TableContents"/>
              <w:bidi w:val="0"/>
              <w:spacing w:before="0" w:after="283"/>
              <w:jc w:val="left"/>
              <w:rPr/>
            </w:pPr>
            <w:r>
              <w:rPr/>
              <w:t> </w:t>
            </w:r>
          </w:p>
        </w:tc>
        <w:tc>
          <w:tcPr>
            <w:tcW w:w="106" w:type="dxa"/>
            <w:tcBorders>
              <w:bottom w:val="single" w:sz="6" w:space="0" w:color="7F7F7F"/>
            </w:tcBorders>
            <w:tcMar>
              <w:bottom w:w="40" w:type="dxa"/>
            </w:tcMar>
            <w:vAlign w:val="center"/>
          </w:tcPr>
          <w:p>
            <w:pPr>
              <w:pStyle w:val="TableContents"/>
              <w:bidi w:val="0"/>
              <w:spacing w:before="0" w:after="283"/>
              <w:jc w:val="left"/>
              <w:rPr/>
            </w:pPr>
            <w:r>
              <w:rPr/>
              <w:t> </w:t>
            </w:r>
          </w:p>
        </w:tc>
        <w:tc>
          <w:tcPr>
            <w:tcW w:w="1212" w:type="dxa"/>
            <w:tcBorders>
              <w:bottom w:val="single" w:sz="6" w:space="0" w:color="7F7F7F"/>
            </w:tcBorders>
            <w:tcMar>
              <w:bottom w:w="40" w:type="dxa"/>
            </w:tcMar>
            <w:vAlign w:val="center"/>
          </w:tcPr>
          <w:p>
            <w:pPr>
              <w:pStyle w:val="TableContents"/>
              <w:bidi w:val="0"/>
              <w:spacing w:before="0" w:after="283"/>
              <w:jc w:val="right"/>
              <w:rPr/>
            </w:pPr>
            <w:r>
              <w:rPr/>
              <w:t>3,627</w:t>
            </w:r>
          </w:p>
        </w:tc>
        <w:tc>
          <w:tcPr>
            <w:tcW w:w="11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40" w:type="dxa"/>
            </w:tcMar>
            <w:vAlign w:val="center"/>
          </w:tcPr>
          <w:p>
            <w:pPr>
              <w:pStyle w:val="TableContents"/>
              <w:bidi w:val="0"/>
              <w:spacing w:before="0" w:after="283"/>
              <w:jc w:val="left"/>
              <w:rPr/>
            </w:pPr>
            <w:r>
              <w:rPr/>
              <w:t> </w:t>
            </w:r>
          </w:p>
        </w:tc>
        <w:tc>
          <w:tcPr>
            <w:tcW w:w="1242" w:type="dxa"/>
            <w:tcBorders>
              <w:bottom w:val="single" w:sz="6" w:space="0" w:color="7F7F7F"/>
            </w:tcBorders>
            <w:tcMar>
              <w:bottom w:w="40" w:type="dxa"/>
            </w:tcMar>
            <w:vAlign w:val="center"/>
          </w:tcPr>
          <w:p>
            <w:pPr>
              <w:pStyle w:val="TableContents"/>
              <w:bidi w:val="0"/>
              <w:spacing w:before="0" w:after="283"/>
              <w:jc w:val="right"/>
              <w:rPr/>
            </w:pPr>
            <w:r>
              <w:rPr/>
              <w:t>7,781</w:t>
            </w:r>
          </w:p>
        </w:tc>
        <w:tc>
          <w:tcPr>
            <w:tcW w:w="14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1622" w:type="dxa"/>
            <w:tcBorders/>
            <w:vAlign w:val="center"/>
          </w:tcPr>
          <w:p>
            <w:pPr>
              <w:pStyle w:val="TableContents"/>
              <w:bidi w:val="0"/>
              <w:spacing w:before="0" w:after="283"/>
              <w:jc w:val="left"/>
              <w:rPr>
                <w:sz w:val="4"/>
                <w:szCs w:val="4"/>
              </w:rPr>
            </w:pPr>
            <w:r>
              <w:rPr>
                <w:sz w:val="4"/>
                <w:szCs w:val="4"/>
              </w:rPr>
            </w:r>
          </w:p>
        </w:tc>
        <w:tc>
          <w:tcPr>
            <w:tcW w:w="1760" w:type="dxa"/>
            <w:gridSpan w:val="5"/>
            <w:tcBorders/>
            <w:vAlign w:val="center"/>
          </w:tcPr>
          <w:p>
            <w:pPr>
              <w:pStyle w:val="TableContents"/>
              <w:bidi w:val="0"/>
              <w:spacing w:before="0" w:after="283"/>
              <w:jc w:val="left"/>
              <w:rPr>
                <w:sz w:val="4"/>
                <w:szCs w:val="4"/>
              </w:rPr>
            </w:pPr>
            <w:r>
              <w:rPr>
                <w:sz w:val="4"/>
                <w:szCs w:val="4"/>
              </w:rPr>
            </w:r>
          </w:p>
        </w:tc>
        <w:tc>
          <w:tcPr>
            <w:tcW w:w="1742" w:type="dxa"/>
            <w:gridSpan w:val="5"/>
            <w:tcBorders/>
            <w:vAlign w:val="center"/>
          </w:tcPr>
          <w:p>
            <w:pPr>
              <w:pStyle w:val="TableContents"/>
              <w:bidi w:val="0"/>
              <w:spacing w:before="0" w:after="283"/>
              <w:jc w:val="left"/>
              <w:rPr>
                <w:sz w:val="4"/>
                <w:szCs w:val="4"/>
              </w:rPr>
            </w:pPr>
            <w:r>
              <w:rPr>
                <w:sz w:val="4"/>
                <w:szCs w:val="4"/>
              </w:rPr>
            </w:r>
          </w:p>
        </w:tc>
        <w:tc>
          <w:tcPr>
            <w:tcW w:w="1616" w:type="dxa"/>
            <w:gridSpan w:val="5"/>
            <w:tcBorders/>
            <w:vAlign w:val="center"/>
          </w:tcPr>
          <w:p>
            <w:pPr>
              <w:pStyle w:val="TableContents"/>
              <w:bidi w:val="0"/>
              <w:spacing w:before="0" w:after="283"/>
              <w:jc w:val="left"/>
              <w:rPr>
                <w:sz w:val="4"/>
                <w:szCs w:val="4"/>
              </w:rPr>
            </w:pPr>
            <w:r>
              <w:rPr>
                <w:sz w:val="4"/>
                <w:szCs w:val="4"/>
              </w:rPr>
            </w:r>
          </w:p>
        </w:tc>
        <w:tc>
          <w:tcPr>
            <w:tcW w:w="1742"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r>
      <w:tr>
        <w:trPr/>
        <w:tc>
          <w:tcPr>
            <w:tcW w:w="1622"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Tammy L. Browning</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13" w:type="dxa"/>
            <w:tcBorders>
              <w:bottom w:val="single" w:sz="6" w:space="0" w:color="7F7F7F"/>
            </w:tcBorders>
            <w:tcMar>
              <w:bottom w:w="28" w:type="dxa"/>
            </w:tcMar>
            <w:vAlign w:val="center"/>
          </w:tcPr>
          <w:p>
            <w:pPr>
              <w:pStyle w:val="TableContents"/>
              <w:bidi w:val="0"/>
              <w:spacing w:before="0" w:after="283"/>
              <w:jc w:val="left"/>
              <w:rPr/>
            </w:pPr>
            <w:r>
              <w:rPr/>
              <w:t> </w:t>
            </w:r>
          </w:p>
        </w:tc>
        <w:tc>
          <w:tcPr>
            <w:tcW w:w="113" w:type="dxa"/>
            <w:tcBorders>
              <w:bottom w:val="single" w:sz="6" w:space="0" w:color="7F7F7F"/>
            </w:tcBorders>
            <w:tcMar>
              <w:bottom w:w="40" w:type="dxa"/>
            </w:tcMar>
            <w:vAlign w:val="center"/>
          </w:tcPr>
          <w:p>
            <w:pPr>
              <w:pStyle w:val="TableContents"/>
              <w:bidi w:val="0"/>
              <w:spacing w:before="0" w:after="283"/>
              <w:jc w:val="left"/>
              <w:rPr/>
            </w:pPr>
            <w:r>
              <w:rPr/>
              <w:t> </w:t>
            </w:r>
          </w:p>
        </w:tc>
        <w:tc>
          <w:tcPr>
            <w:tcW w:w="1298" w:type="dxa"/>
            <w:tcBorders>
              <w:bottom w:val="single" w:sz="6" w:space="0" w:color="7F7F7F"/>
            </w:tcBorders>
            <w:tcMar>
              <w:bottom w:w="40" w:type="dxa"/>
            </w:tcMar>
            <w:vAlign w:val="center"/>
          </w:tcPr>
          <w:p>
            <w:pPr>
              <w:pStyle w:val="TableContents"/>
              <w:bidi w:val="0"/>
              <w:spacing w:before="0" w:after="283"/>
              <w:jc w:val="right"/>
              <w:rPr/>
            </w:pPr>
            <w:r>
              <w:rPr/>
              <w:t>2,349</w:t>
            </w:r>
          </w:p>
        </w:tc>
        <w:tc>
          <w:tcPr>
            <w:tcW w:w="116"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07" w:type="dxa"/>
            <w:tcBorders>
              <w:bottom w:val="single" w:sz="6" w:space="0" w:color="7F7F7F"/>
            </w:tcBorders>
            <w:tcMar>
              <w:bottom w:w="28" w:type="dxa"/>
            </w:tcMar>
            <w:vAlign w:val="center"/>
          </w:tcPr>
          <w:p>
            <w:pPr>
              <w:pStyle w:val="TableContents"/>
              <w:bidi w:val="0"/>
              <w:spacing w:before="0" w:after="283"/>
              <w:jc w:val="left"/>
              <w:rPr/>
            </w:pPr>
            <w:r>
              <w:rPr/>
              <w:t>  </w:t>
            </w:r>
          </w:p>
        </w:tc>
        <w:tc>
          <w:tcPr>
            <w:tcW w:w="106" w:type="dxa"/>
            <w:tcBorders>
              <w:bottom w:val="single" w:sz="6" w:space="0" w:color="7F7F7F"/>
            </w:tcBorders>
            <w:tcMar>
              <w:bottom w:w="28" w:type="dxa"/>
            </w:tcMar>
            <w:vAlign w:val="center"/>
          </w:tcPr>
          <w:p>
            <w:pPr>
              <w:pStyle w:val="TableContents"/>
              <w:bidi w:val="0"/>
              <w:spacing w:before="0" w:after="283"/>
              <w:jc w:val="left"/>
              <w:rPr/>
            </w:pPr>
            <w:r>
              <w:rPr/>
              <w:t> </w:t>
            </w:r>
          </w:p>
        </w:tc>
        <w:tc>
          <w:tcPr>
            <w:tcW w:w="106" w:type="dxa"/>
            <w:tcBorders>
              <w:bottom w:val="single" w:sz="6" w:space="0" w:color="7F7F7F"/>
            </w:tcBorders>
            <w:tcMar>
              <w:bottom w:w="40" w:type="dxa"/>
            </w:tcMar>
            <w:vAlign w:val="center"/>
          </w:tcPr>
          <w:p>
            <w:pPr>
              <w:pStyle w:val="TableContents"/>
              <w:bidi w:val="0"/>
              <w:spacing w:before="0" w:after="283"/>
              <w:jc w:val="left"/>
              <w:rPr/>
            </w:pPr>
            <w:r>
              <w:rPr/>
              <w:t> </w:t>
            </w:r>
          </w:p>
        </w:tc>
        <w:tc>
          <w:tcPr>
            <w:tcW w:w="1212" w:type="dxa"/>
            <w:tcBorders>
              <w:bottom w:val="single" w:sz="6" w:space="0" w:color="7F7F7F"/>
            </w:tcBorders>
            <w:tcMar>
              <w:bottom w:w="40" w:type="dxa"/>
            </w:tcMar>
            <w:vAlign w:val="center"/>
          </w:tcPr>
          <w:p>
            <w:pPr>
              <w:pStyle w:val="TableContents"/>
              <w:bidi w:val="0"/>
              <w:spacing w:before="0" w:after="283"/>
              <w:jc w:val="right"/>
              <w:rPr/>
            </w:pPr>
            <w:r>
              <w:rPr/>
              <w:t>1,345</w:t>
            </w:r>
          </w:p>
        </w:tc>
        <w:tc>
          <w:tcPr>
            <w:tcW w:w="11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4" w:type="dxa"/>
            <w:tcBorders>
              <w:bottom w:val="single" w:sz="6" w:space="0" w:color="7F7F7F"/>
            </w:tcBorders>
            <w:tcMar>
              <w:bottom w:w="28" w:type="dxa"/>
            </w:tcMar>
            <w:vAlign w:val="center"/>
          </w:tcPr>
          <w:p>
            <w:pPr>
              <w:pStyle w:val="TableContents"/>
              <w:bidi w:val="0"/>
              <w:spacing w:before="0" w:after="283"/>
              <w:jc w:val="left"/>
              <w:rPr/>
            </w:pPr>
            <w:r>
              <w:rPr/>
              <w:t> </w:t>
            </w:r>
          </w:p>
        </w:tc>
        <w:tc>
          <w:tcPr>
            <w:tcW w:w="104" w:type="dxa"/>
            <w:tcBorders>
              <w:bottom w:val="single" w:sz="6" w:space="0" w:color="7F7F7F"/>
            </w:tcBorders>
            <w:tcMar>
              <w:bottom w:w="40" w:type="dxa"/>
            </w:tcMar>
            <w:vAlign w:val="center"/>
          </w:tcPr>
          <w:p>
            <w:pPr>
              <w:pStyle w:val="TableContents"/>
              <w:bidi w:val="0"/>
              <w:spacing w:before="0" w:after="283"/>
              <w:jc w:val="left"/>
              <w:rPr/>
            </w:pPr>
            <w:r>
              <w:rPr/>
              <w:t> </w:t>
            </w:r>
          </w:p>
        </w:tc>
        <w:tc>
          <w:tcPr>
            <w:tcW w:w="1186" w:type="dxa"/>
            <w:tcBorders>
              <w:bottom w:val="single" w:sz="6" w:space="0" w:color="7F7F7F"/>
            </w:tcBorders>
            <w:tcMar>
              <w:bottom w:w="40" w:type="dxa"/>
            </w:tcMar>
            <w:vAlign w:val="center"/>
          </w:tcPr>
          <w:p>
            <w:pPr>
              <w:pStyle w:val="TableContents"/>
              <w:bidi w:val="0"/>
              <w:spacing w:before="0" w:after="283"/>
              <w:jc w:val="right"/>
              <w:rPr/>
            </w:pPr>
            <w:r>
              <w:rPr/>
              <w:t>2,349</w:t>
            </w:r>
          </w:p>
        </w:tc>
        <w:tc>
          <w:tcPr>
            <w:tcW w:w="102"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07" w:type="dxa"/>
            <w:tcBorders>
              <w:bottom w:val="single" w:sz="6" w:space="0" w:color="7F7F7F"/>
            </w:tcBorders>
            <w:tcMar>
              <w:bottom w:w="28" w:type="dxa"/>
            </w:tcMar>
            <w:vAlign w:val="center"/>
          </w:tcPr>
          <w:p>
            <w:pPr>
              <w:pStyle w:val="TableContents"/>
              <w:bidi w:val="0"/>
              <w:spacing w:before="0" w:after="283"/>
              <w:jc w:val="left"/>
              <w:rPr/>
            </w:pPr>
            <w:r>
              <w:rPr/>
              <w:t>  </w:t>
            </w:r>
          </w:p>
        </w:tc>
        <w:tc>
          <w:tcPr>
            <w:tcW w:w="106" w:type="dxa"/>
            <w:tcBorders>
              <w:bottom w:val="single" w:sz="6" w:space="0" w:color="7F7F7F"/>
            </w:tcBorders>
            <w:tcMar>
              <w:bottom w:w="28" w:type="dxa"/>
            </w:tcMar>
            <w:vAlign w:val="center"/>
          </w:tcPr>
          <w:p>
            <w:pPr>
              <w:pStyle w:val="TableContents"/>
              <w:bidi w:val="0"/>
              <w:spacing w:before="0" w:after="283"/>
              <w:jc w:val="left"/>
              <w:rPr/>
            </w:pPr>
            <w:r>
              <w:rPr/>
              <w:t> </w:t>
            </w:r>
          </w:p>
        </w:tc>
        <w:tc>
          <w:tcPr>
            <w:tcW w:w="106" w:type="dxa"/>
            <w:tcBorders>
              <w:bottom w:val="single" w:sz="6" w:space="0" w:color="7F7F7F"/>
            </w:tcBorders>
            <w:tcMar>
              <w:bottom w:w="40" w:type="dxa"/>
            </w:tcMar>
            <w:vAlign w:val="center"/>
          </w:tcPr>
          <w:p>
            <w:pPr>
              <w:pStyle w:val="TableContents"/>
              <w:bidi w:val="0"/>
              <w:spacing w:before="0" w:after="283"/>
              <w:jc w:val="left"/>
              <w:rPr/>
            </w:pPr>
            <w:r>
              <w:rPr/>
              <w:t> </w:t>
            </w:r>
          </w:p>
        </w:tc>
        <w:tc>
          <w:tcPr>
            <w:tcW w:w="1212" w:type="dxa"/>
            <w:tcBorders>
              <w:bottom w:val="single" w:sz="6" w:space="0" w:color="7F7F7F"/>
            </w:tcBorders>
            <w:tcMar>
              <w:bottom w:w="40" w:type="dxa"/>
            </w:tcMar>
            <w:vAlign w:val="center"/>
          </w:tcPr>
          <w:p>
            <w:pPr>
              <w:pStyle w:val="TableContents"/>
              <w:bidi w:val="0"/>
              <w:spacing w:before="0" w:after="283"/>
              <w:jc w:val="right"/>
              <w:rPr/>
            </w:pPr>
            <w:r>
              <w:rPr/>
              <w:t>1,175</w:t>
            </w:r>
          </w:p>
        </w:tc>
        <w:tc>
          <w:tcPr>
            <w:tcW w:w="11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40" w:type="dxa"/>
            </w:tcMar>
            <w:vAlign w:val="center"/>
          </w:tcPr>
          <w:p>
            <w:pPr>
              <w:pStyle w:val="TableContents"/>
              <w:bidi w:val="0"/>
              <w:spacing w:before="0" w:after="283"/>
              <w:jc w:val="left"/>
              <w:rPr/>
            </w:pPr>
            <w:r>
              <w:rPr/>
              <w:t> </w:t>
            </w:r>
          </w:p>
        </w:tc>
        <w:tc>
          <w:tcPr>
            <w:tcW w:w="1242" w:type="dxa"/>
            <w:tcBorders>
              <w:bottom w:val="single" w:sz="6" w:space="0" w:color="7F7F7F"/>
            </w:tcBorders>
            <w:tcMar>
              <w:bottom w:w="40" w:type="dxa"/>
            </w:tcMar>
            <w:vAlign w:val="center"/>
          </w:tcPr>
          <w:p>
            <w:pPr>
              <w:pStyle w:val="TableContents"/>
              <w:bidi w:val="0"/>
              <w:spacing w:before="0" w:after="283"/>
              <w:jc w:val="right"/>
              <w:rPr/>
            </w:pPr>
            <w:r>
              <w:rPr/>
              <w:t>2,520</w:t>
            </w:r>
          </w:p>
        </w:tc>
        <w:tc>
          <w:tcPr>
            <w:tcW w:w="14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1622" w:type="dxa"/>
            <w:tcBorders/>
            <w:vAlign w:val="center"/>
          </w:tcPr>
          <w:p>
            <w:pPr>
              <w:pStyle w:val="TableContents"/>
              <w:bidi w:val="0"/>
              <w:spacing w:before="0" w:after="283"/>
              <w:jc w:val="left"/>
              <w:rPr>
                <w:sz w:val="4"/>
                <w:szCs w:val="4"/>
              </w:rPr>
            </w:pPr>
            <w:r>
              <w:rPr>
                <w:sz w:val="4"/>
                <w:szCs w:val="4"/>
              </w:rPr>
            </w:r>
          </w:p>
        </w:tc>
        <w:tc>
          <w:tcPr>
            <w:tcW w:w="1760" w:type="dxa"/>
            <w:gridSpan w:val="5"/>
            <w:tcBorders/>
            <w:vAlign w:val="center"/>
          </w:tcPr>
          <w:p>
            <w:pPr>
              <w:pStyle w:val="TableContents"/>
              <w:bidi w:val="0"/>
              <w:spacing w:before="0" w:after="283"/>
              <w:jc w:val="left"/>
              <w:rPr>
                <w:sz w:val="4"/>
                <w:szCs w:val="4"/>
              </w:rPr>
            </w:pPr>
            <w:r>
              <w:rPr>
                <w:sz w:val="4"/>
                <w:szCs w:val="4"/>
              </w:rPr>
            </w:r>
          </w:p>
        </w:tc>
        <w:tc>
          <w:tcPr>
            <w:tcW w:w="1742" w:type="dxa"/>
            <w:gridSpan w:val="5"/>
            <w:tcBorders/>
            <w:vAlign w:val="center"/>
          </w:tcPr>
          <w:p>
            <w:pPr>
              <w:pStyle w:val="TableContents"/>
              <w:bidi w:val="0"/>
              <w:spacing w:before="0" w:after="283"/>
              <w:jc w:val="left"/>
              <w:rPr>
                <w:sz w:val="4"/>
                <w:szCs w:val="4"/>
              </w:rPr>
            </w:pPr>
            <w:r>
              <w:rPr>
                <w:sz w:val="4"/>
                <w:szCs w:val="4"/>
              </w:rPr>
            </w:r>
          </w:p>
        </w:tc>
        <w:tc>
          <w:tcPr>
            <w:tcW w:w="1616" w:type="dxa"/>
            <w:gridSpan w:val="5"/>
            <w:tcBorders/>
            <w:vAlign w:val="center"/>
          </w:tcPr>
          <w:p>
            <w:pPr>
              <w:pStyle w:val="TableContents"/>
              <w:bidi w:val="0"/>
              <w:spacing w:before="0" w:after="283"/>
              <w:jc w:val="left"/>
              <w:rPr>
                <w:sz w:val="4"/>
                <w:szCs w:val="4"/>
              </w:rPr>
            </w:pPr>
            <w:r>
              <w:rPr>
                <w:sz w:val="4"/>
                <w:szCs w:val="4"/>
              </w:rPr>
            </w:r>
          </w:p>
        </w:tc>
        <w:tc>
          <w:tcPr>
            <w:tcW w:w="1742"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r>
      <w:tr>
        <w:trPr/>
        <w:tc>
          <w:tcPr>
            <w:tcW w:w="1622"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Vanessa P. Williams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13" w:type="dxa"/>
            <w:tcBorders>
              <w:bottom w:val="single" w:sz="6" w:space="0" w:color="7F7F7F"/>
            </w:tcBorders>
            <w:tcMar>
              <w:bottom w:w="28" w:type="dxa"/>
            </w:tcMar>
            <w:vAlign w:val="center"/>
          </w:tcPr>
          <w:p>
            <w:pPr>
              <w:pStyle w:val="TableContents"/>
              <w:bidi w:val="0"/>
              <w:spacing w:before="0" w:after="283"/>
              <w:jc w:val="left"/>
              <w:rPr/>
            </w:pPr>
            <w:r>
              <w:rPr/>
              <w:t> </w:t>
            </w:r>
          </w:p>
        </w:tc>
        <w:tc>
          <w:tcPr>
            <w:tcW w:w="113" w:type="dxa"/>
            <w:tcBorders>
              <w:bottom w:val="single" w:sz="6" w:space="0" w:color="7F7F7F"/>
            </w:tcBorders>
            <w:tcMar>
              <w:bottom w:w="40" w:type="dxa"/>
            </w:tcMar>
            <w:vAlign w:val="center"/>
          </w:tcPr>
          <w:p>
            <w:pPr>
              <w:pStyle w:val="TableContents"/>
              <w:bidi w:val="0"/>
              <w:spacing w:before="0" w:after="283"/>
              <w:jc w:val="left"/>
              <w:rPr/>
            </w:pPr>
            <w:r>
              <w:rPr/>
              <w:t> </w:t>
            </w:r>
          </w:p>
        </w:tc>
        <w:tc>
          <w:tcPr>
            <w:tcW w:w="1298" w:type="dxa"/>
            <w:tcBorders>
              <w:bottom w:val="single" w:sz="6" w:space="0" w:color="7F7F7F"/>
            </w:tcBorders>
            <w:tcMar>
              <w:bottom w:w="40" w:type="dxa"/>
            </w:tcMar>
            <w:vAlign w:val="center"/>
          </w:tcPr>
          <w:p>
            <w:pPr>
              <w:pStyle w:val="TableContents"/>
              <w:bidi w:val="0"/>
              <w:spacing w:before="0" w:after="283"/>
              <w:jc w:val="right"/>
              <w:rPr/>
            </w:pPr>
            <w:r>
              <w:rPr/>
              <w:t>4,836</w:t>
            </w:r>
          </w:p>
        </w:tc>
        <w:tc>
          <w:tcPr>
            <w:tcW w:w="116"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07" w:type="dxa"/>
            <w:tcBorders>
              <w:bottom w:val="single" w:sz="6" w:space="0" w:color="7F7F7F"/>
            </w:tcBorders>
            <w:tcMar>
              <w:bottom w:w="28" w:type="dxa"/>
            </w:tcMar>
            <w:vAlign w:val="center"/>
          </w:tcPr>
          <w:p>
            <w:pPr>
              <w:pStyle w:val="TableContents"/>
              <w:bidi w:val="0"/>
              <w:spacing w:before="0" w:after="283"/>
              <w:jc w:val="left"/>
              <w:rPr/>
            </w:pPr>
            <w:r>
              <w:rPr/>
              <w:t>  </w:t>
            </w:r>
          </w:p>
        </w:tc>
        <w:tc>
          <w:tcPr>
            <w:tcW w:w="106" w:type="dxa"/>
            <w:tcBorders>
              <w:bottom w:val="single" w:sz="6" w:space="0" w:color="7F7F7F"/>
            </w:tcBorders>
            <w:tcMar>
              <w:bottom w:w="28" w:type="dxa"/>
            </w:tcMar>
            <w:vAlign w:val="center"/>
          </w:tcPr>
          <w:p>
            <w:pPr>
              <w:pStyle w:val="TableContents"/>
              <w:bidi w:val="0"/>
              <w:spacing w:before="0" w:after="283"/>
              <w:jc w:val="left"/>
              <w:rPr/>
            </w:pPr>
            <w:r>
              <w:rPr/>
              <w:t> </w:t>
            </w:r>
          </w:p>
        </w:tc>
        <w:tc>
          <w:tcPr>
            <w:tcW w:w="106" w:type="dxa"/>
            <w:tcBorders>
              <w:bottom w:val="single" w:sz="6" w:space="0" w:color="7F7F7F"/>
            </w:tcBorders>
            <w:tcMar>
              <w:bottom w:w="40" w:type="dxa"/>
            </w:tcMar>
            <w:vAlign w:val="center"/>
          </w:tcPr>
          <w:p>
            <w:pPr>
              <w:pStyle w:val="TableContents"/>
              <w:bidi w:val="0"/>
              <w:spacing w:before="0" w:after="283"/>
              <w:jc w:val="left"/>
              <w:rPr/>
            </w:pPr>
            <w:r>
              <w:rPr/>
              <w:t> </w:t>
            </w:r>
          </w:p>
        </w:tc>
        <w:tc>
          <w:tcPr>
            <w:tcW w:w="1212" w:type="dxa"/>
            <w:tcBorders>
              <w:bottom w:val="single" w:sz="6" w:space="0" w:color="7F7F7F"/>
            </w:tcBorders>
            <w:tcMar>
              <w:bottom w:w="40" w:type="dxa"/>
            </w:tcMar>
            <w:vAlign w:val="center"/>
          </w:tcPr>
          <w:p>
            <w:pPr>
              <w:pStyle w:val="TableContents"/>
              <w:bidi w:val="0"/>
              <w:spacing w:before="0" w:after="283"/>
              <w:jc w:val="right"/>
              <w:rPr/>
            </w:pPr>
            <w:r>
              <w:rPr/>
              <w:t>2,770</w:t>
            </w:r>
          </w:p>
        </w:tc>
        <w:tc>
          <w:tcPr>
            <w:tcW w:w="11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4" w:type="dxa"/>
            <w:tcBorders>
              <w:bottom w:val="single" w:sz="6" w:space="0" w:color="7F7F7F"/>
            </w:tcBorders>
            <w:tcMar>
              <w:bottom w:w="28" w:type="dxa"/>
            </w:tcMar>
            <w:vAlign w:val="center"/>
          </w:tcPr>
          <w:p>
            <w:pPr>
              <w:pStyle w:val="TableContents"/>
              <w:bidi w:val="0"/>
              <w:spacing w:before="0" w:after="283"/>
              <w:jc w:val="left"/>
              <w:rPr/>
            </w:pPr>
            <w:r>
              <w:rPr/>
              <w:t> </w:t>
            </w:r>
          </w:p>
        </w:tc>
        <w:tc>
          <w:tcPr>
            <w:tcW w:w="104" w:type="dxa"/>
            <w:tcBorders>
              <w:bottom w:val="single" w:sz="6" w:space="0" w:color="7F7F7F"/>
            </w:tcBorders>
            <w:tcMar>
              <w:bottom w:w="40" w:type="dxa"/>
            </w:tcMar>
            <w:vAlign w:val="center"/>
          </w:tcPr>
          <w:p>
            <w:pPr>
              <w:pStyle w:val="TableContents"/>
              <w:bidi w:val="0"/>
              <w:spacing w:before="0" w:after="283"/>
              <w:jc w:val="left"/>
              <w:rPr/>
            </w:pPr>
            <w:r>
              <w:rPr/>
              <w:t> </w:t>
            </w:r>
          </w:p>
        </w:tc>
        <w:tc>
          <w:tcPr>
            <w:tcW w:w="1186" w:type="dxa"/>
            <w:tcBorders>
              <w:bottom w:val="single" w:sz="6" w:space="0" w:color="7F7F7F"/>
            </w:tcBorders>
            <w:tcMar>
              <w:bottom w:w="40" w:type="dxa"/>
            </w:tcMar>
            <w:vAlign w:val="center"/>
          </w:tcPr>
          <w:p>
            <w:pPr>
              <w:pStyle w:val="TableContents"/>
              <w:bidi w:val="0"/>
              <w:spacing w:before="0" w:after="283"/>
              <w:jc w:val="right"/>
              <w:rPr/>
            </w:pPr>
            <w:r>
              <w:rPr/>
              <w:t>4,836</w:t>
            </w:r>
          </w:p>
        </w:tc>
        <w:tc>
          <w:tcPr>
            <w:tcW w:w="102"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07" w:type="dxa"/>
            <w:tcBorders>
              <w:bottom w:val="single" w:sz="6" w:space="0" w:color="7F7F7F"/>
            </w:tcBorders>
            <w:tcMar>
              <w:bottom w:w="28" w:type="dxa"/>
            </w:tcMar>
            <w:vAlign w:val="center"/>
          </w:tcPr>
          <w:p>
            <w:pPr>
              <w:pStyle w:val="TableContents"/>
              <w:bidi w:val="0"/>
              <w:spacing w:before="0" w:after="283"/>
              <w:jc w:val="left"/>
              <w:rPr/>
            </w:pPr>
            <w:r>
              <w:rPr/>
              <w:t>  </w:t>
            </w:r>
          </w:p>
        </w:tc>
        <w:tc>
          <w:tcPr>
            <w:tcW w:w="106" w:type="dxa"/>
            <w:tcBorders>
              <w:bottom w:val="single" w:sz="6" w:space="0" w:color="7F7F7F"/>
            </w:tcBorders>
            <w:tcMar>
              <w:bottom w:w="28" w:type="dxa"/>
            </w:tcMar>
            <w:vAlign w:val="center"/>
          </w:tcPr>
          <w:p>
            <w:pPr>
              <w:pStyle w:val="TableContents"/>
              <w:bidi w:val="0"/>
              <w:spacing w:before="0" w:after="283"/>
              <w:jc w:val="left"/>
              <w:rPr/>
            </w:pPr>
            <w:r>
              <w:rPr/>
              <w:t> </w:t>
            </w:r>
          </w:p>
        </w:tc>
        <w:tc>
          <w:tcPr>
            <w:tcW w:w="106" w:type="dxa"/>
            <w:tcBorders>
              <w:bottom w:val="single" w:sz="6" w:space="0" w:color="7F7F7F"/>
            </w:tcBorders>
            <w:tcMar>
              <w:bottom w:w="40" w:type="dxa"/>
            </w:tcMar>
            <w:vAlign w:val="center"/>
          </w:tcPr>
          <w:p>
            <w:pPr>
              <w:pStyle w:val="TableContents"/>
              <w:bidi w:val="0"/>
              <w:spacing w:before="0" w:after="283"/>
              <w:jc w:val="left"/>
              <w:rPr/>
            </w:pPr>
            <w:r>
              <w:rPr/>
              <w:t> </w:t>
            </w:r>
          </w:p>
        </w:tc>
        <w:tc>
          <w:tcPr>
            <w:tcW w:w="1212" w:type="dxa"/>
            <w:tcBorders>
              <w:bottom w:val="single" w:sz="6" w:space="0" w:color="7F7F7F"/>
            </w:tcBorders>
            <w:tcMar>
              <w:bottom w:w="40" w:type="dxa"/>
            </w:tcMar>
            <w:vAlign w:val="center"/>
          </w:tcPr>
          <w:p>
            <w:pPr>
              <w:pStyle w:val="TableContents"/>
              <w:bidi w:val="0"/>
              <w:spacing w:before="0" w:after="283"/>
              <w:jc w:val="right"/>
              <w:rPr/>
            </w:pPr>
            <w:r>
              <w:rPr/>
              <w:t>2,418</w:t>
            </w:r>
          </w:p>
        </w:tc>
        <w:tc>
          <w:tcPr>
            <w:tcW w:w="11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40" w:type="dxa"/>
            </w:tcMar>
            <w:vAlign w:val="center"/>
          </w:tcPr>
          <w:p>
            <w:pPr>
              <w:pStyle w:val="TableContents"/>
              <w:bidi w:val="0"/>
              <w:spacing w:before="0" w:after="283"/>
              <w:jc w:val="left"/>
              <w:rPr/>
            </w:pPr>
            <w:r>
              <w:rPr/>
              <w:t> </w:t>
            </w:r>
          </w:p>
        </w:tc>
        <w:tc>
          <w:tcPr>
            <w:tcW w:w="1242" w:type="dxa"/>
            <w:tcBorders>
              <w:bottom w:val="single" w:sz="6" w:space="0" w:color="7F7F7F"/>
            </w:tcBorders>
            <w:tcMar>
              <w:bottom w:w="40" w:type="dxa"/>
            </w:tcMar>
            <w:vAlign w:val="center"/>
          </w:tcPr>
          <w:p>
            <w:pPr>
              <w:pStyle w:val="TableContents"/>
              <w:bidi w:val="0"/>
              <w:spacing w:before="0" w:after="283"/>
              <w:jc w:val="right"/>
              <w:rPr/>
            </w:pPr>
            <w:r>
              <w:rPr/>
              <w:t>5,188</w:t>
            </w:r>
          </w:p>
        </w:tc>
        <w:tc>
          <w:tcPr>
            <w:tcW w:w="14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1622" w:type="dxa"/>
            <w:tcBorders/>
            <w:vAlign w:val="center"/>
          </w:tcPr>
          <w:p>
            <w:pPr>
              <w:pStyle w:val="TableContents"/>
              <w:bidi w:val="0"/>
              <w:spacing w:before="0" w:after="283"/>
              <w:jc w:val="left"/>
              <w:rPr>
                <w:sz w:val="4"/>
                <w:szCs w:val="4"/>
              </w:rPr>
            </w:pPr>
            <w:r>
              <w:rPr>
                <w:sz w:val="4"/>
                <w:szCs w:val="4"/>
              </w:rPr>
            </w:r>
          </w:p>
        </w:tc>
        <w:tc>
          <w:tcPr>
            <w:tcW w:w="1760" w:type="dxa"/>
            <w:gridSpan w:val="5"/>
            <w:tcBorders/>
            <w:vAlign w:val="center"/>
          </w:tcPr>
          <w:p>
            <w:pPr>
              <w:pStyle w:val="TableContents"/>
              <w:bidi w:val="0"/>
              <w:spacing w:before="0" w:after="283"/>
              <w:jc w:val="left"/>
              <w:rPr>
                <w:sz w:val="4"/>
                <w:szCs w:val="4"/>
              </w:rPr>
            </w:pPr>
            <w:r>
              <w:rPr>
                <w:sz w:val="4"/>
                <w:szCs w:val="4"/>
              </w:rPr>
            </w:r>
          </w:p>
        </w:tc>
        <w:tc>
          <w:tcPr>
            <w:tcW w:w="1742" w:type="dxa"/>
            <w:gridSpan w:val="5"/>
            <w:tcBorders/>
            <w:vAlign w:val="center"/>
          </w:tcPr>
          <w:p>
            <w:pPr>
              <w:pStyle w:val="TableContents"/>
              <w:bidi w:val="0"/>
              <w:spacing w:before="0" w:after="283"/>
              <w:jc w:val="left"/>
              <w:rPr>
                <w:sz w:val="4"/>
                <w:szCs w:val="4"/>
              </w:rPr>
            </w:pPr>
            <w:r>
              <w:rPr>
                <w:sz w:val="4"/>
                <w:szCs w:val="4"/>
              </w:rPr>
            </w:r>
          </w:p>
        </w:tc>
        <w:tc>
          <w:tcPr>
            <w:tcW w:w="1616" w:type="dxa"/>
            <w:gridSpan w:val="5"/>
            <w:tcBorders/>
            <w:vAlign w:val="center"/>
          </w:tcPr>
          <w:p>
            <w:pPr>
              <w:pStyle w:val="TableContents"/>
              <w:bidi w:val="0"/>
              <w:spacing w:before="0" w:after="283"/>
              <w:jc w:val="left"/>
              <w:rPr>
                <w:sz w:val="4"/>
                <w:szCs w:val="4"/>
              </w:rPr>
            </w:pPr>
            <w:r>
              <w:rPr>
                <w:sz w:val="4"/>
                <w:szCs w:val="4"/>
              </w:rPr>
            </w:r>
          </w:p>
        </w:tc>
        <w:tc>
          <w:tcPr>
            <w:tcW w:w="1742"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r>
      <w:tr>
        <w:trPr/>
        <w:tc>
          <w:tcPr>
            <w:tcW w:w="1622"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Nicola M. Soares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13" w:type="dxa"/>
            <w:tcBorders>
              <w:bottom w:val="single" w:sz="6" w:space="0" w:color="7F7F7F"/>
            </w:tcBorders>
            <w:tcMar>
              <w:bottom w:w="28" w:type="dxa"/>
            </w:tcMar>
            <w:vAlign w:val="center"/>
          </w:tcPr>
          <w:p>
            <w:pPr>
              <w:pStyle w:val="TableContents"/>
              <w:bidi w:val="0"/>
              <w:spacing w:before="0" w:after="283"/>
              <w:jc w:val="left"/>
              <w:rPr/>
            </w:pPr>
            <w:r>
              <w:rPr/>
              <w:t> </w:t>
            </w:r>
          </w:p>
        </w:tc>
        <w:tc>
          <w:tcPr>
            <w:tcW w:w="113" w:type="dxa"/>
            <w:tcBorders>
              <w:bottom w:val="single" w:sz="6" w:space="0" w:color="7F7F7F"/>
            </w:tcBorders>
            <w:tcMar>
              <w:bottom w:w="40" w:type="dxa"/>
            </w:tcMar>
            <w:vAlign w:val="center"/>
          </w:tcPr>
          <w:p>
            <w:pPr>
              <w:pStyle w:val="TableContents"/>
              <w:bidi w:val="0"/>
              <w:spacing w:before="0" w:after="283"/>
              <w:jc w:val="left"/>
              <w:rPr/>
            </w:pPr>
            <w:r>
              <w:rPr/>
              <w:t> </w:t>
            </w:r>
          </w:p>
        </w:tc>
        <w:tc>
          <w:tcPr>
            <w:tcW w:w="1298" w:type="dxa"/>
            <w:tcBorders>
              <w:bottom w:val="single" w:sz="6" w:space="0" w:color="7F7F7F"/>
            </w:tcBorders>
            <w:tcMar>
              <w:bottom w:w="40" w:type="dxa"/>
            </w:tcMar>
            <w:vAlign w:val="center"/>
          </w:tcPr>
          <w:p>
            <w:pPr>
              <w:pStyle w:val="TableContents"/>
              <w:bidi w:val="0"/>
              <w:spacing w:before="0" w:after="283"/>
              <w:jc w:val="right"/>
              <w:rPr/>
            </w:pPr>
            <w:r>
              <w:rPr/>
              <w:t>2,288</w:t>
            </w:r>
          </w:p>
        </w:tc>
        <w:tc>
          <w:tcPr>
            <w:tcW w:w="116"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07" w:type="dxa"/>
            <w:tcBorders>
              <w:bottom w:val="single" w:sz="6" w:space="0" w:color="7F7F7F"/>
            </w:tcBorders>
            <w:tcMar>
              <w:bottom w:w="28" w:type="dxa"/>
            </w:tcMar>
            <w:vAlign w:val="center"/>
          </w:tcPr>
          <w:p>
            <w:pPr>
              <w:pStyle w:val="TableContents"/>
              <w:bidi w:val="0"/>
              <w:spacing w:before="0" w:after="283"/>
              <w:jc w:val="left"/>
              <w:rPr/>
            </w:pPr>
            <w:r>
              <w:rPr/>
              <w:t>  </w:t>
            </w:r>
          </w:p>
        </w:tc>
        <w:tc>
          <w:tcPr>
            <w:tcW w:w="106" w:type="dxa"/>
            <w:tcBorders>
              <w:bottom w:val="single" w:sz="6" w:space="0" w:color="7F7F7F"/>
            </w:tcBorders>
            <w:tcMar>
              <w:bottom w:w="28" w:type="dxa"/>
            </w:tcMar>
            <w:vAlign w:val="center"/>
          </w:tcPr>
          <w:p>
            <w:pPr>
              <w:pStyle w:val="TableContents"/>
              <w:bidi w:val="0"/>
              <w:spacing w:before="0" w:after="283"/>
              <w:jc w:val="left"/>
              <w:rPr/>
            </w:pPr>
            <w:r>
              <w:rPr/>
              <w:t> </w:t>
            </w:r>
          </w:p>
        </w:tc>
        <w:tc>
          <w:tcPr>
            <w:tcW w:w="106" w:type="dxa"/>
            <w:tcBorders>
              <w:bottom w:val="single" w:sz="6" w:space="0" w:color="7F7F7F"/>
            </w:tcBorders>
            <w:tcMar>
              <w:bottom w:w="40" w:type="dxa"/>
            </w:tcMar>
            <w:vAlign w:val="center"/>
          </w:tcPr>
          <w:p>
            <w:pPr>
              <w:pStyle w:val="TableContents"/>
              <w:bidi w:val="0"/>
              <w:spacing w:before="0" w:after="283"/>
              <w:jc w:val="left"/>
              <w:rPr/>
            </w:pPr>
            <w:r>
              <w:rPr/>
              <w:t> </w:t>
            </w:r>
          </w:p>
        </w:tc>
        <w:tc>
          <w:tcPr>
            <w:tcW w:w="1212" w:type="dxa"/>
            <w:tcBorders>
              <w:bottom w:val="single" w:sz="6" w:space="0" w:color="7F7F7F"/>
            </w:tcBorders>
            <w:tcMar>
              <w:bottom w:w="40" w:type="dxa"/>
            </w:tcMar>
            <w:vAlign w:val="center"/>
          </w:tcPr>
          <w:p>
            <w:pPr>
              <w:pStyle w:val="TableContents"/>
              <w:bidi w:val="0"/>
              <w:spacing w:before="0" w:after="283"/>
              <w:jc w:val="right"/>
              <w:rPr/>
            </w:pPr>
            <w:r>
              <w:rPr/>
              <w:t>1,310</w:t>
            </w:r>
          </w:p>
        </w:tc>
        <w:tc>
          <w:tcPr>
            <w:tcW w:w="11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4" w:type="dxa"/>
            <w:tcBorders>
              <w:bottom w:val="single" w:sz="6" w:space="0" w:color="7F7F7F"/>
            </w:tcBorders>
            <w:tcMar>
              <w:bottom w:w="28" w:type="dxa"/>
            </w:tcMar>
            <w:vAlign w:val="center"/>
          </w:tcPr>
          <w:p>
            <w:pPr>
              <w:pStyle w:val="TableContents"/>
              <w:bidi w:val="0"/>
              <w:spacing w:before="0" w:after="283"/>
              <w:jc w:val="left"/>
              <w:rPr/>
            </w:pPr>
            <w:r>
              <w:rPr/>
              <w:t> </w:t>
            </w:r>
          </w:p>
        </w:tc>
        <w:tc>
          <w:tcPr>
            <w:tcW w:w="104" w:type="dxa"/>
            <w:tcBorders>
              <w:bottom w:val="single" w:sz="6" w:space="0" w:color="7F7F7F"/>
            </w:tcBorders>
            <w:tcMar>
              <w:bottom w:w="40" w:type="dxa"/>
            </w:tcMar>
            <w:vAlign w:val="center"/>
          </w:tcPr>
          <w:p>
            <w:pPr>
              <w:pStyle w:val="TableContents"/>
              <w:bidi w:val="0"/>
              <w:spacing w:before="0" w:after="283"/>
              <w:jc w:val="left"/>
              <w:rPr/>
            </w:pPr>
            <w:r>
              <w:rPr/>
              <w:t> </w:t>
            </w:r>
          </w:p>
        </w:tc>
        <w:tc>
          <w:tcPr>
            <w:tcW w:w="1186" w:type="dxa"/>
            <w:tcBorders>
              <w:bottom w:val="single" w:sz="6" w:space="0" w:color="7F7F7F"/>
            </w:tcBorders>
            <w:tcMar>
              <w:bottom w:w="40" w:type="dxa"/>
            </w:tcMar>
            <w:vAlign w:val="center"/>
          </w:tcPr>
          <w:p>
            <w:pPr>
              <w:pStyle w:val="TableContents"/>
              <w:bidi w:val="0"/>
              <w:spacing w:before="0" w:after="283"/>
              <w:jc w:val="right"/>
              <w:rPr/>
            </w:pPr>
            <w:r>
              <w:rPr/>
              <w:t>2,288</w:t>
            </w:r>
          </w:p>
        </w:tc>
        <w:tc>
          <w:tcPr>
            <w:tcW w:w="102"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07" w:type="dxa"/>
            <w:tcBorders>
              <w:bottom w:val="single" w:sz="6" w:space="0" w:color="7F7F7F"/>
            </w:tcBorders>
            <w:tcMar>
              <w:bottom w:w="28" w:type="dxa"/>
            </w:tcMar>
            <w:vAlign w:val="center"/>
          </w:tcPr>
          <w:p>
            <w:pPr>
              <w:pStyle w:val="TableContents"/>
              <w:bidi w:val="0"/>
              <w:spacing w:before="0" w:after="283"/>
              <w:jc w:val="left"/>
              <w:rPr/>
            </w:pPr>
            <w:r>
              <w:rPr/>
              <w:t>  </w:t>
            </w:r>
          </w:p>
        </w:tc>
        <w:tc>
          <w:tcPr>
            <w:tcW w:w="106" w:type="dxa"/>
            <w:tcBorders>
              <w:bottom w:val="single" w:sz="6" w:space="0" w:color="7F7F7F"/>
            </w:tcBorders>
            <w:tcMar>
              <w:bottom w:w="28" w:type="dxa"/>
            </w:tcMar>
            <w:vAlign w:val="center"/>
          </w:tcPr>
          <w:p>
            <w:pPr>
              <w:pStyle w:val="TableContents"/>
              <w:bidi w:val="0"/>
              <w:spacing w:before="0" w:after="283"/>
              <w:jc w:val="left"/>
              <w:rPr/>
            </w:pPr>
            <w:r>
              <w:rPr/>
              <w:t> </w:t>
            </w:r>
          </w:p>
        </w:tc>
        <w:tc>
          <w:tcPr>
            <w:tcW w:w="106" w:type="dxa"/>
            <w:tcBorders>
              <w:bottom w:val="single" w:sz="6" w:space="0" w:color="7F7F7F"/>
            </w:tcBorders>
            <w:tcMar>
              <w:bottom w:w="40" w:type="dxa"/>
            </w:tcMar>
            <w:vAlign w:val="center"/>
          </w:tcPr>
          <w:p>
            <w:pPr>
              <w:pStyle w:val="TableContents"/>
              <w:bidi w:val="0"/>
              <w:spacing w:before="0" w:after="283"/>
              <w:jc w:val="left"/>
              <w:rPr/>
            </w:pPr>
            <w:r>
              <w:rPr/>
              <w:t> </w:t>
            </w:r>
          </w:p>
        </w:tc>
        <w:tc>
          <w:tcPr>
            <w:tcW w:w="1212" w:type="dxa"/>
            <w:tcBorders>
              <w:bottom w:val="single" w:sz="6" w:space="0" w:color="7F7F7F"/>
            </w:tcBorders>
            <w:tcMar>
              <w:bottom w:w="40" w:type="dxa"/>
            </w:tcMar>
            <w:vAlign w:val="center"/>
          </w:tcPr>
          <w:p>
            <w:pPr>
              <w:pStyle w:val="TableContents"/>
              <w:bidi w:val="0"/>
              <w:spacing w:before="0" w:after="283"/>
              <w:jc w:val="right"/>
              <w:rPr/>
            </w:pPr>
            <w:r>
              <w:rPr/>
              <w:t>1,144</w:t>
            </w:r>
          </w:p>
        </w:tc>
        <w:tc>
          <w:tcPr>
            <w:tcW w:w="11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40" w:type="dxa"/>
            </w:tcMar>
            <w:vAlign w:val="center"/>
          </w:tcPr>
          <w:p>
            <w:pPr>
              <w:pStyle w:val="TableContents"/>
              <w:bidi w:val="0"/>
              <w:spacing w:before="0" w:after="283"/>
              <w:jc w:val="left"/>
              <w:rPr/>
            </w:pPr>
            <w:r>
              <w:rPr/>
              <w:t> </w:t>
            </w:r>
          </w:p>
        </w:tc>
        <w:tc>
          <w:tcPr>
            <w:tcW w:w="1242" w:type="dxa"/>
            <w:tcBorders>
              <w:bottom w:val="single" w:sz="6" w:space="0" w:color="7F7F7F"/>
            </w:tcBorders>
            <w:tcMar>
              <w:bottom w:w="40" w:type="dxa"/>
            </w:tcMar>
            <w:vAlign w:val="center"/>
          </w:tcPr>
          <w:p>
            <w:pPr>
              <w:pStyle w:val="TableContents"/>
              <w:bidi w:val="0"/>
              <w:spacing w:before="0" w:after="283"/>
              <w:jc w:val="right"/>
              <w:rPr/>
            </w:pPr>
            <w:r>
              <w:rPr/>
              <w:t>2,454</w:t>
            </w:r>
          </w:p>
        </w:tc>
        <w:tc>
          <w:tcPr>
            <w:tcW w:w="14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1622" w:type="dxa"/>
            <w:tcBorders/>
            <w:vAlign w:val="center"/>
          </w:tcPr>
          <w:p>
            <w:pPr>
              <w:pStyle w:val="TableContents"/>
              <w:bidi w:val="0"/>
              <w:spacing w:before="0" w:after="283"/>
              <w:jc w:val="left"/>
              <w:rPr>
                <w:sz w:val="4"/>
                <w:szCs w:val="4"/>
              </w:rPr>
            </w:pPr>
            <w:r>
              <w:rPr>
                <w:sz w:val="4"/>
                <w:szCs w:val="4"/>
              </w:rPr>
            </w:r>
          </w:p>
        </w:tc>
        <w:tc>
          <w:tcPr>
            <w:tcW w:w="1760" w:type="dxa"/>
            <w:gridSpan w:val="5"/>
            <w:tcBorders/>
            <w:vAlign w:val="center"/>
          </w:tcPr>
          <w:p>
            <w:pPr>
              <w:pStyle w:val="TableContents"/>
              <w:bidi w:val="0"/>
              <w:spacing w:before="0" w:after="283"/>
              <w:jc w:val="left"/>
              <w:rPr>
                <w:sz w:val="4"/>
                <w:szCs w:val="4"/>
              </w:rPr>
            </w:pPr>
            <w:r>
              <w:rPr>
                <w:sz w:val="4"/>
                <w:szCs w:val="4"/>
              </w:rPr>
            </w:r>
          </w:p>
        </w:tc>
        <w:tc>
          <w:tcPr>
            <w:tcW w:w="1742" w:type="dxa"/>
            <w:gridSpan w:val="5"/>
            <w:tcBorders/>
            <w:vAlign w:val="center"/>
          </w:tcPr>
          <w:p>
            <w:pPr>
              <w:pStyle w:val="TableContents"/>
              <w:bidi w:val="0"/>
              <w:spacing w:before="0" w:after="283"/>
              <w:jc w:val="left"/>
              <w:rPr>
                <w:sz w:val="4"/>
                <w:szCs w:val="4"/>
              </w:rPr>
            </w:pPr>
            <w:r>
              <w:rPr>
                <w:sz w:val="4"/>
                <w:szCs w:val="4"/>
              </w:rPr>
            </w:r>
          </w:p>
        </w:tc>
        <w:tc>
          <w:tcPr>
            <w:tcW w:w="1616" w:type="dxa"/>
            <w:gridSpan w:val="5"/>
            <w:tcBorders/>
            <w:vAlign w:val="center"/>
          </w:tcPr>
          <w:p>
            <w:pPr>
              <w:pStyle w:val="TableContents"/>
              <w:bidi w:val="0"/>
              <w:spacing w:before="0" w:after="283"/>
              <w:jc w:val="left"/>
              <w:rPr>
                <w:sz w:val="4"/>
                <w:szCs w:val="4"/>
              </w:rPr>
            </w:pPr>
            <w:r>
              <w:rPr>
                <w:sz w:val="4"/>
                <w:szCs w:val="4"/>
              </w:rPr>
            </w:r>
          </w:p>
        </w:tc>
        <w:tc>
          <w:tcPr>
            <w:tcW w:w="1742"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r>
      <w:tr>
        <w:trPr/>
        <w:tc>
          <w:tcPr>
            <w:tcW w:w="1622" w:type="dxa"/>
            <w:tcBorders/>
            <w:vAlign w:val="center"/>
          </w:tcPr>
          <w:p>
            <w:pPr>
              <w:pStyle w:val="TableContents"/>
              <w:bidi w:val="0"/>
              <w:spacing w:before="0" w:after="0"/>
              <w:jc w:val="left"/>
              <w:rPr>
                <w:rFonts w:ascii="arial" w:hAnsi="arial"/>
                <w:b/>
                <w:i/>
                <w:sz w:val="18"/>
                <w:u w:val="single"/>
              </w:rPr>
            </w:pPr>
            <w:r>
              <w:rPr>
                <w:rFonts w:ascii="arial" w:hAnsi="arial"/>
                <w:b/>
                <w:i/>
                <w:sz w:val="18"/>
                <w:u w:val="single"/>
              </w:rPr>
              <w:t>Former Executive</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pPr>
            <w:r>
              <w:rPr/>
              <w:t> </w:t>
            </w:r>
          </w:p>
        </w:tc>
        <w:tc>
          <w:tcPr>
            <w:tcW w:w="1298" w:type="dxa"/>
            <w:tcBorders/>
            <w:vAlign w:val="center"/>
          </w:tcPr>
          <w:p>
            <w:pPr>
              <w:pStyle w:val="TableContents"/>
              <w:bidi w:val="0"/>
              <w:spacing w:before="0" w:after="0"/>
              <w:jc w:val="left"/>
              <w:rPr/>
            </w:pPr>
            <w:r>
              <w:rPr/>
              <w:t> </w:t>
            </w:r>
          </w:p>
        </w:tc>
        <w:tc>
          <w:tcPr>
            <w:tcW w:w="116" w:type="dxa"/>
            <w:tcBorders/>
            <w:vAlign w:val="center"/>
          </w:tcPr>
          <w:p>
            <w:pPr>
              <w:pStyle w:val="TableContents"/>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0"/>
              <w:jc w:val="left"/>
              <w:rPr/>
            </w:pPr>
            <w:r>
              <w:rPr/>
              <w:t> </w:t>
            </w:r>
          </w:p>
        </w:tc>
        <w:tc>
          <w:tcPr>
            <w:tcW w:w="1212" w:type="dxa"/>
            <w:tcBorders/>
            <w:vAlign w:val="center"/>
          </w:tcPr>
          <w:p>
            <w:pPr>
              <w:pStyle w:val="TableContents"/>
              <w:bidi w:val="0"/>
              <w:spacing w:before="0" w:after="0"/>
              <w:jc w:val="left"/>
              <w:rPr/>
            </w:pPr>
            <w:r>
              <w:rPr/>
              <w:t> </w:t>
            </w:r>
          </w:p>
        </w:tc>
        <w:tc>
          <w:tcPr>
            <w:tcW w:w="111"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0"/>
              <w:jc w:val="left"/>
              <w:rPr/>
            </w:pPr>
            <w:r>
              <w:rPr/>
              <w:t> </w:t>
            </w:r>
          </w:p>
        </w:tc>
        <w:tc>
          <w:tcPr>
            <w:tcW w:w="1186" w:type="dxa"/>
            <w:tcBorders/>
            <w:vAlign w:val="center"/>
          </w:tcPr>
          <w:p>
            <w:pPr>
              <w:pStyle w:val="TableContents"/>
              <w:bidi w:val="0"/>
              <w:spacing w:before="0" w:after="0"/>
              <w:jc w:val="left"/>
              <w:rPr/>
            </w:pPr>
            <w:r>
              <w:rPr/>
              <w:t> </w:t>
            </w:r>
          </w:p>
        </w:tc>
        <w:tc>
          <w:tcPr>
            <w:tcW w:w="102" w:type="dxa"/>
            <w:tcBorders/>
            <w:vAlign w:val="center"/>
          </w:tcPr>
          <w:p>
            <w:pPr>
              <w:pStyle w:val="TableContents"/>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0"/>
              <w:jc w:val="left"/>
              <w:rPr/>
            </w:pPr>
            <w:r>
              <w:rPr/>
              <w:t> </w:t>
            </w:r>
          </w:p>
        </w:tc>
        <w:tc>
          <w:tcPr>
            <w:tcW w:w="1212" w:type="dxa"/>
            <w:tcBorders/>
            <w:vAlign w:val="center"/>
          </w:tcPr>
          <w:p>
            <w:pPr>
              <w:pStyle w:val="TableContents"/>
              <w:bidi w:val="0"/>
              <w:spacing w:before="0" w:after="0"/>
              <w:jc w:val="left"/>
              <w:rPr/>
            </w:pPr>
            <w:r>
              <w:rPr/>
              <w:t> </w:t>
            </w:r>
          </w:p>
        </w:tc>
        <w:tc>
          <w:tcPr>
            <w:tcW w:w="111"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r>
      <w:tr>
        <w:trPr/>
        <w:tc>
          <w:tcPr>
            <w:tcW w:w="1622" w:type="dxa"/>
            <w:tcBorders/>
            <w:vAlign w:val="center"/>
          </w:tcPr>
          <w:p>
            <w:pPr>
              <w:pStyle w:val="TableContents"/>
              <w:bidi w:val="0"/>
              <w:spacing w:before="0" w:after="283"/>
              <w:jc w:val="left"/>
              <w:rPr>
                <w:sz w:val="4"/>
                <w:szCs w:val="4"/>
              </w:rPr>
            </w:pPr>
            <w:r>
              <w:rPr>
                <w:sz w:val="4"/>
                <w:szCs w:val="4"/>
              </w:rPr>
            </w:r>
          </w:p>
        </w:tc>
        <w:tc>
          <w:tcPr>
            <w:tcW w:w="1760" w:type="dxa"/>
            <w:gridSpan w:val="5"/>
            <w:tcBorders/>
            <w:vAlign w:val="center"/>
          </w:tcPr>
          <w:p>
            <w:pPr>
              <w:pStyle w:val="TableContents"/>
              <w:bidi w:val="0"/>
              <w:spacing w:before="0" w:after="283"/>
              <w:jc w:val="left"/>
              <w:rPr>
                <w:sz w:val="4"/>
                <w:szCs w:val="4"/>
              </w:rPr>
            </w:pPr>
            <w:r>
              <w:rPr>
                <w:sz w:val="4"/>
                <w:szCs w:val="4"/>
              </w:rPr>
            </w:r>
          </w:p>
        </w:tc>
        <w:tc>
          <w:tcPr>
            <w:tcW w:w="1742" w:type="dxa"/>
            <w:gridSpan w:val="5"/>
            <w:tcBorders/>
            <w:vAlign w:val="center"/>
          </w:tcPr>
          <w:p>
            <w:pPr>
              <w:pStyle w:val="TableContents"/>
              <w:bidi w:val="0"/>
              <w:spacing w:before="0" w:after="283"/>
              <w:jc w:val="left"/>
              <w:rPr>
                <w:sz w:val="4"/>
                <w:szCs w:val="4"/>
              </w:rPr>
            </w:pPr>
            <w:r>
              <w:rPr>
                <w:sz w:val="4"/>
                <w:szCs w:val="4"/>
              </w:rPr>
            </w:r>
          </w:p>
        </w:tc>
        <w:tc>
          <w:tcPr>
            <w:tcW w:w="1616" w:type="dxa"/>
            <w:gridSpan w:val="5"/>
            <w:tcBorders/>
            <w:vAlign w:val="center"/>
          </w:tcPr>
          <w:p>
            <w:pPr>
              <w:pStyle w:val="TableContents"/>
              <w:bidi w:val="0"/>
              <w:spacing w:before="0" w:after="283"/>
              <w:jc w:val="left"/>
              <w:rPr>
                <w:sz w:val="4"/>
                <w:szCs w:val="4"/>
              </w:rPr>
            </w:pPr>
            <w:r>
              <w:rPr>
                <w:sz w:val="4"/>
                <w:szCs w:val="4"/>
              </w:rPr>
            </w:r>
          </w:p>
        </w:tc>
        <w:tc>
          <w:tcPr>
            <w:tcW w:w="1742"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r>
      <w:tr>
        <w:trPr/>
        <w:tc>
          <w:tcPr>
            <w:tcW w:w="1622"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Peter W. Quigley</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13" w:type="dxa"/>
            <w:tcBorders>
              <w:bottom w:val="single" w:sz="6" w:space="0" w:color="7F7F7F"/>
            </w:tcBorders>
            <w:tcMar>
              <w:bottom w:w="28" w:type="dxa"/>
            </w:tcMar>
            <w:vAlign w:val="center"/>
          </w:tcPr>
          <w:p>
            <w:pPr>
              <w:pStyle w:val="TableContents"/>
              <w:bidi w:val="0"/>
              <w:spacing w:before="0" w:after="283"/>
              <w:jc w:val="left"/>
              <w:rPr/>
            </w:pPr>
            <w:r>
              <w:rPr/>
              <w:t> </w:t>
            </w:r>
          </w:p>
        </w:tc>
        <w:tc>
          <w:tcPr>
            <w:tcW w:w="113" w:type="dxa"/>
            <w:tcBorders>
              <w:bottom w:val="single" w:sz="6" w:space="0" w:color="7F7F7F"/>
            </w:tcBorders>
            <w:tcMar>
              <w:bottom w:w="40" w:type="dxa"/>
            </w:tcMar>
            <w:vAlign w:val="center"/>
          </w:tcPr>
          <w:p>
            <w:pPr>
              <w:pStyle w:val="TableContents"/>
              <w:bidi w:val="0"/>
              <w:spacing w:before="0" w:after="283"/>
              <w:jc w:val="left"/>
              <w:rPr/>
            </w:pPr>
            <w:r>
              <w:rPr/>
              <w:t> </w:t>
            </w:r>
          </w:p>
        </w:tc>
        <w:tc>
          <w:tcPr>
            <w:tcW w:w="1298" w:type="dxa"/>
            <w:tcBorders>
              <w:bottom w:val="single" w:sz="6" w:space="0" w:color="7F7F7F"/>
            </w:tcBorders>
            <w:tcMar>
              <w:bottom w:w="40" w:type="dxa"/>
            </w:tcMar>
            <w:vAlign w:val="center"/>
          </w:tcPr>
          <w:p>
            <w:pPr>
              <w:pStyle w:val="TableContents"/>
              <w:bidi w:val="0"/>
              <w:spacing w:before="0" w:after="283"/>
              <w:jc w:val="right"/>
              <w:rPr/>
            </w:pPr>
            <w:r>
              <w:rPr/>
              <w:t>22,670</w:t>
            </w:r>
          </w:p>
        </w:tc>
        <w:tc>
          <w:tcPr>
            <w:tcW w:w="116"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07" w:type="dxa"/>
            <w:tcBorders>
              <w:bottom w:val="single" w:sz="6" w:space="0" w:color="7F7F7F"/>
            </w:tcBorders>
            <w:tcMar>
              <w:bottom w:w="28" w:type="dxa"/>
            </w:tcMar>
            <w:vAlign w:val="center"/>
          </w:tcPr>
          <w:p>
            <w:pPr>
              <w:pStyle w:val="TableContents"/>
              <w:bidi w:val="0"/>
              <w:spacing w:before="0" w:after="283"/>
              <w:jc w:val="left"/>
              <w:rPr/>
            </w:pPr>
            <w:r>
              <w:rPr/>
              <w:t>  </w:t>
            </w:r>
          </w:p>
        </w:tc>
        <w:tc>
          <w:tcPr>
            <w:tcW w:w="106" w:type="dxa"/>
            <w:tcBorders>
              <w:bottom w:val="single" w:sz="6" w:space="0" w:color="7F7F7F"/>
            </w:tcBorders>
            <w:tcMar>
              <w:bottom w:w="28" w:type="dxa"/>
            </w:tcMar>
            <w:vAlign w:val="center"/>
          </w:tcPr>
          <w:p>
            <w:pPr>
              <w:pStyle w:val="TableContents"/>
              <w:bidi w:val="0"/>
              <w:spacing w:before="0" w:after="283"/>
              <w:jc w:val="left"/>
              <w:rPr/>
            </w:pPr>
            <w:r>
              <w:rPr/>
              <w:t> </w:t>
            </w:r>
          </w:p>
        </w:tc>
        <w:tc>
          <w:tcPr>
            <w:tcW w:w="106" w:type="dxa"/>
            <w:tcBorders>
              <w:bottom w:val="single" w:sz="6" w:space="0" w:color="7F7F7F"/>
            </w:tcBorders>
            <w:tcMar>
              <w:bottom w:w="40" w:type="dxa"/>
            </w:tcMar>
            <w:vAlign w:val="center"/>
          </w:tcPr>
          <w:p>
            <w:pPr>
              <w:pStyle w:val="TableContents"/>
              <w:bidi w:val="0"/>
              <w:spacing w:before="0" w:after="283"/>
              <w:jc w:val="left"/>
              <w:rPr/>
            </w:pPr>
            <w:r>
              <w:rPr/>
              <w:t> </w:t>
            </w:r>
          </w:p>
        </w:tc>
        <w:tc>
          <w:tcPr>
            <w:tcW w:w="1212" w:type="dxa"/>
            <w:tcBorders>
              <w:bottom w:val="single" w:sz="6" w:space="0" w:color="7F7F7F"/>
            </w:tcBorders>
            <w:tcMar>
              <w:bottom w:w="40" w:type="dxa"/>
            </w:tcMar>
            <w:vAlign w:val="center"/>
          </w:tcPr>
          <w:p>
            <w:pPr>
              <w:pStyle w:val="TableContents"/>
              <w:bidi w:val="0"/>
              <w:spacing w:before="0" w:after="283"/>
              <w:jc w:val="right"/>
              <w:rPr/>
            </w:pPr>
            <w:r>
              <w:rPr/>
              <w:t>12,983</w:t>
            </w:r>
          </w:p>
        </w:tc>
        <w:tc>
          <w:tcPr>
            <w:tcW w:w="11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4" w:type="dxa"/>
            <w:tcBorders>
              <w:bottom w:val="single" w:sz="6" w:space="0" w:color="7F7F7F"/>
            </w:tcBorders>
            <w:tcMar>
              <w:bottom w:w="28" w:type="dxa"/>
            </w:tcMar>
            <w:vAlign w:val="center"/>
          </w:tcPr>
          <w:p>
            <w:pPr>
              <w:pStyle w:val="TableContents"/>
              <w:bidi w:val="0"/>
              <w:spacing w:before="0" w:after="283"/>
              <w:jc w:val="left"/>
              <w:rPr/>
            </w:pPr>
            <w:r>
              <w:rPr/>
              <w:t> </w:t>
            </w:r>
          </w:p>
        </w:tc>
        <w:tc>
          <w:tcPr>
            <w:tcW w:w="104" w:type="dxa"/>
            <w:tcBorders>
              <w:bottom w:val="single" w:sz="6" w:space="0" w:color="7F7F7F"/>
            </w:tcBorders>
            <w:tcMar>
              <w:bottom w:w="40" w:type="dxa"/>
            </w:tcMar>
            <w:vAlign w:val="center"/>
          </w:tcPr>
          <w:p>
            <w:pPr>
              <w:pStyle w:val="TableContents"/>
              <w:bidi w:val="0"/>
              <w:spacing w:before="0" w:after="283"/>
              <w:jc w:val="left"/>
              <w:rPr/>
            </w:pPr>
            <w:r>
              <w:rPr/>
              <w:t> </w:t>
            </w:r>
          </w:p>
        </w:tc>
        <w:tc>
          <w:tcPr>
            <w:tcW w:w="1186" w:type="dxa"/>
            <w:tcBorders>
              <w:bottom w:val="single" w:sz="6" w:space="0" w:color="7F7F7F"/>
            </w:tcBorders>
            <w:tcMar>
              <w:bottom w:w="40" w:type="dxa"/>
            </w:tcMar>
            <w:vAlign w:val="center"/>
          </w:tcPr>
          <w:p>
            <w:pPr>
              <w:pStyle w:val="TableContents"/>
              <w:bidi w:val="0"/>
              <w:spacing w:before="0" w:after="283"/>
              <w:jc w:val="right"/>
              <w:rPr/>
            </w:pPr>
            <w:r>
              <w:rPr/>
              <w:t>22,670</w:t>
            </w:r>
          </w:p>
        </w:tc>
        <w:tc>
          <w:tcPr>
            <w:tcW w:w="102"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07" w:type="dxa"/>
            <w:tcBorders>
              <w:bottom w:val="single" w:sz="6" w:space="0" w:color="7F7F7F"/>
            </w:tcBorders>
            <w:tcMar>
              <w:bottom w:w="28" w:type="dxa"/>
            </w:tcMar>
            <w:vAlign w:val="center"/>
          </w:tcPr>
          <w:p>
            <w:pPr>
              <w:pStyle w:val="TableContents"/>
              <w:bidi w:val="0"/>
              <w:spacing w:before="0" w:after="283"/>
              <w:jc w:val="left"/>
              <w:rPr/>
            </w:pPr>
            <w:r>
              <w:rPr/>
              <w:t>  </w:t>
            </w:r>
          </w:p>
        </w:tc>
        <w:tc>
          <w:tcPr>
            <w:tcW w:w="106" w:type="dxa"/>
            <w:tcBorders>
              <w:bottom w:val="single" w:sz="6" w:space="0" w:color="7F7F7F"/>
            </w:tcBorders>
            <w:tcMar>
              <w:bottom w:w="28" w:type="dxa"/>
            </w:tcMar>
            <w:vAlign w:val="center"/>
          </w:tcPr>
          <w:p>
            <w:pPr>
              <w:pStyle w:val="TableContents"/>
              <w:bidi w:val="0"/>
              <w:spacing w:before="0" w:after="283"/>
              <w:jc w:val="left"/>
              <w:rPr/>
            </w:pPr>
            <w:r>
              <w:rPr/>
              <w:t> </w:t>
            </w:r>
          </w:p>
        </w:tc>
        <w:tc>
          <w:tcPr>
            <w:tcW w:w="106" w:type="dxa"/>
            <w:tcBorders>
              <w:bottom w:val="single" w:sz="6" w:space="0" w:color="7F7F7F"/>
            </w:tcBorders>
            <w:tcMar>
              <w:bottom w:w="40" w:type="dxa"/>
            </w:tcMar>
            <w:vAlign w:val="center"/>
          </w:tcPr>
          <w:p>
            <w:pPr>
              <w:pStyle w:val="TableContents"/>
              <w:bidi w:val="0"/>
              <w:spacing w:before="0" w:after="283"/>
              <w:jc w:val="left"/>
              <w:rPr/>
            </w:pPr>
            <w:r>
              <w:rPr/>
              <w:t> </w:t>
            </w:r>
          </w:p>
        </w:tc>
        <w:tc>
          <w:tcPr>
            <w:tcW w:w="1212" w:type="dxa"/>
            <w:tcBorders>
              <w:bottom w:val="single" w:sz="6" w:space="0" w:color="7F7F7F"/>
            </w:tcBorders>
            <w:tcMar>
              <w:bottom w:w="40" w:type="dxa"/>
            </w:tcMar>
            <w:vAlign w:val="center"/>
          </w:tcPr>
          <w:p>
            <w:pPr>
              <w:pStyle w:val="TableContents"/>
              <w:bidi w:val="0"/>
              <w:spacing w:before="0" w:after="283"/>
              <w:jc w:val="right"/>
              <w:rPr/>
            </w:pPr>
            <w:r>
              <w:rPr/>
              <w:t>11,335</w:t>
            </w:r>
          </w:p>
        </w:tc>
        <w:tc>
          <w:tcPr>
            <w:tcW w:w="11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28" w:type="dxa"/>
            </w:tcMar>
            <w:vAlign w:val="center"/>
          </w:tcPr>
          <w:p>
            <w:pPr>
              <w:pStyle w:val="TableContents"/>
              <w:bidi w:val="0"/>
              <w:spacing w:before="0" w:after="283"/>
              <w:jc w:val="left"/>
              <w:rPr/>
            </w:pPr>
            <w:r>
              <w:rPr/>
              <w:t> </w:t>
            </w:r>
          </w:p>
        </w:tc>
        <w:tc>
          <w:tcPr>
            <w:tcW w:w="109" w:type="dxa"/>
            <w:tcBorders>
              <w:bottom w:val="single" w:sz="6" w:space="0" w:color="7F7F7F"/>
            </w:tcBorders>
            <w:tcMar>
              <w:bottom w:w="40" w:type="dxa"/>
            </w:tcMar>
            <w:vAlign w:val="center"/>
          </w:tcPr>
          <w:p>
            <w:pPr>
              <w:pStyle w:val="TableContents"/>
              <w:bidi w:val="0"/>
              <w:spacing w:before="0" w:after="283"/>
              <w:jc w:val="left"/>
              <w:rPr/>
            </w:pPr>
            <w:r>
              <w:rPr/>
              <w:t> </w:t>
            </w:r>
          </w:p>
        </w:tc>
        <w:tc>
          <w:tcPr>
            <w:tcW w:w="1242" w:type="dxa"/>
            <w:tcBorders>
              <w:bottom w:val="single" w:sz="6" w:space="0" w:color="7F7F7F"/>
            </w:tcBorders>
            <w:tcMar>
              <w:bottom w:w="40" w:type="dxa"/>
            </w:tcMar>
            <w:vAlign w:val="center"/>
          </w:tcPr>
          <w:p>
            <w:pPr>
              <w:pStyle w:val="TableContents"/>
              <w:bidi w:val="0"/>
              <w:spacing w:before="0" w:after="283"/>
              <w:jc w:val="right"/>
              <w:rPr/>
            </w:pPr>
            <w:r>
              <w:rPr/>
              <w:t>24,318</w:t>
            </w:r>
          </w:p>
        </w:tc>
        <w:tc>
          <w:tcPr>
            <w:tcW w:w="14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0"/>
        <w:jc w:val="left"/>
        <w:rPr>
          <w:rFonts w:ascii="arial" w:hAnsi="arial"/>
          <w:sz w:val="18"/>
        </w:rPr>
      </w:pPr>
      <w:r>
        <w:rPr>
          <w:rFonts w:ascii="arial" w:hAnsi="arial"/>
          <w:sz w:val="18"/>
        </w:rPr>
        <w:t xml:space="preserve">Note: Based on the hire date for Mr. Layden, he is not participating in the 2025-2027 LTI award. </w:t>
      </w:r>
    </w:p>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207"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80" descr=""/>
                          <pic:cNvPicPr>
                            <a:picLocks noChangeAspect="1" noChangeArrowheads="1"/>
                          </pic:cNvPicPr>
                        </pic:nvPicPr>
                        <pic:blipFill>
                          <a:blip r:embed="rId192"/>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59</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i/>
          <w:sz w:val="18"/>
          <w:u w:val="single"/>
        </w:rPr>
      </w:pPr>
      <w:r>
        <w:rPr>
          <w:rFonts w:ascii="arial" w:hAnsi="arial"/>
          <w:i/>
          <w:sz w:val="18"/>
          <w:u w:val="single"/>
        </w:rPr>
        <w:t xml:space="preserve">Restricted Stock </w:t>
      </w:r>
    </w:p>
    <w:p>
      <w:pPr>
        <w:pStyle w:val="TextBody"/>
        <w:bidi w:val="0"/>
        <w:spacing w:before="80" w:after="0"/>
        <w:jc w:val="left"/>
        <w:rPr>
          <w:rFonts w:ascii="arial" w:hAnsi="arial"/>
          <w:sz w:val="18"/>
        </w:rPr>
      </w:pPr>
      <w:r>
        <w:rPr>
          <w:rFonts w:ascii="arial" w:hAnsi="arial"/>
          <w:sz w:val="18"/>
        </w:rPr>
        <w:t xml:space="preserve">The Committee considers restricted stock to be an effective vehicle to support the Company’s long-term compensation objectives: </w:t>
      </w:r>
    </w:p>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185"/>
        <w:gridCol w:w="60"/>
        <w:gridCol w:w="308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jc w:val="left"/>
              <w:rPr>
                <w:rFonts w:ascii="arial" w:hAnsi="arial"/>
                <w:sz w:val="18"/>
              </w:rPr>
            </w:pPr>
            <w:r>
              <w:rPr>
                <w:rFonts w:ascii="arial" w:hAnsi="arial"/>
                <w:sz w:val="18"/>
              </w:rPr>
              <w:t xml:space="preserve">alignment with shareholder interests;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185"/>
        <w:gridCol w:w="60"/>
        <w:gridCol w:w="572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arial" w:hAnsi="arial"/>
                <w:sz w:val="18"/>
              </w:rPr>
            </w:pPr>
            <w:r>
              <w:rPr>
                <w:rFonts w:ascii="arial" w:hAnsi="arial"/>
                <w:sz w:val="18"/>
              </w:rPr>
              <w:t xml:space="preserve">facilitate retention through an extended pro rata vesting structure; and </w:t>
            </w:r>
          </w:p>
        </w:tc>
      </w:tr>
    </w:tbl>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85"/>
        <w:gridCol w:w="60"/>
        <w:gridCol w:w="3065"/>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arial" w:hAnsi="arial"/>
                <w:sz w:val="18"/>
              </w:rPr>
            </w:pPr>
            <w:r>
              <w:rPr>
                <w:rFonts w:ascii="arial" w:hAnsi="arial"/>
                <w:sz w:val="18"/>
              </w:rPr>
              <w:t xml:space="preserve">support meaningful stock ownership. </w:t>
            </w:r>
          </w:p>
        </w:tc>
      </w:tr>
    </w:tbl>
    <w:p>
      <w:pPr>
        <w:pStyle w:val="TextBody"/>
        <w:bidi w:val="0"/>
        <w:spacing w:before="80" w:after="0"/>
        <w:jc w:val="left"/>
        <w:rPr>
          <w:rFonts w:ascii="arial" w:hAnsi="arial"/>
          <w:sz w:val="18"/>
        </w:rPr>
      </w:pPr>
      <w:r>
        <w:rPr>
          <w:rFonts w:ascii="arial" w:hAnsi="arial"/>
          <w:sz w:val="18"/>
        </w:rPr>
        <w:t xml:space="preserve">At its February 11, 2025 meeting, the Committee approved restricted stock grants for senior officers, including the named executive officers (except for Mr. Layden due to his hire date), which vest ratably over three years, as detailed in the Summary Compensation Table and the Grants of Plan Based Awards Table. This grant of restricted shares represents 25% for the CEO and 40% for all other senior officers’ target long-term incentive grant. The Company believes that restricted stock is an important component of total compensation for our named executive officers and the three-year, pro rata vesting feature supports the Company’s retention objective. Any remaining unvested portion of restricted stock awards is forfeited upon voluntary termination, normal retirement, and involuntary termination for cause or not for cause, unless termination not for cause is in connection with a change in control. In the case of termination not for cause in connection with a change in control, all restricted stock shares or units vest immediately. Restricted stock is prorated in the event of termination due to death or disability. </w:t>
      </w:r>
    </w:p>
    <w:p>
      <w:pPr>
        <w:pStyle w:val="TextBody"/>
        <w:bidi w:val="0"/>
        <w:spacing w:before="360" w:after="0"/>
        <w:jc w:val="left"/>
        <w:rPr>
          <w:rFonts w:ascii="arial" w:hAnsi="arial"/>
          <w:b/>
          <w:sz w:val="24"/>
        </w:rPr>
      </w:pPr>
      <w:bookmarkStart w:id="71" w:name="txa2837686_2023"/>
      <w:bookmarkStart w:id="72" w:name="toc37355_63"/>
      <w:bookmarkEnd w:id="71"/>
      <w:bookmarkEnd w:id="72"/>
      <w:r>
        <w:rPr>
          <w:rFonts w:ascii="arial" w:hAnsi="arial"/>
          <w:b/>
          <w:sz w:val="24"/>
        </w:rPr>
        <w:t xml:space="preserve">Governance of Executive Compensation Programs </w:t>
      </w:r>
    </w:p>
    <w:p>
      <w:pPr>
        <w:pStyle w:val="TextBody"/>
        <w:bidi w:val="0"/>
        <w:spacing w:before="120" w:after="0"/>
        <w:jc w:val="left"/>
        <w:rPr>
          <w:rFonts w:ascii="arial" w:hAnsi="arial"/>
          <w:i/>
          <w:sz w:val="18"/>
        </w:rPr>
      </w:pPr>
      <w:bookmarkStart w:id="73" w:name="txa2837686_2024"/>
      <w:bookmarkStart w:id="74" w:name="toc37355_64"/>
      <w:bookmarkEnd w:id="73"/>
      <w:bookmarkEnd w:id="74"/>
      <w:r>
        <w:rPr>
          <w:rFonts w:ascii="arial" w:hAnsi="arial"/>
          <w:i/>
          <w:sz w:val="18"/>
        </w:rPr>
        <w:t xml:space="preserve">Executive Stock Ownership and Retention Requirements </w:t>
      </w:r>
    </w:p>
    <w:p>
      <w:pPr>
        <w:pStyle w:val="TextBody"/>
        <w:bidi w:val="0"/>
        <w:spacing w:before="120" w:after="0"/>
        <w:jc w:val="left"/>
        <w:rPr>
          <w:rFonts w:ascii="arial" w:hAnsi="arial"/>
          <w:sz w:val="18"/>
        </w:rPr>
      </w:pPr>
      <w:r>
        <w:rPr>
          <w:rFonts w:ascii="arial" w:hAnsi="arial"/>
          <w:sz w:val="18"/>
        </w:rPr>
        <w:t xml:space="preserve">The Committee implemented minimum stock ownership and retention requirements to encourage meaningful stock ownership by the Company’s executives that aligns their interests more closely with shareholders’ interests. Annually, the Committee reviews the named executive officers stock holdings for achievement of the stock ownership requirements. The Committee periodically reviews the Executive Stock Ownership Requirements to ensure the design is consistent with current market practice and those of our peers, as determined by research performed by the independent compensation consultant. The requirements are expressed as a multiple of base salary for each level of senior officer, as shown in the table below. </w:t>
      </w:r>
    </w:p>
    <w:p>
      <w:pPr>
        <w:pStyle w:val="TextBody"/>
        <w:bidi w:val="0"/>
        <w:spacing w:before="0" w:after="0"/>
        <w:jc w:val="left"/>
        <w:rPr/>
      </w:pPr>
      <w:r>
        <w:rPr/>
        <w:t> </w:t>
      </w:r>
    </w:p>
    <w:tbl>
      <w:tblPr>
        <w:tblW w:w="4892" w:type="dxa"/>
        <w:jc w:val="left"/>
        <w:tblInd w:w="0" w:type="dxa"/>
        <w:tblLayout w:type="fixed"/>
        <w:tblCellMar>
          <w:top w:w="0" w:type="dxa"/>
          <w:left w:w="0" w:type="dxa"/>
          <w:bottom w:w="0" w:type="dxa"/>
          <w:right w:w="0" w:type="dxa"/>
        </w:tblCellMar>
      </w:tblPr>
      <w:tblGrid>
        <w:gridCol w:w="777"/>
        <w:gridCol w:w="166"/>
        <w:gridCol w:w="715"/>
        <w:gridCol w:w="166"/>
        <w:gridCol w:w="3068"/>
      </w:tblGrid>
      <w:tr>
        <w:trPr/>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68" w:type="dxa"/>
            <w:tcBorders/>
            <w:vAlign w:val="center"/>
          </w:tcPr>
          <w:p>
            <w:pPr>
              <w:pStyle w:val="TableContents"/>
              <w:bidi w:val="0"/>
              <w:spacing w:before="0" w:after="283"/>
              <w:jc w:val="left"/>
              <w:rPr>
                <w:sz w:val="4"/>
                <w:szCs w:val="4"/>
              </w:rPr>
            </w:pPr>
            <w:r>
              <w:rPr>
                <w:sz w:val="4"/>
                <w:szCs w:val="4"/>
              </w:rPr>
            </w:r>
          </w:p>
        </w:tc>
      </w:tr>
      <w:tr>
        <w:trPr/>
        <w:tc>
          <w:tcPr>
            <w:tcW w:w="4892" w:type="dxa"/>
            <w:gridSpan w:val="5"/>
            <w:tcBorders/>
            <w:vAlign w:val="center"/>
          </w:tcPr>
          <w:p>
            <w:pPr>
              <w:pStyle w:val="TableContents"/>
              <w:bidi w:val="0"/>
              <w:spacing w:before="0" w:after="283"/>
              <w:jc w:val="center"/>
              <w:rPr>
                <w:b/>
                <w:color w:val="00AE4F"/>
              </w:rPr>
            </w:pPr>
            <w:r>
              <w:rPr>
                <w:b/>
                <w:color w:val="00AE4F"/>
              </w:rPr>
              <w:t>2025 Minimum Stock Ownership Requirements</w:t>
            </w:r>
          </w:p>
        </w:tc>
      </w:tr>
      <w:tr>
        <w:trPr/>
        <w:tc>
          <w:tcPr>
            <w:tcW w:w="4892" w:type="dxa"/>
            <w:gridSpan w:val="5"/>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Multiple of Base Salary</w:t>
            </w:r>
          </w:p>
        </w:tc>
      </w:tr>
      <w:tr>
        <w:trPr/>
        <w:tc>
          <w:tcPr>
            <w:tcW w:w="777" w:type="dxa"/>
            <w:tcBorders/>
            <w:vAlign w:val="center"/>
          </w:tcPr>
          <w:p>
            <w:pPr>
              <w:pStyle w:val="TableContents"/>
              <w:bidi w:val="0"/>
              <w:spacing w:before="0" w:after="283"/>
              <w:jc w:val="left"/>
              <w:rPr>
                <w:sz w:val="4"/>
                <w:szCs w:val="4"/>
              </w:rPr>
            </w:pPr>
            <w:r>
              <w:rPr>
                <w:sz w:val="4"/>
                <w:szCs w:val="4"/>
              </w:rPr>
            </w:r>
          </w:p>
        </w:tc>
        <w:tc>
          <w:tcPr>
            <w:tcW w:w="881" w:type="dxa"/>
            <w:gridSpan w:val="2"/>
            <w:tcBorders/>
            <w:vAlign w:val="center"/>
          </w:tcPr>
          <w:p>
            <w:pPr>
              <w:pStyle w:val="TableContents"/>
              <w:bidi w:val="0"/>
              <w:spacing w:before="0" w:after="283"/>
              <w:jc w:val="left"/>
              <w:rPr>
                <w:sz w:val="4"/>
                <w:szCs w:val="4"/>
              </w:rPr>
            </w:pPr>
            <w:r>
              <w:rPr>
                <w:sz w:val="4"/>
                <w:szCs w:val="4"/>
              </w:rPr>
            </w:r>
          </w:p>
        </w:tc>
        <w:tc>
          <w:tcPr>
            <w:tcW w:w="3234" w:type="dxa"/>
            <w:gridSpan w:val="2"/>
            <w:tcBorders/>
            <w:vAlign w:val="center"/>
          </w:tcPr>
          <w:p>
            <w:pPr>
              <w:pStyle w:val="TableContents"/>
              <w:bidi w:val="0"/>
              <w:spacing w:before="0" w:after="283"/>
              <w:jc w:val="left"/>
              <w:rPr>
                <w:sz w:val="4"/>
                <w:szCs w:val="4"/>
              </w:rPr>
            </w:pPr>
            <w:r>
              <w:rPr>
                <w:sz w:val="4"/>
                <w:szCs w:val="4"/>
              </w:rPr>
            </w:r>
          </w:p>
        </w:tc>
      </w:tr>
      <w:tr>
        <w:trPr/>
        <w:tc>
          <w:tcPr>
            <w:tcW w:w="777" w:type="dxa"/>
            <w:tcBorders>
              <w:bottom w:val="single" w:sz="6" w:space="0" w:color="7F7F7F"/>
            </w:tcBorders>
            <w:tcMar>
              <w:bottom w:w="60" w:type="dxa"/>
            </w:tcMar>
            <w:vAlign w:val="center"/>
          </w:tcPr>
          <w:p>
            <w:pPr>
              <w:pStyle w:val="TableContents"/>
              <w:bidi w:val="0"/>
              <w:spacing w:before="0" w:after="283"/>
              <w:jc w:val="center"/>
              <w:rPr>
                <w:b/>
              </w:rPr>
            </w:pPr>
            <w:r>
              <w:rPr>
                <w:b/>
              </w:rPr>
              <w:t>CEO</w:t>
            </w:r>
          </w:p>
        </w:tc>
        <w:tc>
          <w:tcPr>
            <w:tcW w:w="166" w:type="dxa"/>
            <w:tcBorders>
              <w:bottom w:val="single" w:sz="6" w:space="0" w:color="7F7F7F"/>
            </w:tcBorders>
            <w:tcMar>
              <w:bottom w:w="28" w:type="dxa"/>
            </w:tcMar>
            <w:vAlign w:val="center"/>
          </w:tcPr>
          <w:p>
            <w:pPr>
              <w:pStyle w:val="TableContents"/>
              <w:bidi w:val="0"/>
              <w:spacing w:before="0" w:after="283"/>
              <w:jc w:val="left"/>
              <w:rPr/>
            </w:pPr>
            <w:r>
              <w:rPr/>
              <w:t>  </w:t>
            </w:r>
          </w:p>
        </w:tc>
        <w:tc>
          <w:tcPr>
            <w:tcW w:w="715" w:type="dxa"/>
            <w:tcBorders>
              <w:bottom w:val="single" w:sz="6" w:space="0" w:color="7F7F7F"/>
            </w:tcBorders>
            <w:tcMar>
              <w:bottom w:w="60" w:type="dxa"/>
            </w:tcMar>
            <w:vAlign w:val="center"/>
          </w:tcPr>
          <w:p>
            <w:pPr>
              <w:pStyle w:val="TableContents"/>
              <w:bidi w:val="0"/>
              <w:spacing w:before="0" w:after="283"/>
              <w:jc w:val="center"/>
              <w:rPr>
                <w:b/>
              </w:rPr>
            </w:pPr>
            <w:r>
              <w:rPr>
                <w:b/>
              </w:rPr>
              <w:t>EVP</w:t>
            </w:r>
          </w:p>
        </w:tc>
        <w:tc>
          <w:tcPr>
            <w:tcW w:w="166" w:type="dxa"/>
            <w:tcBorders>
              <w:bottom w:val="single" w:sz="6" w:space="0" w:color="7F7F7F"/>
            </w:tcBorders>
            <w:tcMar>
              <w:bottom w:w="28" w:type="dxa"/>
            </w:tcMar>
            <w:vAlign w:val="center"/>
          </w:tcPr>
          <w:p>
            <w:pPr>
              <w:pStyle w:val="TableContents"/>
              <w:bidi w:val="0"/>
              <w:spacing w:before="0" w:after="283"/>
              <w:jc w:val="left"/>
              <w:rPr/>
            </w:pPr>
            <w:r>
              <w:rPr/>
              <w:t>  </w:t>
            </w:r>
          </w:p>
        </w:tc>
        <w:tc>
          <w:tcPr>
            <w:tcW w:w="3068" w:type="dxa"/>
            <w:tcBorders>
              <w:bottom w:val="single" w:sz="6" w:space="0" w:color="7F7F7F"/>
            </w:tcBorders>
            <w:tcMar>
              <w:bottom w:w="60" w:type="dxa"/>
            </w:tcMar>
            <w:vAlign w:val="center"/>
          </w:tcPr>
          <w:p>
            <w:pPr>
              <w:pStyle w:val="TableContents"/>
              <w:bidi w:val="0"/>
              <w:spacing w:before="0" w:after="283"/>
              <w:jc w:val="center"/>
              <w:rPr>
                <w:b/>
              </w:rPr>
            </w:pPr>
            <w:r>
              <w:rPr>
                <w:b/>
              </w:rPr>
              <w:t>Other Senior Officers</w:t>
            </w:r>
          </w:p>
        </w:tc>
      </w:tr>
      <w:tr>
        <w:trPr/>
        <w:tc>
          <w:tcPr>
            <w:tcW w:w="777" w:type="dxa"/>
            <w:tcBorders/>
            <w:vAlign w:val="center"/>
          </w:tcPr>
          <w:p>
            <w:pPr>
              <w:pStyle w:val="TableContents"/>
              <w:bidi w:val="0"/>
              <w:spacing w:before="0" w:after="283"/>
              <w:jc w:val="left"/>
              <w:rPr>
                <w:sz w:val="4"/>
                <w:szCs w:val="4"/>
              </w:rPr>
            </w:pPr>
            <w:r>
              <w:rPr>
                <w:sz w:val="4"/>
                <w:szCs w:val="4"/>
              </w:rPr>
            </w:r>
          </w:p>
        </w:tc>
        <w:tc>
          <w:tcPr>
            <w:tcW w:w="881" w:type="dxa"/>
            <w:gridSpan w:val="2"/>
            <w:tcBorders/>
            <w:vAlign w:val="center"/>
          </w:tcPr>
          <w:p>
            <w:pPr>
              <w:pStyle w:val="TableContents"/>
              <w:bidi w:val="0"/>
              <w:spacing w:before="0" w:after="283"/>
              <w:jc w:val="left"/>
              <w:rPr>
                <w:sz w:val="4"/>
                <w:szCs w:val="4"/>
              </w:rPr>
            </w:pPr>
            <w:r>
              <w:rPr>
                <w:sz w:val="4"/>
                <w:szCs w:val="4"/>
              </w:rPr>
            </w:r>
          </w:p>
        </w:tc>
        <w:tc>
          <w:tcPr>
            <w:tcW w:w="3234" w:type="dxa"/>
            <w:gridSpan w:val="2"/>
            <w:tcBorders/>
            <w:vAlign w:val="center"/>
          </w:tcPr>
          <w:p>
            <w:pPr>
              <w:pStyle w:val="TableContents"/>
              <w:bidi w:val="0"/>
              <w:spacing w:before="0" w:after="283"/>
              <w:jc w:val="left"/>
              <w:rPr>
                <w:sz w:val="4"/>
                <w:szCs w:val="4"/>
              </w:rPr>
            </w:pPr>
            <w:r>
              <w:rPr>
                <w:sz w:val="4"/>
                <w:szCs w:val="4"/>
              </w:rPr>
            </w:r>
          </w:p>
        </w:tc>
      </w:tr>
      <w:tr>
        <w:trPr/>
        <w:tc>
          <w:tcPr>
            <w:tcW w:w="777" w:type="dxa"/>
            <w:tcBorders>
              <w:bottom w:val="single" w:sz="6" w:space="0" w:color="7F7F7F"/>
            </w:tcBorders>
            <w:tcMar>
              <w:bottom w:w="60" w:type="dxa"/>
            </w:tcMar>
            <w:vAlign w:val="center"/>
          </w:tcPr>
          <w:p>
            <w:pPr>
              <w:pStyle w:val="TableContents"/>
              <w:bidi w:val="0"/>
              <w:spacing w:before="0" w:after="283"/>
              <w:jc w:val="center"/>
              <w:rPr/>
            </w:pPr>
            <w:r>
              <w:rPr/>
              <w:t>6x</w:t>
            </w:r>
          </w:p>
        </w:tc>
        <w:tc>
          <w:tcPr>
            <w:tcW w:w="166" w:type="dxa"/>
            <w:tcBorders>
              <w:bottom w:val="single" w:sz="6" w:space="0" w:color="7F7F7F"/>
            </w:tcBorders>
            <w:tcMar>
              <w:bottom w:w="28" w:type="dxa"/>
            </w:tcMar>
            <w:vAlign w:val="center"/>
          </w:tcPr>
          <w:p>
            <w:pPr>
              <w:pStyle w:val="TableContents"/>
              <w:bidi w:val="0"/>
              <w:spacing w:before="0" w:after="283"/>
              <w:jc w:val="left"/>
              <w:rPr/>
            </w:pPr>
            <w:r>
              <w:rPr/>
              <w:t>  </w:t>
            </w:r>
          </w:p>
        </w:tc>
        <w:tc>
          <w:tcPr>
            <w:tcW w:w="715" w:type="dxa"/>
            <w:tcBorders>
              <w:bottom w:val="single" w:sz="6" w:space="0" w:color="7F7F7F"/>
            </w:tcBorders>
            <w:tcMar>
              <w:bottom w:w="60" w:type="dxa"/>
            </w:tcMar>
            <w:vAlign w:val="center"/>
          </w:tcPr>
          <w:p>
            <w:pPr>
              <w:pStyle w:val="TableContents"/>
              <w:bidi w:val="0"/>
              <w:spacing w:before="0" w:after="283"/>
              <w:jc w:val="center"/>
              <w:rPr/>
            </w:pPr>
            <w:r>
              <w:rPr/>
              <w:t>3x</w:t>
            </w:r>
          </w:p>
        </w:tc>
        <w:tc>
          <w:tcPr>
            <w:tcW w:w="166" w:type="dxa"/>
            <w:tcBorders>
              <w:bottom w:val="single" w:sz="6" w:space="0" w:color="7F7F7F"/>
            </w:tcBorders>
            <w:tcMar>
              <w:bottom w:w="28" w:type="dxa"/>
            </w:tcMar>
            <w:vAlign w:val="center"/>
          </w:tcPr>
          <w:p>
            <w:pPr>
              <w:pStyle w:val="TableContents"/>
              <w:bidi w:val="0"/>
              <w:spacing w:before="0" w:after="283"/>
              <w:jc w:val="left"/>
              <w:rPr/>
            </w:pPr>
            <w:r>
              <w:rPr/>
              <w:t>  </w:t>
            </w:r>
          </w:p>
        </w:tc>
        <w:tc>
          <w:tcPr>
            <w:tcW w:w="3068" w:type="dxa"/>
            <w:tcBorders>
              <w:bottom w:val="single" w:sz="6" w:space="0" w:color="7F7F7F"/>
            </w:tcBorders>
            <w:tcMar>
              <w:bottom w:w="60" w:type="dxa"/>
            </w:tcMar>
            <w:vAlign w:val="center"/>
          </w:tcPr>
          <w:p>
            <w:pPr>
              <w:pStyle w:val="TableContents"/>
              <w:bidi w:val="0"/>
              <w:spacing w:before="0" w:after="283"/>
              <w:jc w:val="center"/>
              <w:rPr/>
            </w:pPr>
            <w:r>
              <w:rPr/>
              <w:t>1x-1.5x</w:t>
            </w:r>
          </w:p>
        </w:tc>
      </w:tr>
    </w:tbl>
    <w:p>
      <w:pPr>
        <w:pStyle w:val="TextBody"/>
        <w:bidi w:val="0"/>
        <w:spacing w:before="80" w:after="0"/>
        <w:jc w:val="left"/>
        <w:rPr>
          <w:rFonts w:ascii="arial" w:hAnsi="arial"/>
          <w:sz w:val="18"/>
        </w:rPr>
      </w:pPr>
      <w:r>
        <w:rPr>
          <w:rFonts w:ascii="arial" w:hAnsi="arial"/>
          <w:sz w:val="18"/>
        </w:rPr>
        <w:t xml:space="preserve">Under the ownership requirements, senior officers are required to hold (50%) of the after-tax shares acquired upon equity award vesting until compliance with the stock ownership requirements is achieved. </w:t>
      </w:r>
    </w:p>
    <w:p>
      <w:pPr>
        <w:pStyle w:val="TextBody"/>
        <w:bidi w:val="0"/>
        <w:spacing w:before="80" w:after="0"/>
        <w:jc w:val="left"/>
        <w:rPr>
          <w:rFonts w:ascii="arial" w:hAnsi="arial"/>
          <w:sz w:val="18"/>
        </w:rPr>
      </w:pPr>
      <w:r>
        <w:rPr>
          <w:rFonts w:ascii="arial" w:hAnsi="arial"/>
          <w:sz w:val="18"/>
        </w:rPr>
        <w:t xml:space="preserve">Shares counted toward achievement of ownership requirements include: directly owned shares, shares held by family or trusts, and 100% of unvested restricted stock awards, restricted stock units, and earned unvested performance shares. </w:t>
      </w:r>
    </w:p>
    <w:p>
      <w:pPr>
        <w:pStyle w:val="TextBody"/>
        <w:bidi w:val="0"/>
        <w:spacing w:before="0" w:after="0"/>
        <w:jc w:val="left"/>
        <w:rPr>
          <w:rFonts w:ascii="arial" w:hAnsi="arial"/>
          <w:sz w:val="18"/>
        </w:rPr>
      </w:pPr>
      <w:r>
        <w:rPr>
          <w:rFonts w:ascii="arial" w:hAnsi="arial"/>
          <w:sz w:val="18"/>
        </w:rPr>
        <w:t xml:space="preserve">Although there is no fixed compliance period, new senior officers will likely reach the requirements within five years from their start date. The Committee reviews each executive’s progress towards and compliance with the requirements on an annual basis. If the required level of ownership is not achieved within a reasonable period of time or an executive falls out of compliance with the requirements, the Committee can eliminate or adjust the amount of any future equity awards. Stock ownership levels must be maintained as long as the executive is employed by the Company as a senior officer and is subject to the terms of the Executive Stock Ownership Requirements. </w:t>
      </w:r>
    </w:p>
    <w:p>
      <w:pPr>
        <w:pStyle w:val="TextBody"/>
        <w:bidi w:val="0"/>
        <w:spacing w:before="80" w:after="0"/>
        <w:jc w:val="left"/>
        <w:rPr>
          <w:rFonts w:ascii="arial" w:hAnsi="arial"/>
          <w:sz w:val="18"/>
        </w:rPr>
      </w:pPr>
      <w:r>
        <w:rPr>
          <w:rFonts w:ascii="arial" w:hAnsi="arial"/>
          <w:sz w:val="18"/>
        </w:rPr>
        <w:t xml:space="preserve">As of February 10, 2026, all named executive officers have met their stock ownership requirement, except Mr. Layden. Mr. Layden was appointed President and CEO of the Company, effective September 2, 2025, is in the process of accumulating shares toward his applicable requirement. </w:t>
      </w:r>
    </w:p>
    <w:p>
      <w:pPr>
        <w:pStyle w:val="TextBody"/>
        <w:bidi w:val="0"/>
        <w:spacing w:before="240" w:after="0"/>
        <w:jc w:val="left"/>
        <w:rPr>
          <w:rFonts w:ascii="arial" w:hAnsi="arial"/>
          <w:i/>
          <w:sz w:val="20"/>
        </w:rPr>
      </w:pPr>
      <w:bookmarkStart w:id="75" w:name="txa2837686_2025"/>
      <w:bookmarkStart w:id="76" w:name="toc37355_65"/>
      <w:bookmarkEnd w:id="75"/>
      <w:bookmarkEnd w:id="76"/>
      <w:r>
        <w:rPr>
          <w:rFonts w:ascii="arial" w:hAnsi="arial"/>
          <w:i/>
          <w:sz w:val="20"/>
        </w:rPr>
        <w:t xml:space="preserve">Incentive Compensation Recovery (“Clawback”) Policy </w:t>
      </w:r>
    </w:p>
    <w:p>
      <w:pPr>
        <w:pStyle w:val="TextBody"/>
        <w:bidi w:val="0"/>
        <w:spacing w:before="80" w:after="0"/>
        <w:jc w:val="left"/>
        <w:rPr>
          <w:rFonts w:ascii="arial" w:hAnsi="arial"/>
          <w:sz w:val="18"/>
        </w:rPr>
      </w:pPr>
      <w:r>
        <w:rPr>
          <w:rFonts w:ascii="arial" w:hAnsi="arial"/>
          <w:sz w:val="18"/>
        </w:rPr>
        <w:t xml:space="preserve">The Company has maintained a Clawback Policy since 2011 and expanded its application in 2019 to include all senior officers. In 2023, the Company amended the policy to comply with SEC Rule 10D-1 under the Securities Exchange Act of 1934 and applicable Nasdaq listing standards. </w:t>
      </w:r>
    </w:p>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60 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208"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81" descr=""/>
                          <pic:cNvPicPr>
                            <a:picLocks noChangeAspect="1" noChangeArrowheads="1"/>
                          </pic:cNvPicPr>
                        </pic:nvPicPr>
                        <pic:blipFill>
                          <a:blip r:embed="rId193"/>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policy applies to incentive-based compensation received by current and former executive officers, including all senior officers. If the Company is required to prepare an accounting restatement due to material non-compliance with federal securities laws, the Company will recover, on a no-fault basis and to the fullest extent permitted by law, incentive-based compensation received during the three completed fiscal years preceding the date the Company is required to prepare the restatement to the extent such compensation exceeds the amount that would have been received based on the restated financial results. </w:t>
      </w:r>
    </w:p>
    <w:p>
      <w:pPr>
        <w:pStyle w:val="TextBody"/>
        <w:bidi w:val="0"/>
        <w:spacing w:before="80" w:after="0"/>
        <w:jc w:val="left"/>
        <w:rPr>
          <w:rFonts w:ascii="arial" w:hAnsi="arial"/>
          <w:sz w:val="18"/>
        </w:rPr>
      </w:pPr>
      <w:r>
        <w:rPr>
          <w:rFonts w:ascii="arial" w:hAnsi="arial"/>
          <w:sz w:val="18"/>
        </w:rPr>
        <w:t xml:space="preserve">The Clawback Policy is incorporated into the Company’s Insider Trading Policy and Section 16 Compliance Procedures. </w:t>
      </w:r>
    </w:p>
    <w:p>
      <w:pPr>
        <w:pStyle w:val="TextBody"/>
        <w:bidi w:val="0"/>
        <w:spacing w:before="240" w:after="0"/>
        <w:jc w:val="left"/>
        <w:rPr>
          <w:rFonts w:ascii="arial" w:hAnsi="arial"/>
          <w:i/>
          <w:sz w:val="20"/>
        </w:rPr>
      </w:pPr>
      <w:bookmarkStart w:id="77" w:name="txa2837686_2026"/>
      <w:bookmarkStart w:id="78" w:name="toc37355_66"/>
      <w:bookmarkEnd w:id="77"/>
      <w:bookmarkEnd w:id="78"/>
      <w:r>
        <w:rPr>
          <w:rFonts w:ascii="arial" w:hAnsi="arial"/>
          <w:i/>
          <w:sz w:val="20"/>
        </w:rPr>
        <w:t xml:space="preserve">Hedging and Pledging of Shares </w:t>
      </w:r>
    </w:p>
    <w:p>
      <w:pPr>
        <w:pStyle w:val="TextBody"/>
        <w:bidi w:val="0"/>
        <w:spacing w:before="80" w:after="0"/>
        <w:jc w:val="left"/>
        <w:rPr>
          <w:rFonts w:ascii="arial" w:hAnsi="arial"/>
          <w:sz w:val="18"/>
        </w:rPr>
      </w:pPr>
      <w:r>
        <w:rPr>
          <w:rFonts w:ascii="arial" w:hAnsi="arial"/>
          <w:sz w:val="18"/>
        </w:rPr>
        <w:t xml:space="preserve">The Company’s Insider Trading Policy and Section 16 Compliance Procedures strictly prohibit the Company’s directors and all employees, including the named executive officers, from engaging in hedging, monetization or other derivative or speculative transactions in securities of the Company. This includes short sales, failing to deliver Company securities sold, put or call options, equity swaps, collars, forward sale contracts, exchange funds, holding Company securities in a margin account, or pledging Company securities as collateral for a loan. The 2025 Equity Incentive Plan does not allow the pledging, sale, assignment, or transfer of shares in any manner, except if the Committee determines that a transfer will not violate any requirements of the SEC or IRS. The Committee may permit an inter vivos transfer by gift to, or for the benefit of, a family member of the grantee. </w:t>
      </w:r>
    </w:p>
    <w:p>
      <w:pPr>
        <w:pStyle w:val="TextBody"/>
        <w:bidi w:val="0"/>
        <w:spacing w:before="240" w:after="0"/>
        <w:jc w:val="left"/>
        <w:rPr>
          <w:rFonts w:ascii="arial" w:hAnsi="arial"/>
          <w:i/>
          <w:sz w:val="20"/>
        </w:rPr>
      </w:pPr>
      <w:bookmarkStart w:id="79" w:name="txa2837686_2020"/>
      <w:bookmarkStart w:id="80" w:name="toc37355_60"/>
      <w:bookmarkEnd w:id="79"/>
      <w:bookmarkEnd w:id="80"/>
      <w:r>
        <w:rPr>
          <w:rFonts w:ascii="arial" w:hAnsi="arial"/>
          <w:i/>
          <w:sz w:val="20"/>
        </w:rPr>
        <w:t xml:space="preserve">Retirement Benefits </w:t>
      </w:r>
    </w:p>
    <w:p>
      <w:pPr>
        <w:pStyle w:val="TextBody"/>
        <w:bidi w:val="0"/>
        <w:spacing w:before="80" w:after="0"/>
        <w:jc w:val="left"/>
        <w:rPr>
          <w:rFonts w:ascii="arial" w:hAnsi="arial"/>
          <w:sz w:val="18"/>
        </w:rPr>
      </w:pPr>
      <w:r>
        <w:rPr>
          <w:rFonts w:ascii="arial" w:hAnsi="arial"/>
          <w:sz w:val="18"/>
        </w:rPr>
        <w:t xml:space="preserve">Highly compensated employees in the U.S. are not eligible to participate in the Company’s qualified 401(k) plan. In order to provide a competitive total compensation package, the Company has established the Management Retirement Plan (the “MRP”). The MRP is a U.S. nonqualified defined contribution/deferred compensation plan available to all highly compensated employees, including the named executive officers, as outlined by Section 414(q)(1)(B)(i) of the Code. Employees who are working in the U.S. while on an international assignment are not eligible to participate in the MRP. All participants in the MRP can elect to defer from 2% to 25% of their annual base earnings and 2% to 50% of their annual cash incentive earnings. Matching contributions by the Company equal 50% of the first 10% of base salary and annual cash incentives deferred by a participant. Other than the MRP, there are no other retirement income plans available to the Company’s highly compensated employees in the U.S. The MRP provides all participants, including the named executive officers, with a tax gross-up of Medicare taxes incurred on contributions to the plan. The Medicare tax gross-up provides for parity with other employees who are eligible to participate in the Company’s tax-qualified 401(k) plan and therefore do not pay Medicare tax on Company contributions. </w:t>
      </w:r>
    </w:p>
    <w:p>
      <w:pPr>
        <w:pStyle w:val="TextBody"/>
        <w:bidi w:val="0"/>
        <w:spacing w:before="240" w:after="0"/>
        <w:jc w:val="left"/>
        <w:rPr>
          <w:rFonts w:ascii="arial" w:hAnsi="arial"/>
          <w:i/>
          <w:sz w:val="18"/>
        </w:rPr>
      </w:pPr>
      <w:bookmarkStart w:id="81" w:name="txa2837686_2021"/>
      <w:bookmarkStart w:id="82" w:name="toc37355_61"/>
      <w:bookmarkEnd w:id="81"/>
      <w:bookmarkEnd w:id="82"/>
      <w:r>
        <w:rPr>
          <w:rFonts w:ascii="arial" w:hAnsi="arial"/>
          <w:i/>
          <w:sz w:val="18"/>
        </w:rPr>
        <w:t xml:space="preserve">Perquisites </w:t>
      </w:r>
    </w:p>
    <w:p>
      <w:pPr>
        <w:pStyle w:val="TextBody"/>
        <w:bidi w:val="0"/>
        <w:spacing w:before="80" w:after="0"/>
        <w:jc w:val="left"/>
        <w:rPr>
          <w:rFonts w:ascii="arial" w:hAnsi="arial"/>
          <w:sz w:val="18"/>
        </w:rPr>
      </w:pPr>
      <w:r>
        <w:rPr>
          <w:rFonts w:ascii="arial" w:hAnsi="arial"/>
          <w:sz w:val="18"/>
        </w:rPr>
        <w:t xml:space="preserve">A modest level of perquisites is available to named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4"/>
        <w:gridCol w:w="120"/>
        <w:gridCol w:w="7050"/>
        <w:gridCol w:w="120"/>
        <w:gridCol w:w="1981"/>
      </w:tblGrid>
      <w:tr>
        <w:trPr/>
        <w:tc>
          <w:tcPr>
            <w:tcW w:w="9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934" w:type="dxa"/>
            <w:tcBorders>
              <w:bottom w:val="single" w:sz="8" w:space="0" w:color="000000"/>
            </w:tcBorders>
            <w:tcMar>
              <w:bottom w:w="40" w:type="dxa"/>
            </w:tcMar>
            <w:vAlign w:val="center"/>
          </w:tcPr>
          <w:p>
            <w:pPr>
              <w:pStyle w:val="TableContents"/>
              <w:bidi w:val="0"/>
              <w:spacing w:before="0" w:after="0"/>
              <w:jc w:val="left"/>
              <w:rPr>
                <w:rFonts w:ascii="arial" w:hAnsi="arial"/>
                <w:b/>
                <w:color w:val="00AE4F"/>
                <w:sz w:val="16"/>
              </w:rPr>
            </w:pPr>
            <w:r>
              <w:rPr>
                <w:rFonts w:ascii="arial" w:hAnsi="arial"/>
                <w:b/>
                <w:color w:val="00AE4F"/>
                <w:sz w:val="16"/>
              </w:rPr>
              <w:t>Perquisite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7050"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Benefit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981"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Usage in 2025</w:t>
            </w:r>
          </w:p>
        </w:tc>
      </w:tr>
      <w:tr>
        <w:trPr/>
        <w:tc>
          <w:tcPr>
            <w:tcW w:w="934" w:type="dxa"/>
            <w:tcBorders/>
            <w:vAlign w:val="center"/>
          </w:tcPr>
          <w:p>
            <w:pPr>
              <w:pStyle w:val="TableContents"/>
              <w:bidi w:val="0"/>
              <w:spacing w:before="0" w:after="283"/>
              <w:jc w:val="left"/>
              <w:rPr>
                <w:sz w:val="4"/>
                <w:szCs w:val="4"/>
              </w:rPr>
            </w:pPr>
            <w:r>
              <w:rPr>
                <w:sz w:val="4"/>
                <w:szCs w:val="4"/>
              </w:rPr>
            </w:r>
          </w:p>
        </w:tc>
        <w:tc>
          <w:tcPr>
            <w:tcW w:w="7170" w:type="dxa"/>
            <w:gridSpan w:val="2"/>
            <w:tcBorders/>
            <w:vAlign w:val="center"/>
          </w:tcPr>
          <w:p>
            <w:pPr>
              <w:pStyle w:val="TableContents"/>
              <w:bidi w:val="0"/>
              <w:spacing w:before="0" w:after="283"/>
              <w:jc w:val="left"/>
              <w:rPr>
                <w:sz w:val="4"/>
                <w:szCs w:val="4"/>
              </w:rPr>
            </w:pPr>
            <w:r>
              <w:rPr>
                <w:sz w:val="4"/>
                <w:szCs w:val="4"/>
              </w:rPr>
            </w:r>
          </w:p>
        </w:tc>
        <w:tc>
          <w:tcPr>
            <w:tcW w:w="2101" w:type="dxa"/>
            <w:gridSpan w:val="2"/>
            <w:tcBorders/>
            <w:vAlign w:val="center"/>
          </w:tcPr>
          <w:p>
            <w:pPr>
              <w:pStyle w:val="TableContents"/>
              <w:bidi w:val="0"/>
              <w:spacing w:before="0" w:after="283"/>
              <w:jc w:val="left"/>
              <w:rPr>
                <w:sz w:val="4"/>
                <w:szCs w:val="4"/>
              </w:rPr>
            </w:pPr>
            <w:r>
              <w:rPr>
                <w:sz w:val="4"/>
                <w:szCs w:val="4"/>
              </w:rPr>
            </w:r>
          </w:p>
        </w:tc>
      </w:tr>
      <w:tr>
        <w:trPr/>
        <w:tc>
          <w:tcPr>
            <w:tcW w:w="934" w:type="dxa"/>
            <w:tcBorders>
              <w:bottom w:val="single" w:sz="6" w:space="0" w:color="7F7F7F"/>
            </w:tcBorders>
            <w:tcMar>
              <w:bottom w:w="40" w:type="dxa"/>
            </w:tcMar>
            <w:vAlign w:val="center"/>
          </w:tcPr>
          <w:p>
            <w:pPr>
              <w:pStyle w:val="TableContents"/>
              <w:bidi w:val="0"/>
              <w:spacing w:before="0" w:after="0"/>
              <w:jc w:val="left"/>
              <w:rPr>
                <w:rFonts w:ascii="arial" w:hAnsi="arial"/>
                <w:i/>
                <w:sz w:val="18"/>
              </w:rPr>
            </w:pPr>
            <w:r>
              <w:rPr>
                <w:rFonts w:ascii="arial" w:hAnsi="arial"/>
                <w:i/>
                <w:sz w:val="18"/>
              </w:rPr>
              <w:t>Executive Physical</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7050" w:type="dxa"/>
            <w:tcBorders>
              <w:bottom w:val="single" w:sz="6" w:space="0" w:color="7F7F7F"/>
            </w:tcBorders>
            <w:tcMar>
              <w:bottom w:w="40" w:type="dxa"/>
            </w:tcMar>
            <w:vAlign w:val="center"/>
          </w:tcPr>
          <w:p>
            <w:pPr>
              <w:pStyle w:val="TableContents"/>
              <w:bidi w:val="0"/>
              <w:spacing w:before="0" w:after="283"/>
              <w:jc w:val="left"/>
              <w:rPr/>
            </w:pPr>
            <w:r>
              <w:rPr/>
              <w:t>To ensure senior officers monitor their health and general well-being, an annual physical examination is provided at the Company’s expense. Senior officers may also use their own physician to perform the required tests and evaluations, in lieu of using the selected facilities. For those senior officers, expenses were processed through their employee health care coverage and not through the executive physical program.</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981" w:type="dxa"/>
            <w:tcBorders>
              <w:bottom w:val="single" w:sz="6" w:space="0" w:color="7F7F7F"/>
            </w:tcBorders>
            <w:tcMar>
              <w:bottom w:w="40" w:type="dxa"/>
            </w:tcMar>
            <w:vAlign w:val="center"/>
          </w:tcPr>
          <w:p>
            <w:pPr>
              <w:pStyle w:val="TableContents"/>
              <w:bidi w:val="0"/>
              <w:spacing w:before="0" w:after="283"/>
              <w:jc w:val="left"/>
              <w:rPr/>
            </w:pPr>
            <w:r>
              <w:rPr/>
              <w:t>Three named executive officers utilized the formal executive physical program in 2025.</w:t>
            </w:r>
          </w:p>
        </w:tc>
      </w:tr>
      <w:tr>
        <w:trPr/>
        <w:tc>
          <w:tcPr>
            <w:tcW w:w="934" w:type="dxa"/>
            <w:tcBorders/>
            <w:vAlign w:val="center"/>
          </w:tcPr>
          <w:p>
            <w:pPr>
              <w:pStyle w:val="TableContents"/>
              <w:bidi w:val="0"/>
              <w:spacing w:before="0" w:after="283"/>
              <w:jc w:val="left"/>
              <w:rPr>
                <w:sz w:val="4"/>
                <w:szCs w:val="4"/>
              </w:rPr>
            </w:pPr>
            <w:r>
              <w:rPr>
                <w:sz w:val="4"/>
                <w:szCs w:val="4"/>
              </w:rPr>
            </w:r>
          </w:p>
        </w:tc>
        <w:tc>
          <w:tcPr>
            <w:tcW w:w="7170" w:type="dxa"/>
            <w:gridSpan w:val="2"/>
            <w:tcBorders/>
            <w:vAlign w:val="center"/>
          </w:tcPr>
          <w:p>
            <w:pPr>
              <w:pStyle w:val="TableContents"/>
              <w:bidi w:val="0"/>
              <w:spacing w:before="0" w:after="283"/>
              <w:jc w:val="left"/>
              <w:rPr>
                <w:sz w:val="4"/>
                <w:szCs w:val="4"/>
              </w:rPr>
            </w:pPr>
            <w:r>
              <w:rPr>
                <w:sz w:val="4"/>
                <w:szCs w:val="4"/>
              </w:rPr>
            </w:r>
          </w:p>
        </w:tc>
        <w:tc>
          <w:tcPr>
            <w:tcW w:w="2101" w:type="dxa"/>
            <w:gridSpan w:val="2"/>
            <w:tcBorders/>
            <w:vAlign w:val="center"/>
          </w:tcPr>
          <w:p>
            <w:pPr>
              <w:pStyle w:val="TableContents"/>
              <w:bidi w:val="0"/>
              <w:spacing w:before="0" w:after="283"/>
              <w:jc w:val="left"/>
              <w:rPr>
                <w:sz w:val="4"/>
                <w:szCs w:val="4"/>
              </w:rPr>
            </w:pPr>
            <w:r>
              <w:rPr>
                <w:sz w:val="4"/>
                <w:szCs w:val="4"/>
              </w:rPr>
            </w:r>
          </w:p>
        </w:tc>
      </w:tr>
      <w:tr>
        <w:trPr/>
        <w:tc>
          <w:tcPr>
            <w:tcW w:w="934" w:type="dxa"/>
            <w:tcBorders>
              <w:bottom w:val="single" w:sz="6" w:space="0" w:color="7F7F7F"/>
            </w:tcBorders>
            <w:tcMar>
              <w:bottom w:w="40" w:type="dxa"/>
            </w:tcMar>
            <w:vAlign w:val="center"/>
          </w:tcPr>
          <w:p>
            <w:pPr>
              <w:pStyle w:val="TableContents"/>
              <w:bidi w:val="0"/>
              <w:spacing w:before="0" w:after="0"/>
              <w:jc w:val="left"/>
              <w:rPr>
                <w:rFonts w:ascii="arial" w:hAnsi="arial"/>
                <w:i/>
                <w:sz w:val="18"/>
              </w:rPr>
            </w:pPr>
            <w:r>
              <w:rPr>
                <w:rFonts w:ascii="arial" w:hAnsi="arial"/>
                <w:i/>
                <w:sz w:val="18"/>
              </w:rPr>
              <w:t>Vacation Facility</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7050" w:type="dxa"/>
            <w:tcBorders>
              <w:bottom w:val="single" w:sz="6" w:space="0" w:color="7F7F7F"/>
            </w:tcBorders>
            <w:tcMar>
              <w:bottom w:w="40" w:type="dxa"/>
            </w:tcMar>
            <w:vAlign w:val="center"/>
          </w:tcPr>
          <w:p>
            <w:pPr>
              <w:pStyle w:val="TableContents"/>
              <w:bidi w:val="0"/>
              <w:spacing w:before="0" w:after="283"/>
              <w:jc w:val="left"/>
              <w:rPr/>
            </w:pPr>
            <w:r>
              <w:rPr/>
              <w:t>Company-owned condominium is available on a limited basis to employees at the Vice President level and above.</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981" w:type="dxa"/>
            <w:tcBorders>
              <w:bottom w:val="single" w:sz="6" w:space="0" w:color="7F7F7F"/>
            </w:tcBorders>
            <w:tcMar>
              <w:bottom w:w="40" w:type="dxa"/>
            </w:tcMar>
            <w:vAlign w:val="center"/>
          </w:tcPr>
          <w:p>
            <w:pPr>
              <w:pStyle w:val="TableContents"/>
              <w:bidi w:val="0"/>
              <w:spacing w:before="0" w:after="283"/>
              <w:jc w:val="left"/>
              <w:rPr/>
            </w:pPr>
            <w:r>
              <w:rPr/>
              <w:t>One named executive officer used the vacation facility in 2025.</w:t>
            </w:r>
          </w:p>
        </w:tc>
      </w:tr>
    </w:tbl>
    <w:p>
      <w:pPr>
        <w:pStyle w:val="TextBody"/>
        <w:bidi w:val="0"/>
        <w:spacing w:before="80" w:after="0"/>
        <w:jc w:val="left"/>
        <w:rPr>
          <w:rFonts w:ascii="arial" w:hAnsi="arial"/>
          <w:sz w:val="18"/>
        </w:rPr>
      </w:pPr>
      <w:r>
        <w:rPr>
          <w:rFonts w:ascii="arial" w:hAnsi="arial"/>
          <w:sz w:val="18"/>
        </w:rPr>
        <w:t xml:space="preserve">Note: The company owned condominium was sold in 2025 and therefore this benefit is no longer available. </w:t>
      </w:r>
    </w:p>
    <w:p>
      <w:pPr>
        <w:pStyle w:val="TextBody"/>
        <w:bidi w:val="0"/>
        <w:spacing w:before="80" w:after="0"/>
        <w:jc w:val="left"/>
        <w:rPr>
          <w:rFonts w:ascii="arial" w:hAnsi="arial"/>
          <w:sz w:val="18"/>
        </w:rPr>
      </w:pPr>
      <w:r>
        <w:rPr>
          <w:rFonts w:ascii="arial" w:hAnsi="arial"/>
          <w:sz w:val="18"/>
        </w:rPr>
        <w:t xml:space="preserve">The aggregate amount of perquisites provided in 2025 for Messrs. Layden and Anderson and Mses. Browning, Williams and Soares, were less than $10,000 and therefore only the perquisites for Mr. Quigley are reported in the Summary Compensation Table. </w:t>
      </w:r>
    </w:p>
    <w:p>
      <w:pPr>
        <w:pStyle w:val="TextBody"/>
        <w:bidi w:val="0"/>
        <w:spacing w:before="240" w:after="0"/>
        <w:jc w:val="left"/>
        <w:rPr>
          <w:rFonts w:ascii="arial" w:hAnsi="arial"/>
          <w:i/>
          <w:sz w:val="18"/>
        </w:rPr>
      </w:pPr>
      <w:bookmarkStart w:id="83" w:name="txa2837686_2022"/>
      <w:bookmarkStart w:id="84" w:name="toc37355_62"/>
      <w:bookmarkEnd w:id="83"/>
      <w:bookmarkEnd w:id="84"/>
      <w:r>
        <w:rPr>
          <w:rFonts w:ascii="arial" w:hAnsi="arial"/>
          <w:i/>
          <w:sz w:val="18"/>
        </w:rPr>
        <w:t xml:space="preserve">Senior Executive Severance Plan </w:t>
      </w:r>
    </w:p>
    <w:p>
      <w:pPr>
        <w:pStyle w:val="TextBody"/>
        <w:bidi w:val="0"/>
        <w:spacing w:before="80" w:after="0"/>
        <w:jc w:val="left"/>
        <w:rPr>
          <w:rFonts w:ascii="arial" w:hAnsi="arial"/>
          <w:sz w:val="18"/>
        </w:rPr>
      </w:pPr>
      <w:r>
        <w:rPr>
          <w:rFonts w:ascii="arial" w:hAnsi="arial"/>
          <w:sz w:val="18"/>
        </w:rPr>
        <w:t xml:space="preserve">To promote leadership continuity and retention, the Company maintains a Senior Executive Severance Plan (“Severance Plan”) which was established effective March 31, 2017 and expanded in 2021 to include additional senior officers. For 2025, all active </w:t>
      </w:r>
    </w:p>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209"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82" descr=""/>
                          <pic:cNvPicPr>
                            <a:picLocks noChangeAspect="1" noChangeArrowheads="1"/>
                          </pic:cNvPicPr>
                        </pic:nvPicPr>
                        <pic:blipFill>
                          <a:blip r:embed="rId194"/>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named executive officers participated in the Severance Plan. The Severance Plan provides severance benefits in the event a participant’s employment is terminated under certain circumstances as explained and illustrated in “Potential Payments Upon Termination or Change in Control 2025” (below). The Plan does not provide excise tax gross-ups to participants under Section 280G of the Code. </w:t>
      </w:r>
    </w:p>
    <w:p>
      <w:pPr>
        <w:pStyle w:val="TextBody"/>
        <w:bidi w:val="0"/>
        <w:spacing w:before="80" w:after="0"/>
        <w:jc w:val="left"/>
        <w:rPr>
          <w:rFonts w:ascii="arial" w:hAnsi="arial"/>
          <w:sz w:val="18"/>
        </w:rPr>
      </w:pPr>
      <w:r>
        <w:rPr>
          <w:rFonts w:ascii="arial" w:hAnsi="arial"/>
          <w:sz w:val="18"/>
        </w:rPr>
        <w:t xml:space="preserve">The Company’s 2025 Equity Incentive Plan provides for the immediate vesting of restricted stock and performance awards upon a qualified termination in connection with a change in control (e.g., “double trigger”), which is also explained in Potential Payments Upon Termination or Change in Control. </w:t>
      </w:r>
    </w:p>
    <w:p>
      <w:pPr>
        <w:pStyle w:val="TextBody"/>
        <w:bidi w:val="0"/>
        <w:spacing w:before="80" w:after="0"/>
        <w:jc w:val="left"/>
        <w:rPr>
          <w:rFonts w:ascii="arial" w:hAnsi="arial"/>
          <w:sz w:val="18"/>
        </w:rPr>
      </w:pPr>
      <w:r>
        <w:rPr>
          <w:rFonts w:ascii="arial" w:hAnsi="arial"/>
          <w:sz w:val="18"/>
        </w:rPr>
        <w:t xml:space="preserve">Under the terms of the Severance Plan covering the eligible named executive officers, each would be entitled to severance payments and benefits in the event that he or she experiences a “qualifying termination” (i.e., any termination of the participant by the Company other than for cause, disability, or death, or for good reason by a participant in connection with a change in control as is defined in the Severance Plan). A change in control will not automatically entitle an eligible named executive officer to severance benefits or equity acceleration; instead, the executive must also lose his or her job or suffer a significant adverse change to employment terms or conditions in order to be eligible for benefits under the Severance Plan. In the event of a termination for any reason, eligible named executive officers would be entitled to any earned compensation owed but not yet paid as of the date of termination. Eligible named executive officers would also be entitled to payment of vested benefits, if any. Details of the Severance Plan are provided in the “Potential Payments Upon Termination or Change in Control 2025” section of this Proxy Statement. </w:t>
      </w:r>
    </w:p>
    <w:p>
      <w:pPr>
        <w:pStyle w:val="TextBody"/>
        <w:bidi w:val="0"/>
        <w:spacing w:before="240" w:after="0"/>
        <w:jc w:val="left"/>
        <w:rPr>
          <w:rFonts w:ascii="arial" w:hAnsi="arial"/>
          <w:i/>
          <w:sz w:val="18"/>
        </w:rPr>
      </w:pPr>
      <w:bookmarkStart w:id="85" w:name="txa2837686_2027"/>
      <w:bookmarkStart w:id="86" w:name="toc37355_67"/>
      <w:bookmarkEnd w:id="85"/>
      <w:bookmarkEnd w:id="86"/>
      <w:r>
        <w:rPr>
          <w:rFonts w:ascii="arial" w:hAnsi="arial"/>
          <w:i/>
          <w:sz w:val="18"/>
        </w:rPr>
        <w:t xml:space="preserve">Tax Considerations: Deductibility of Executive Compensation </w:t>
      </w:r>
    </w:p>
    <w:p>
      <w:pPr>
        <w:pStyle w:val="TextBody"/>
        <w:bidi w:val="0"/>
        <w:spacing w:before="80" w:after="0"/>
        <w:jc w:val="left"/>
        <w:rPr>
          <w:rFonts w:ascii="arial" w:hAnsi="arial"/>
          <w:sz w:val="18"/>
        </w:rPr>
      </w:pPr>
      <w:r>
        <w:rPr>
          <w:rFonts w:ascii="arial" w:hAnsi="arial"/>
          <w:sz w:val="18"/>
        </w:rPr>
        <w:t xml:space="preserve">Section 162(m) of the Code places a limit of $1 million on the amount of compensation that can be deducted for tax purposes for the CEO, CFO, and other three highest paid executives listed in the Summary Compensation Table or were listed in the Summary Compensation Table in any preceding year after 2016. Prior to 2018, the Company’s incentive compensation programs were generally designed to qualify for the performance-based exception to this limit. Beginning in 2018, effective with the Tax Cuts and Jobs Act that was enacted in December 2017, the corporate tax deduction previously available for performance-based compensation above $1 million for current or former named executive officers was eliminated. This means that pay to each current or former named executive officer in excess of $1 million is no longer tax deductible. Now that the performance-based exception is no longer available, the Company will no longer include reference to Section 162(m) related limitations or provisions or shareholder approval for this purpose. However, management and the Committee currently intend to retain as good governance, certain practices that had been in place previously for Section 162(m) purposes. These practices include: specification of guidelines for the adjustment of special items, establishing performance goals within the first ninety days of a performance period, and requiring the Committee’s certification of results prior to the payout of any award. </w:t>
      </w:r>
    </w:p>
    <w:p>
      <w:pPr>
        <w:pStyle w:val="TextBody"/>
        <w:bidi w:val="0"/>
        <w:spacing w:before="360" w:after="0"/>
        <w:jc w:val="left"/>
        <w:rPr>
          <w:rFonts w:ascii="arial" w:hAnsi="arial"/>
          <w:b/>
          <w:sz w:val="24"/>
        </w:rPr>
      </w:pPr>
      <w:bookmarkStart w:id="87" w:name="txa2837686_2028"/>
      <w:bookmarkStart w:id="88" w:name="toc37355_68"/>
      <w:bookmarkEnd w:id="87"/>
      <w:bookmarkEnd w:id="88"/>
      <w:r>
        <w:rPr>
          <w:rFonts w:ascii="arial" w:hAnsi="arial"/>
          <w:b/>
          <w:sz w:val="24"/>
        </w:rPr>
        <w:t xml:space="preserve">Compensation and Talent Management Committee Report </w:t>
      </w:r>
    </w:p>
    <w:p>
      <w:pPr>
        <w:pStyle w:val="TextBody"/>
        <w:bidi w:val="0"/>
        <w:spacing w:before="80" w:after="0"/>
        <w:jc w:val="left"/>
        <w:rPr>
          <w:rFonts w:ascii="arial" w:hAnsi="arial"/>
          <w:sz w:val="18"/>
        </w:rPr>
      </w:pPr>
      <w:r>
        <w:rPr>
          <w:rFonts w:ascii="arial" w:hAnsi="arial"/>
          <w:sz w:val="18"/>
        </w:rPr>
        <w:t xml:space="preserve">Prior to and at the Special Board of Directors meeting held on March 17, 2026, the Compensation and Talent Management Committee members reviewed and discussed the Compensation Discussion and Analysis presented in this Proxy Statement. Based on its review and subsequent discussions with management, the Committee approved the Compensation Discussion and Analysis and directed management to include it in this Proxy Statement. </w:t>
      </w:r>
    </w:p>
    <w:p>
      <w:pPr>
        <w:pStyle w:val="TextBody"/>
        <w:bidi w:val="0"/>
        <w:spacing w:before="80" w:after="0"/>
        <w:jc w:val="left"/>
        <w:rPr>
          <w:rFonts w:ascii="arial" w:hAnsi="arial"/>
          <w:sz w:val="18"/>
        </w:rPr>
      </w:pPr>
      <w:r>
        <w:rPr>
          <w:rFonts w:ascii="arial" w:hAnsi="arial"/>
          <w:sz w:val="18"/>
        </w:rPr>
        <w:t xml:space="preserve">This report is submitted by the Compensation and Talent Management Committee of the Board of Directors. </w:t>
      </w:r>
    </w:p>
    <w:p>
      <w:pPr>
        <w:pStyle w:val="TextBody"/>
        <w:bidi w:val="0"/>
        <w:spacing w:before="480" w:after="0"/>
        <w:jc w:val="left"/>
        <w:rPr>
          <w:rFonts w:ascii="arial" w:hAnsi="arial"/>
          <w:sz w:val="18"/>
        </w:rPr>
      </w:pPr>
      <w:r>
        <w:rPr>
          <w:rFonts w:ascii="arial" w:hAnsi="arial"/>
          <w:sz w:val="18"/>
        </w:rPr>
        <w:t xml:space="preserve">THE COMPENSATION AND TALENT MANAGEMENT </w:t>
      </w:r>
    </w:p>
    <w:p>
      <w:pPr>
        <w:pStyle w:val="TextBody"/>
        <w:bidi w:val="0"/>
        <w:spacing w:before="0" w:after="0"/>
        <w:jc w:val="left"/>
        <w:rPr>
          <w:rFonts w:ascii="arial" w:hAnsi="arial"/>
          <w:sz w:val="18"/>
        </w:rPr>
      </w:pPr>
      <w:r>
        <w:rPr>
          <w:rFonts w:ascii="arial" w:hAnsi="arial"/>
          <w:sz w:val="18"/>
        </w:rPr>
        <w:t xml:space="preserve">COMMITTEE </w:t>
      </w:r>
    </w:p>
    <w:p>
      <w:pPr>
        <w:pStyle w:val="TextBody"/>
        <w:bidi w:val="0"/>
        <w:spacing w:before="240" w:after="0"/>
        <w:jc w:val="left"/>
        <w:rPr>
          <w:rFonts w:ascii="arial" w:hAnsi="arial"/>
          <w:sz w:val="18"/>
        </w:rPr>
      </w:pPr>
      <w:r>
        <w:rPr>
          <w:rFonts w:ascii="arial" w:hAnsi="arial"/>
          <w:sz w:val="18"/>
        </w:rPr>
        <w:t xml:space="preserve">ROBERT S. CUBBIN, CHAIR </w:t>
      </w:r>
    </w:p>
    <w:p>
      <w:pPr>
        <w:pStyle w:val="TextBody"/>
        <w:bidi w:val="0"/>
        <w:spacing w:before="0" w:after="0"/>
        <w:jc w:val="left"/>
        <w:rPr>
          <w:rFonts w:ascii="arial" w:hAnsi="arial"/>
          <w:sz w:val="18"/>
        </w:rPr>
      </w:pPr>
      <w:r>
        <w:rPr>
          <w:rFonts w:ascii="arial" w:hAnsi="arial"/>
          <w:sz w:val="18"/>
        </w:rPr>
        <w:t xml:space="preserve">EDWARD ESCUDERO </w:t>
      </w:r>
    </w:p>
    <w:p>
      <w:pPr>
        <w:pStyle w:val="TextBody"/>
        <w:bidi w:val="0"/>
        <w:spacing w:before="0" w:after="0"/>
        <w:jc w:val="left"/>
        <w:rPr>
          <w:rFonts w:ascii="arial" w:hAnsi="arial"/>
          <w:sz w:val="18"/>
        </w:rPr>
      </w:pPr>
      <w:r>
        <w:rPr>
          <w:rFonts w:ascii="arial" w:hAnsi="arial"/>
          <w:sz w:val="18"/>
        </w:rPr>
        <w:t xml:space="preserve">CHRIS HUNT </w:t>
      </w:r>
    </w:p>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62 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210"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83" descr=""/>
                          <pic:cNvPicPr>
                            <a:picLocks noChangeAspect="1" noChangeArrowheads="1"/>
                          </pic:cNvPicPr>
                        </pic:nvPicPr>
                        <pic:blipFill>
                          <a:blip r:embed="rId195"/>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sz w:val="36"/>
        </w:rPr>
      </w:pPr>
      <w:bookmarkStart w:id="89" w:name="toc37355_69"/>
      <w:bookmarkEnd w:id="89"/>
      <w:r>
        <w:rPr>
          <w:rFonts w:ascii="arial" w:hAnsi="arial"/>
          <w:b/>
          <w:sz w:val="36"/>
        </w:rPr>
        <w:t xml:space="preserve">2025 Executive Compensation Tables </w:t>
      </w:r>
    </w:p>
    <w:p>
      <w:pPr>
        <w:pStyle w:val="TextBody"/>
        <w:bidi w:val="0"/>
        <w:spacing w:before="120" w:after="0"/>
        <w:jc w:val="left"/>
        <w:rPr>
          <w:rFonts w:ascii="arial" w:hAnsi="arial"/>
          <w:b/>
          <w:sz w:val="24"/>
        </w:rPr>
      </w:pPr>
      <w:bookmarkStart w:id="90" w:name="toc37355_70"/>
      <w:bookmarkEnd w:id="90"/>
      <w:r>
        <w:rPr>
          <w:rFonts w:ascii="arial" w:hAnsi="arial"/>
          <w:b/>
          <w:sz w:val="24"/>
        </w:rPr>
        <w:t xml:space="preserve">Summary Compensation Table 2025 </w:t>
      </w:r>
    </w:p>
    <w:p>
      <w:pPr>
        <w:pStyle w:val="TextBody"/>
        <w:bidi w:val="0"/>
        <w:spacing w:before="0" w:after="0"/>
        <w:jc w:val="left"/>
        <w:rPr/>
      </w:pPr>
      <w:r>
        <w:rPr/>
        <w:t> </w:t>
      </w:r>
    </w:p>
    <w:tbl>
      <w:tblPr>
        <w:tblW w:w="11352" w:type="dxa"/>
        <w:jc w:val="left"/>
        <w:tblInd w:w="0" w:type="dxa"/>
        <w:tblLayout w:type="fixed"/>
        <w:tblCellMar>
          <w:top w:w="0" w:type="dxa"/>
          <w:left w:w="0" w:type="dxa"/>
          <w:bottom w:w="0" w:type="dxa"/>
          <w:right w:w="0" w:type="dxa"/>
        </w:tblCellMar>
      </w:tblPr>
      <w:tblGrid>
        <w:gridCol w:w="980"/>
        <w:gridCol w:w="23"/>
        <w:gridCol w:w="23"/>
        <w:gridCol w:w="60"/>
        <w:gridCol w:w="500"/>
        <w:gridCol w:w="60"/>
        <w:gridCol w:w="23"/>
        <w:gridCol w:w="23"/>
        <w:gridCol w:w="60"/>
        <w:gridCol w:w="800"/>
        <w:gridCol w:w="60"/>
        <w:gridCol w:w="23"/>
        <w:gridCol w:w="23"/>
        <w:gridCol w:w="60"/>
        <w:gridCol w:w="800"/>
        <w:gridCol w:w="60"/>
        <w:gridCol w:w="23"/>
        <w:gridCol w:w="23"/>
        <w:gridCol w:w="60"/>
        <w:gridCol w:w="980"/>
        <w:gridCol w:w="60"/>
        <w:gridCol w:w="23"/>
        <w:gridCol w:w="47"/>
        <w:gridCol w:w="123"/>
        <w:gridCol w:w="535"/>
        <w:gridCol w:w="125"/>
        <w:gridCol w:w="23"/>
        <w:gridCol w:w="30"/>
        <w:gridCol w:w="79"/>
        <w:gridCol w:w="1300"/>
        <w:gridCol w:w="81"/>
        <w:gridCol w:w="23"/>
        <w:gridCol w:w="85"/>
        <w:gridCol w:w="221"/>
        <w:gridCol w:w="961"/>
        <w:gridCol w:w="223"/>
        <w:gridCol w:w="23"/>
        <w:gridCol w:w="38"/>
        <w:gridCol w:w="99"/>
        <w:gridCol w:w="1327"/>
        <w:gridCol w:w="101"/>
        <w:gridCol w:w="23"/>
        <w:gridCol w:w="23"/>
        <w:gridCol w:w="60"/>
        <w:gridCol w:w="980"/>
        <w:gridCol w:w="75"/>
      </w:tblGrid>
      <w:tr>
        <w:trPr/>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80" w:type="dxa"/>
            <w:tcBorders>
              <w:bottom w:val="single" w:sz="8" w:space="0" w:color="000000"/>
            </w:tcBorders>
            <w:tcMar>
              <w:bottom w:w="60" w:type="dxa"/>
            </w:tcMar>
            <w:vAlign w:val="center"/>
          </w:tcPr>
          <w:p>
            <w:pPr>
              <w:pStyle w:val="TableContents"/>
              <w:bidi w:val="0"/>
              <w:spacing w:before="0" w:after="0"/>
              <w:jc w:val="left"/>
              <w:rPr>
                <w:rFonts w:ascii="arial" w:hAnsi="arial"/>
                <w:b/>
                <w:color w:val="00AE4F"/>
                <w:sz w:val="16"/>
              </w:rPr>
            </w:pPr>
            <w:r>
              <w:rPr>
                <w:rFonts w:ascii="arial" w:hAnsi="arial"/>
                <w:b/>
                <w:color w:val="00AE4F"/>
                <w:sz w:val="16"/>
              </w:rPr>
              <w:t>Name and Principal Position</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3" w:type="dxa"/>
            <w:gridSpan w:val="4"/>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Year</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3" w:type="dxa"/>
            <w:gridSpan w:val="4"/>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Salary(1)</w:t>
              <w:br/>
              <w:t>($)</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3" w:type="dxa"/>
            <w:gridSpan w:val="4"/>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Bonus</w:t>
              <w:br/>
              <w:t>($)</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3" w:type="dxa"/>
            <w:gridSpan w:val="4"/>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Stock</w:t>
              <w:br/>
              <w:t>Awards(2),(3)(4)</w:t>
              <w:br/>
              <w:t>($)</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0" w:type="dxa"/>
            <w:gridSpan w:val="4"/>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Option</w:t>
              <w:br/>
              <w:t>Awards</w:t>
              <w:br/>
              <w:t>($)</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Non-Equity</w:t>
              <w:br/>
              <w:t>Incentive Plan</w:t>
              <w:br/>
              <w:t>Compensation</w:t>
              <w:br/>
              <w:t>($)</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Change in</w:t>
              <w:br/>
              <w:t>Pension</w:t>
              <w:br/>
              <w:t>Value and</w:t>
              <w:br/>
              <w:t>Nonqualified</w:t>
              <w:br/>
              <w:t>Deferred</w:t>
              <w:br/>
              <w:t>Compensation</w:t>
              <w:br/>
              <w:t>Earnings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65" w:type="dxa"/>
            <w:gridSpan w:val="4"/>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All Other</w:t>
              <w:br/>
              <w:t>Compensation(5)(6)</w:t>
              <w:br/>
              <w:t>($)</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8" w:type="dxa"/>
            <w:gridSpan w:val="4"/>
            <w:tcBorders>
              <w:bottom w:val="single" w:sz="8" w:space="0" w:color="000000"/>
            </w:tcBorders>
            <w:tcMar>
              <w:bottom w:w="60" w:type="dxa"/>
            </w:tcMar>
            <w:vAlign w:val="center"/>
          </w:tcPr>
          <w:p>
            <w:pPr>
              <w:pStyle w:val="TableContents"/>
              <w:bidi w:val="0"/>
              <w:spacing w:before="0" w:after="283"/>
              <w:jc w:val="center"/>
              <w:rPr>
                <w:b/>
                <w:color w:val="00AE4F"/>
              </w:rPr>
            </w:pPr>
            <w:r>
              <w:rPr>
                <w:b/>
                <w:color w:val="00AE4F"/>
              </w:rPr>
              <w:t>Total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666" w:type="dxa"/>
            <w:gridSpan w:val="5"/>
            <w:tcBorders/>
            <w:vAlign w:val="center"/>
          </w:tcPr>
          <w:p>
            <w:pPr>
              <w:pStyle w:val="TableContents"/>
              <w:bidi w:val="0"/>
              <w:spacing w:before="0" w:after="283"/>
              <w:jc w:val="left"/>
              <w:rPr>
                <w:sz w:val="4"/>
                <w:szCs w:val="4"/>
              </w:rPr>
            </w:pPr>
            <w:r>
              <w:rPr>
                <w:sz w:val="4"/>
                <w:szCs w:val="4"/>
              </w:rPr>
            </w:r>
          </w:p>
        </w:tc>
        <w:tc>
          <w:tcPr>
            <w:tcW w:w="966" w:type="dxa"/>
            <w:gridSpan w:val="5"/>
            <w:tcBorders/>
            <w:vAlign w:val="center"/>
          </w:tcPr>
          <w:p>
            <w:pPr>
              <w:pStyle w:val="TableContents"/>
              <w:bidi w:val="0"/>
              <w:spacing w:before="0" w:after="283"/>
              <w:jc w:val="left"/>
              <w:rPr>
                <w:sz w:val="4"/>
                <w:szCs w:val="4"/>
              </w:rPr>
            </w:pPr>
            <w:r>
              <w:rPr>
                <w:sz w:val="4"/>
                <w:szCs w:val="4"/>
              </w:rPr>
            </w:r>
          </w:p>
        </w:tc>
        <w:tc>
          <w:tcPr>
            <w:tcW w:w="966" w:type="dxa"/>
            <w:gridSpan w:val="5"/>
            <w:tcBorders/>
            <w:vAlign w:val="center"/>
          </w:tcPr>
          <w:p>
            <w:pPr>
              <w:pStyle w:val="TableContents"/>
              <w:bidi w:val="0"/>
              <w:spacing w:before="0" w:after="283"/>
              <w:jc w:val="left"/>
              <w:rPr>
                <w:sz w:val="4"/>
                <w:szCs w:val="4"/>
              </w:rPr>
            </w:pPr>
            <w:r>
              <w:rPr>
                <w:sz w:val="4"/>
                <w:szCs w:val="4"/>
              </w:rPr>
            </w:r>
          </w:p>
        </w:tc>
        <w:tc>
          <w:tcPr>
            <w:tcW w:w="1146" w:type="dxa"/>
            <w:gridSpan w:val="5"/>
            <w:tcBorders/>
            <w:vAlign w:val="center"/>
          </w:tcPr>
          <w:p>
            <w:pPr>
              <w:pStyle w:val="TableContents"/>
              <w:bidi w:val="0"/>
              <w:spacing w:before="0" w:after="283"/>
              <w:jc w:val="left"/>
              <w:rPr>
                <w:sz w:val="4"/>
                <w:szCs w:val="4"/>
              </w:rPr>
            </w:pPr>
            <w:r>
              <w:rPr>
                <w:sz w:val="4"/>
                <w:szCs w:val="4"/>
              </w:rPr>
            </w:r>
          </w:p>
        </w:tc>
        <w:tc>
          <w:tcPr>
            <w:tcW w:w="85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88" w:type="dxa"/>
            <w:gridSpan w:val="5"/>
            <w:tcBorders/>
            <w:vAlign w:val="center"/>
          </w:tcPr>
          <w:p>
            <w:pPr>
              <w:pStyle w:val="TableContents"/>
              <w:bidi w:val="0"/>
              <w:spacing w:before="0" w:after="283"/>
              <w:jc w:val="left"/>
              <w:rPr>
                <w:sz w:val="4"/>
                <w:szCs w:val="4"/>
              </w:rPr>
            </w:pPr>
            <w:r>
              <w:rPr>
                <w:sz w:val="4"/>
                <w:szCs w:val="4"/>
              </w:rPr>
            </w:r>
          </w:p>
        </w:tc>
        <w:tc>
          <w:tcPr>
            <w:tcW w:w="1161"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b/>
                <w:sz w:val="16"/>
              </w:rPr>
              <w:t xml:space="preserve">Christopher D. Layden </w:t>
            </w:r>
            <w:r>
              <w:rPr>
                <w:rFonts w:ascii="arial" w:hAnsi="arial"/>
                <w:sz w:val="16"/>
              </w:rPr>
              <w:br/>
              <w:t>President and Chief Executive Officer</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500" w:type="dxa"/>
            <w:tcBorders>
              <w:bottom w:val="single" w:sz="6" w:space="0" w:color="7F7F7F"/>
            </w:tcBorders>
            <w:tcMar>
              <w:bottom w:w="80" w:type="dxa"/>
            </w:tcMar>
            <w:vAlign w:val="center"/>
          </w:tcPr>
          <w:p>
            <w:pPr>
              <w:pStyle w:val="TableContents"/>
              <w:bidi w:val="0"/>
              <w:spacing w:before="0" w:after="283"/>
              <w:jc w:val="center"/>
              <w:rPr/>
            </w:pPr>
            <w:r>
              <w:rPr/>
              <w:t>2025</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800" w:type="dxa"/>
            <w:tcBorders>
              <w:bottom w:val="single" w:sz="6" w:space="0" w:color="7F7F7F"/>
            </w:tcBorders>
            <w:tcMar>
              <w:bottom w:w="80" w:type="dxa"/>
            </w:tcMar>
            <w:vAlign w:val="center"/>
          </w:tcPr>
          <w:p>
            <w:pPr>
              <w:pStyle w:val="TableContents"/>
              <w:bidi w:val="0"/>
              <w:spacing w:before="0" w:after="283"/>
              <w:jc w:val="center"/>
              <w:rPr/>
            </w:pPr>
            <w:r>
              <w:rPr/>
              <w:t>307,692</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800" w:type="dxa"/>
            <w:tcBorders>
              <w:bottom w:val="single" w:sz="6" w:space="0" w:color="7F7F7F"/>
            </w:tcBorders>
            <w:tcMar>
              <w:bottom w:w="80" w:type="dxa"/>
            </w:tcMar>
            <w:vAlign w:val="center"/>
          </w:tcPr>
          <w:p>
            <w:pPr>
              <w:pStyle w:val="TableContents"/>
              <w:bidi w:val="0"/>
              <w:spacing w:before="0" w:after="283"/>
              <w:jc w:val="center"/>
              <w:rPr/>
            </w:pPr>
            <w:r>
              <w:rPr/>
              <w:t>450,000</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center"/>
              <w:rPr/>
            </w:pPr>
            <w:r>
              <w:rPr/>
              <w:t>4,000,003</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6" w:space="0" w:color="7F7F7F"/>
            </w:tcBorders>
            <w:tcMar>
              <w:bottom w:w="80" w:type="dxa"/>
            </w:tcMar>
            <w:vAlign w:val="center"/>
          </w:tcPr>
          <w:p>
            <w:pPr>
              <w:pStyle w:val="TableContents"/>
              <w:bidi w:val="0"/>
              <w:spacing w:before="0" w:after="283"/>
              <w:jc w:val="left"/>
              <w:rPr/>
            </w:pPr>
            <w:r>
              <w:rPr/>
              <w:t> </w:t>
            </w:r>
          </w:p>
        </w:tc>
        <w:tc>
          <w:tcPr>
            <w:tcW w:w="535" w:type="dxa"/>
            <w:tcBorders>
              <w:bottom w:val="single" w:sz="6" w:space="0" w:color="7F7F7F"/>
            </w:tcBorders>
            <w:tcMar>
              <w:bottom w:w="80" w:type="dxa"/>
            </w:tcMar>
            <w:vAlign w:val="center"/>
          </w:tcPr>
          <w:p>
            <w:pPr>
              <w:pStyle w:val="TableContents"/>
              <w:bidi w:val="0"/>
              <w:spacing w:before="0" w:after="283"/>
              <w:jc w:val="center"/>
              <w:rPr/>
            </w:pPr>
            <w:r>
              <w:rPr/>
              <w:t>—</w:t>
            </w:r>
          </w:p>
        </w:tc>
        <w:tc>
          <w:tcPr>
            <w:tcW w:w="125"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7F7F7F"/>
            </w:tcBorders>
            <w:tcMar>
              <w:bottom w:w="80" w:type="dxa"/>
            </w:tcMar>
            <w:vAlign w:val="center"/>
          </w:tcPr>
          <w:p>
            <w:pPr>
              <w:pStyle w:val="TableContents"/>
              <w:bidi w:val="0"/>
              <w:spacing w:before="0" w:after="283"/>
              <w:jc w:val="left"/>
              <w:rPr/>
            </w:pPr>
            <w:r>
              <w:rPr/>
              <w:t> </w:t>
            </w:r>
          </w:p>
        </w:tc>
        <w:tc>
          <w:tcPr>
            <w:tcW w:w="1300" w:type="dxa"/>
            <w:tcBorders>
              <w:bottom w:val="single" w:sz="6" w:space="0" w:color="7F7F7F"/>
            </w:tcBorders>
            <w:tcMar>
              <w:bottom w:w="80" w:type="dxa"/>
            </w:tcMar>
            <w:vAlign w:val="center"/>
          </w:tcPr>
          <w:p>
            <w:pPr>
              <w:pStyle w:val="TableContents"/>
              <w:bidi w:val="0"/>
              <w:spacing w:before="0" w:after="283"/>
              <w:jc w:val="center"/>
              <w:rPr/>
            </w:pPr>
            <w:r>
              <w:rPr/>
              <w:t>450,000</w:t>
            </w:r>
          </w:p>
        </w:tc>
        <w:tc>
          <w:tcPr>
            <w:tcW w:w="81"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21" w:type="dxa"/>
            <w:tcBorders>
              <w:bottom w:val="single" w:sz="6" w:space="0" w:color="7F7F7F"/>
            </w:tcBorders>
            <w:tcMar>
              <w:bottom w:w="80" w:type="dxa"/>
            </w:tcMar>
            <w:vAlign w:val="center"/>
          </w:tcPr>
          <w:p>
            <w:pPr>
              <w:pStyle w:val="TableContents"/>
              <w:bidi w:val="0"/>
              <w:spacing w:before="0" w:after="283"/>
              <w:jc w:val="left"/>
              <w:rPr/>
            </w:pPr>
            <w:r>
              <w:rPr/>
              <w:t> </w:t>
            </w:r>
          </w:p>
        </w:tc>
        <w:tc>
          <w:tcPr>
            <w:tcW w:w="961" w:type="dxa"/>
            <w:tcBorders>
              <w:bottom w:val="single" w:sz="6" w:space="0" w:color="7F7F7F"/>
            </w:tcBorders>
            <w:tcMar>
              <w:bottom w:w="80" w:type="dxa"/>
            </w:tcMar>
            <w:vAlign w:val="center"/>
          </w:tcPr>
          <w:p>
            <w:pPr>
              <w:pStyle w:val="TableContents"/>
              <w:bidi w:val="0"/>
              <w:spacing w:before="0" w:after="283"/>
              <w:jc w:val="center"/>
              <w:rPr/>
            </w:pPr>
            <w:r>
              <w:rPr/>
              <w:t>—</w:t>
            </w:r>
          </w:p>
        </w:tc>
        <w:tc>
          <w:tcPr>
            <w:tcW w:w="223"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7F7F7F"/>
            </w:tcBorders>
            <w:tcMar>
              <w:bottom w:w="80" w:type="dxa"/>
            </w:tcMar>
            <w:vAlign w:val="center"/>
          </w:tcPr>
          <w:p>
            <w:pPr>
              <w:pStyle w:val="TableContents"/>
              <w:bidi w:val="0"/>
              <w:spacing w:before="0" w:after="283"/>
              <w:jc w:val="left"/>
              <w:rPr/>
            </w:pPr>
            <w:r>
              <w:rPr/>
              <w:t> </w:t>
            </w:r>
          </w:p>
        </w:tc>
        <w:tc>
          <w:tcPr>
            <w:tcW w:w="1327" w:type="dxa"/>
            <w:tcBorders>
              <w:bottom w:val="single" w:sz="6" w:space="0" w:color="7F7F7F"/>
            </w:tcBorders>
            <w:tcMar>
              <w:bottom w:w="80" w:type="dxa"/>
            </w:tcMar>
            <w:vAlign w:val="center"/>
          </w:tcPr>
          <w:p>
            <w:pPr>
              <w:pStyle w:val="TableContents"/>
              <w:bidi w:val="0"/>
              <w:spacing w:before="0" w:after="283"/>
              <w:jc w:val="center"/>
              <w:rPr/>
            </w:pPr>
            <w:r>
              <w:rPr/>
              <w:t>—</w:t>
            </w:r>
          </w:p>
        </w:tc>
        <w:tc>
          <w:tcPr>
            <w:tcW w:w="101"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center"/>
              <w:rPr/>
            </w:pPr>
            <w:r>
              <w:rPr/>
              <w:t>5,207,696</w:t>
            </w:r>
          </w:p>
        </w:tc>
        <w:tc>
          <w:tcPr>
            <w:tcW w:w="75" w:type="dxa"/>
            <w:tcBorders>
              <w:bottom w:val="single" w:sz="6" w:space="0" w:color="7F7F7F"/>
            </w:tcBorders>
            <w:tcMar>
              <w:bottom w:w="80" w:type="dxa"/>
            </w:tcM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666" w:type="dxa"/>
            <w:gridSpan w:val="5"/>
            <w:tcBorders/>
            <w:vAlign w:val="center"/>
          </w:tcPr>
          <w:p>
            <w:pPr>
              <w:pStyle w:val="TableContents"/>
              <w:bidi w:val="0"/>
              <w:spacing w:before="0" w:after="283"/>
              <w:jc w:val="left"/>
              <w:rPr>
                <w:sz w:val="4"/>
                <w:szCs w:val="4"/>
              </w:rPr>
            </w:pPr>
            <w:r>
              <w:rPr>
                <w:sz w:val="4"/>
                <w:szCs w:val="4"/>
              </w:rPr>
            </w:r>
          </w:p>
        </w:tc>
        <w:tc>
          <w:tcPr>
            <w:tcW w:w="966" w:type="dxa"/>
            <w:gridSpan w:val="5"/>
            <w:tcBorders/>
            <w:vAlign w:val="center"/>
          </w:tcPr>
          <w:p>
            <w:pPr>
              <w:pStyle w:val="TableContents"/>
              <w:bidi w:val="0"/>
              <w:spacing w:before="0" w:after="283"/>
              <w:jc w:val="left"/>
              <w:rPr>
                <w:sz w:val="4"/>
                <w:szCs w:val="4"/>
              </w:rPr>
            </w:pPr>
            <w:r>
              <w:rPr>
                <w:sz w:val="4"/>
                <w:szCs w:val="4"/>
              </w:rPr>
            </w:r>
          </w:p>
        </w:tc>
        <w:tc>
          <w:tcPr>
            <w:tcW w:w="966" w:type="dxa"/>
            <w:gridSpan w:val="5"/>
            <w:tcBorders/>
            <w:vAlign w:val="center"/>
          </w:tcPr>
          <w:p>
            <w:pPr>
              <w:pStyle w:val="TableContents"/>
              <w:bidi w:val="0"/>
              <w:spacing w:before="0" w:after="283"/>
              <w:jc w:val="left"/>
              <w:rPr>
                <w:sz w:val="4"/>
                <w:szCs w:val="4"/>
              </w:rPr>
            </w:pPr>
            <w:r>
              <w:rPr>
                <w:sz w:val="4"/>
                <w:szCs w:val="4"/>
              </w:rPr>
            </w:r>
          </w:p>
        </w:tc>
        <w:tc>
          <w:tcPr>
            <w:tcW w:w="1146" w:type="dxa"/>
            <w:gridSpan w:val="5"/>
            <w:tcBorders/>
            <w:vAlign w:val="center"/>
          </w:tcPr>
          <w:p>
            <w:pPr>
              <w:pStyle w:val="TableContents"/>
              <w:bidi w:val="0"/>
              <w:spacing w:before="0" w:after="283"/>
              <w:jc w:val="left"/>
              <w:rPr>
                <w:sz w:val="4"/>
                <w:szCs w:val="4"/>
              </w:rPr>
            </w:pPr>
            <w:r>
              <w:rPr>
                <w:sz w:val="4"/>
                <w:szCs w:val="4"/>
              </w:rPr>
            </w:r>
          </w:p>
        </w:tc>
        <w:tc>
          <w:tcPr>
            <w:tcW w:w="85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88" w:type="dxa"/>
            <w:gridSpan w:val="5"/>
            <w:tcBorders/>
            <w:vAlign w:val="center"/>
          </w:tcPr>
          <w:p>
            <w:pPr>
              <w:pStyle w:val="TableContents"/>
              <w:bidi w:val="0"/>
              <w:spacing w:before="0" w:after="283"/>
              <w:jc w:val="left"/>
              <w:rPr>
                <w:sz w:val="4"/>
                <w:szCs w:val="4"/>
              </w:rPr>
            </w:pPr>
            <w:r>
              <w:rPr>
                <w:sz w:val="4"/>
                <w:szCs w:val="4"/>
              </w:rPr>
            </w:r>
          </w:p>
        </w:tc>
        <w:tc>
          <w:tcPr>
            <w:tcW w:w="1161"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sz w:val="16"/>
              </w:rPr>
            </w:pPr>
            <w:r>
              <w:rPr>
                <w:rFonts w:ascii="arial" w:hAnsi="arial"/>
                <w:b/>
                <w:sz w:val="16"/>
              </w:rPr>
              <w:t>Troy R. Anderson</w:t>
            </w:r>
            <w:r>
              <w:rPr>
                <w:rFonts w:ascii="arial" w:hAnsi="arial"/>
                <w:sz w:val="16"/>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650,000</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938,019</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center"/>
              <w:rPr/>
            </w:pPr>
            <w:r>
              <w:rPr/>
              <w:t>—</w:t>
            </w:r>
          </w:p>
        </w:tc>
        <w:tc>
          <w:tcPr>
            <w:tcW w:w="12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center"/>
              <w:rPr/>
            </w:pPr>
            <w:r>
              <w:rPr/>
              <w:t>—</w:t>
            </w:r>
          </w:p>
        </w:tc>
        <w:tc>
          <w:tcPr>
            <w:tcW w:w="81"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center"/>
              <w:rPr/>
            </w:pPr>
            <w:r>
              <w:rPr/>
              <w:t>—</w:t>
            </w:r>
          </w:p>
        </w:tc>
        <w:tc>
          <w:tcPr>
            <w:tcW w:w="223"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center"/>
              <w:rPr/>
            </w:pPr>
            <w:r>
              <w:rPr/>
              <w:t>32,500</w:t>
            </w:r>
          </w:p>
        </w:tc>
        <w:tc>
          <w:tcPr>
            <w:tcW w:w="101"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1,620,519</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666" w:type="dxa"/>
            <w:gridSpan w:val="5"/>
            <w:tcBorders/>
            <w:vAlign w:val="center"/>
          </w:tcPr>
          <w:p>
            <w:pPr>
              <w:pStyle w:val="TableContents"/>
              <w:bidi w:val="0"/>
              <w:spacing w:before="0" w:after="283"/>
              <w:jc w:val="left"/>
              <w:rPr>
                <w:sz w:val="4"/>
                <w:szCs w:val="4"/>
              </w:rPr>
            </w:pPr>
            <w:r>
              <w:rPr>
                <w:sz w:val="4"/>
                <w:szCs w:val="4"/>
              </w:rPr>
            </w:r>
          </w:p>
        </w:tc>
        <w:tc>
          <w:tcPr>
            <w:tcW w:w="966" w:type="dxa"/>
            <w:gridSpan w:val="5"/>
            <w:tcBorders/>
            <w:vAlign w:val="center"/>
          </w:tcPr>
          <w:p>
            <w:pPr>
              <w:pStyle w:val="TableContents"/>
              <w:bidi w:val="0"/>
              <w:spacing w:before="0" w:after="283"/>
              <w:jc w:val="left"/>
              <w:rPr>
                <w:sz w:val="4"/>
                <w:szCs w:val="4"/>
              </w:rPr>
            </w:pPr>
            <w:r>
              <w:rPr>
                <w:sz w:val="4"/>
                <w:szCs w:val="4"/>
              </w:rPr>
            </w:r>
          </w:p>
        </w:tc>
        <w:tc>
          <w:tcPr>
            <w:tcW w:w="966" w:type="dxa"/>
            <w:gridSpan w:val="5"/>
            <w:tcBorders/>
            <w:vAlign w:val="center"/>
          </w:tcPr>
          <w:p>
            <w:pPr>
              <w:pStyle w:val="TableContents"/>
              <w:bidi w:val="0"/>
              <w:spacing w:before="0" w:after="283"/>
              <w:jc w:val="left"/>
              <w:rPr>
                <w:sz w:val="4"/>
                <w:szCs w:val="4"/>
              </w:rPr>
            </w:pPr>
            <w:r>
              <w:rPr>
                <w:sz w:val="4"/>
                <w:szCs w:val="4"/>
              </w:rPr>
            </w:r>
          </w:p>
        </w:tc>
        <w:tc>
          <w:tcPr>
            <w:tcW w:w="1146" w:type="dxa"/>
            <w:gridSpan w:val="5"/>
            <w:tcBorders/>
            <w:vAlign w:val="center"/>
          </w:tcPr>
          <w:p>
            <w:pPr>
              <w:pStyle w:val="TableContents"/>
              <w:bidi w:val="0"/>
              <w:spacing w:before="0" w:after="283"/>
              <w:jc w:val="left"/>
              <w:rPr>
                <w:sz w:val="4"/>
                <w:szCs w:val="4"/>
              </w:rPr>
            </w:pPr>
            <w:r>
              <w:rPr>
                <w:sz w:val="4"/>
                <w:szCs w:val="4"/>
              </w:rPr>
            </w:r>
          </w:p>
        </w:tc>
        <w:tc>
          <w:tcPr>
            <w:tcW w:w="85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88" w:type="dxa"/>
            <w:gridSpan w:val="5"/>
            <w:tcBorders/>
            <w:vAlign w:val="center"/>
          </w:tcPr>
          <w:p>
            <w:pPr>
              <w:pStyle w:val="TableContents"/>
              <w:bidi w:val="0"/>
              <w:spacing w:before="0" w:after="283"/>
              <w:jc w:val="left"/>
              <w:rPr>
                <w:sz w:val="4"/>
                <w:szCs w:val="4"/>
              </w:rPr>
            </w:pPr>
            <w:r>
              <w:rPr>
                <w:sz w:val="4"/>
                <w:szCs w:val="4"/>
              </w:rPr>
            </w:r>
          </w:p>
        </w:tc>
        <w:tc>
          <w:tcPr>
            <w:tcW w:w="1161"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Executive Vice President and Chief Financial Officer</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500" w:type="dxa"/>
            <w:tcBorders>
              <w:bottom w:val="single" w:sz="6" w:space="0" w:color="7F7F7F"/>
            </w:tcBorders>
            <w:tcMar>
              <w:bottom w:w="80" w:type="dxa"/>
            </w:tcMar>
            <w:vAlign w:val="center"/>
          </w:tcPr>
          <w:p>
            <w:pPr>
              <w:pStyle w:val="TableContents"/>
              <w:bidi w:val="0"/>
              <w:spacing w:before="0" w:after="283"/>
              <w:jc w:val="center"/>
              <w:rPr/>
            </w:pPr>
            <w:r>
              <w:rPr/>
              <w:t>2024</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800" w:type="dxa"/>
            <w:tcBorders>
              <w:bottom w:val="single" w:sz="6" w:space="0" w:color="7F7F7F"/>
            </w:tcBorders>
            <w:tcMar>
              <w:bottom w:w="80" w:type="dxa"/>
            </w:tcMar>
            <w:vAlign w:val="center"/>
          </w:tcPr>
          <w:p>
            <w:pPr>
              <w:pStyle w:val="TableContents"/>
              <w:bidi w:val="0"/>
              <w:spacing w:before="0" w:after="283"/>
              <w:jc w:val="center"/>
              <w:rPr/>
            </w:pPr>
            <w:r>
              <w:rPr/>
              <w:t>125,000</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800" w:type="dxa"/>
            <w:tcBorders>
              <w:bottom w:val="single" w:sz="6" w:space="0" w:color="7F7F7F"/>
            </w:tcBorders>
            <w:tcMar>
              <w:bottom w:w="80" w:type="dxa"/>
            </w:tcMar>
            <w:vAlign w:val="center"/>
          </w:tcPr>
          <w:p>
            <w:pPr>
              <w:pStyle w:val="TableContents"/>
              <w:bidi w:val="0"/>
              <w:spacing w:before="0" w:after="283"/>
              <w:jc w:val="center"/>
              <w:rPr/>
            </w:pPr>
            <w:r>
              <w:rPr/>
              <w:t>750,000</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center"/>
              <w:rPr/>
            </w:pPr>
            <w:r>
              <w:rPr/>
              <w:t>3,499,998</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6" w:space="0" w:color="7F7F7F"/>
            </w:tcBorders>
            <w:tcMar>
              <w:bottom w:w="80" w:type="dxa"/>
            </w:tcMar>
            <w:vAlign w:val="center"/>
          </w:tcPr>
          <w:p>
            <w:pPr>
              <w:pStyle w:val="TableContents"/>
              <w:bidi w:val="0"/>
              <w:spacing w:before="0" w:after="283"/>
              <w:jc w:val="left"/>
              <w:rPr/>
            </w:pPr>
            <w:r>
              <w:rPr/>
              <w:t> </w:t>
            </w:r>
          </w:p>
        </w:tc>
        <w:tc>
          <w:tcPr>
            <w:tcW w:w="535" w:type="dxa"/>
            <w:tcBorders>
              <w:bottom w:val="single" w:sz="6" w:space="0" w:color="7F7F7F"/>
            </w:tcBorders>
            <w:tcMar>
              <w:bottom w:w="80" w:type="dxa"/>
            </w:tcMar>
            <w:vAlign w:val="center"/>
          </w:tcPr>
          <w:p>
            <w:pPr>
              <w:pStyle w:val="TableContents"/>
              <w:bidi w:val="0"/>
              <w:spacing w:before="0" w:after="283"/>
              <w:jc w:val="center"/>
              <w:rPr/>
            </w:pPr>
            <w:r>
              <w:rPr/>
              <w:t>—</w:t>
            </w:r>
          </w:p>
        </w:tc>
        <w:tc>
          <w:tcPr>
            <w:tcW w:w="125"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7F7F7F"/>
            </w:tcBorders>
            <w:tcMar>
              <w:bottom w:w="80" w:type="dxa"/>
            </w:tcMar>
            <w:vAlign w:val="center"/>
          </w:tcPr>
          <w:p>
            <w:pPr>
              <w:pStyle w:val="TableContents"/>
              <w:bidi w:val="0"/>
              <w:spacing w:before="0" w:after="283"/>
              <w:jc w:val="left"/>
              <w:rPr/>
            </w:pPr>
            <w:r>
              <w:rPr/>
              <w:t> </w:t>
            </w:r>
          </w:p>
        </w:tc>
        <w:tc>
          <w:tcPr>
            <w:tcW w:w="1300" w:type="dxa"/>
            <w:tcBorders>
              <w:bottom w:val="single" w:sz="6" w:space="0" w:color="7F7F7F"/>
            </w:tcBorders>
            <w:tcMar>
              <w:bottom w:w="80" w:type="dxa"/>
            </w:tcMar>
            <w:vAlign w:val="center"/>
          </w:tcPr>
          <w:p>
            <w:pPr>
              <w:pStyle w:val="TableContents"/>
              <w:bidi w:val="0"/>
              <w:spacing w:before="0" w:after="283"/>
              <w:jc w:val="center"/>
              <w:rPr/>
            </w:pPr>
            <w:r>
              <w:rPr/>
              <w:t>63,000</w:t>
            </w:r>
          </w:p>
        </w:tc>
        <w:tc>
          <w:tcPr>
            <w:tcW w:w="81"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21" w:type="dxa"/>
            <w:tcBorders>
              <w:bottom w:val="single" w:sz="6" w:space="0" w:color="7F7F7F"/>
            </w:tcBorders>
            <w:tcMar>
              <w:bottom w:w="80" w:type="dxa"/>
            </w:tcMar>
            <w:vAlign w:val="center"/>
          </w:tcPr>
          <w:p>
            <w:pPr>
              <w:pStyle w:val="TableContents"/>
              <w:bidi w:val="0"/>
              <w:spacing w:before="0" w:after="283"/>
              <w:jc w:val="left"/>
              <w:rPr/>
            </w:pPr>
            <w:r>
              <w:rPr/>
              <w:t> </w:t>
            </w:r>
          </w:p>
        </w:tc>
        <w:tc>
          <w:tcPr>
            <w:tcW w:w="961" w:type="dxa"/>
            <w:tcBorders>
              <w:bottom w:val="single" w:sz="6" w:space="0" w:color="7F7F7F"/>
            </w:tcBorders>
            <w:tcMar>
              <w:bottom w:w="80" w:type="dxa"/>
            </w:tcMar>
            <w:vAlign w:val="center"/>
          </w:tcPr>
          <w:p>
            <w:pPr>
              <w:pStyle w:val="TableContents"/>
              <w:bidi w:val="0"/>
              <w:spacing w:before="0" w:after="283"/>
              <w:jc w:val="center"/>
              <w:rPr/>
            </w:pPr>
            <w:r>
              <w:rPr/>
              <w:t>—</w:t>
            </w:r>
          </w:p>
        </w:tc>
        <w:tc>
          <w:tcPr>
            <w:tcW w:w="223"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7F7F7F"/>
            </w:tcBorders>
            <w:tcMar>
              <w:bottom w:w="80" w:type="dxa"/>
            </w:tcMar>
            <w:vAlign w:val="center"/>
          </w:tcPr>
          <w:p>
            <w:pPr>
              <w:pStyle w:val="TableContents"/>
              <w:bidi w:val="0"/>
              <w:spacing w:before="0" w:after="283"/>
              <w:jc w:val="left"/>
              <w:rPr/>
            </w:pPr>
            <w:r>
              <w:rPr/>
              <w:t> </w:t>
            </w:r>
          </w:p>
        </w:tc>
        <w:tc>
          <w:tcPr>
            <w:tcW w:w="1327" w:type="dxa"/>
            <w:tcBorders>
              <w:bottom w:val="single" w:sz="6" w:space="0" w:color="7F7F7F"/>
            </w:tcBorders>
            <w:tcMar>
              <w:bottom w:w="80" w:type="dxa"/>
            </w:tcMar>
            <w:vAlign w:val="center"/>
          </w:tcPr>
          <w:p>
            <w:pPr>
              <w:pStyle w:val="TableContents"/>
              <w:bidi w:val="0"/>
              <w:spacing w:before="0" w:after="283"/>
              <w:jc w:val="center"/>
              <w:rPr/>
            </w:pPr>
            <w:r>
              <w:rPr/>
              <w:t>3,750</w:t>
            </w:r>
          </w:p>
        </w:tc>
        <w:tc>
          <w:tcPr>
            <w:tcW w:w="101"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center"/>
              <w:rPr/>
            </w:pPr>
            <w:r>
              <w:rPr/>
              <w:t>4,441,748</w:t>
            </w:r>
          </w:p>
        </w:tc>
        <w:tc>
          <w:tcPr>
            <w:tcW w:w="75" w:type="dxa"/>
            <w:tcBorders>
              <w:bottom w:val="single" w:sz="6" w:space="0" w:color="7F7F7F"/>
            </w:tcBorders>
            <w:tcMar>
              <w:bottom w:w="80" w:type="dxa"/>
            </w:tcM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666" w:type="dxa"/>
            <w:gridSpan w:val="5"/>
            <w:tcBorders/>
            <w:vAlign w:val="center"/>
          </w:tcPr>
          <w:p>
            <w:pPr>
              <w:pStyle w:val="TableContents"/>
              <w:bidi w:val="0"/>
              <w:spacing w:before="0" w:after="283"/>
              <w:jc w:val="left"/>
              <w:rPr>
                <w:sz w:val="4"/>
                <w:szCs w:val="4"/>
              </w:rPr>
            </w:pPr>
            <w:r>
              <w:rPr>
                <w:sz w:val="4"/>
                <w:szCs w:val="4"/>
              </w:rPr>
            </w:r>
          </w:p>
        </w:tc>
        <w:tc>
          <w:tcPr>
            <w:tcW w:w="966" w:type="dxa"/>
            <w:gridSpan w:val="5"/>
            <w:tcBorders/>
            <w:vAlign w:val="center"/>
          </w:tcPr>
          <w:p>
            <w:pPr>
              <w:pStyle w:val="TableContents"/>
              <w:bidi w:val="0"/>
              <w:spacing w:before="0" w:after="283"/>
              <w:jc w:val="left"/>
              <w:rPr>
                <w:sz w:val="4"/>
                <w:szCs w:val="4"/>
              </w:rPr>
            </w:pPr>
            <w:r>
              <w:rPr>
                <w:sz w:val="4"/>
                <w:szCs w:val="4"/>
              </w:rPr>
            </w:r>
          </w:p>
        </w:tc>
        <w:tc>
          <w:tcPr>
            <w:tcW w:w="966" w:type="dxa"/>
            <w:gridSpan w:val="5"/>
            <w:tcBorders/>
            <w:vAlign w:val="center"/>
          </w:tcPr>
          <w:p>
            <w:pPr>
              <w:pStyle w:val="TableContents"/>
              <w:bidi w:val="0"/>
              <w:spacing w:before="0" w:after="283"/>
              <w:jc w:val="left"/>
              <w:rPr>
                <w:sz w:val="4"/>
                <w:szCs w:val="4"/>
              </w:rPr>
            </w:pPr>
            <w:r>
              <w:rPr>
                <w:sz w:val="4"/>
                <w:szCs w:val="4"/>
              </w:rPr>
            </w:r>
          </w:p>
        </w:tc>
        <w:tc>
          <w:tcPr>
            <w:tcW w:w="1146" w:type="dxa"/>
            <w:gridSpan w:val="5"/>
            <w:tcBorders/>
            <w:vAlign w:val="center"/>
          </w:tcPr>
          <w:p>
            <w:pPr>
              <w:pStyle w:val="TableContents"/>
              <w:bidi w:val="0"/>
              <w:spacing w:before="0" w:after="283"/>
              <w:jc w:val="left"/>
              <w:rPr>
                <w:sz w:val="4"/>
                <w:szCs w:val="4"/>
              </w:rPr>
            </w:pPr>
            <w:r>
              <w:rPr>
                <w:sz w:val="4"/>
                <w:szCs w:val="4"/>
              </w:rPr>
            </w:r>
          </w:p>
        </w:tc>
        <w:tc>
          <w:tcPr>
            <w:tcW w:w="85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88" w:type="dxa"/>
            <w:gridSpan w:val="5"/>
            <w:tcBorders/>
            <w:vAlign w:val="center"/>
          </w:tcPr>
          <w:p>
            <w:pPr>
              <w:pStyle w:val="TableContents"/>
              <w:bidi w:val="0"/>
              <w:spacing w:before="0" w:after="283"/>
              <w:jc w:val="left"/>
              <w:rPr>
                <w:sz w:val="4"/>
                <w:szCs w:val="4"/>
              </w:rPr>
            </w:pPr>
            <w:r>
              <w:rPr>
                <w:sz w:val="4"/>
                <w:szCs w:val="4"/>
              </w:rPr>
            </w:r>
          </w:p>
        </w:tc>
        <w:tc>
          <w:tcPr>
            <w:tcW w:w="1161"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b/>
                <w:sz w:val="16"/>
              </w:rPr>
              <w:t xml:space="preserve">Tammy L. Browning </w:t>
            </w:r>
            <w:r>
              <w:rPr>
                <w:rFonts w:ascii="arial" w:hAnsi="arial"/>
                <w:sz w:val="16"/>
              </w:rPr>
              <w:br/>
              <w:t>Senior Vice President and Group President Enterprise Talent Management</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500" w:type="dxa"/>
            <w:tcBorders>
              <w:bottom w:val="single" w:sz="6" w:space="0" w:color="7F7F7F"/>
            </w:tcBorders>
            <w:tcMar>
              <w:bottom w:w="80" w:type="dxa"/>
            </w:tcMar>
            <w:vAlign w:val="center"/>
          </w:tcPr>
          <w:p>
            <w:pPr>
              <w:pStyle w:val="TableContents"/>
              <w:bidi w:val="0"/>
              <w:spacing w:before="0" w:after="283"/>
              <w:jc w:val="center"/>
              <w:rPr/>
            </w:pPr>
            <w:r>
              <w:rPr/>
              <w:t>2025</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800" w:type="dxa"/>
            <w:tcBorders>
              <w:bottom w:val="single" w:sz="6" w:space="0" w:color="7F7F7F"/>
            </w:tcBorders>
            <w:tcMar>
              <w:bottom w:w="80" w:type="dxa"/>
            </w:tcMar>
            <w:vAlign w:val="center"/>
          </w:tcPr>
          <w:p>
            <w:pPr>
              <w:pStyle w:val="TableContents"/>
              <w:bidi w:val="0"/>
              <w:spacing w:before="0" w:after="283"/>
              <w:jc w:val="center"/>
              <w:rPr/>
            </w:pPr>
            <w:r>
              <w:rPr/>
              <w:t>461,869</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800" w:type="dxa"/>
            <w:tcBorders>
              <w:bottom w:val="single" w:sz="6" w:space="0" w:color="7F7F7F"/>
            </w:tcBorders>
            <w:tcMar>
              <w:bottom w:w="80" w:type="dxa"/>
            </w:tcMar>
            <w:vAlign w:val="center"/>
          </w:tcPr>
          <w:p>
            <w:pPr>
              <w:pStyle w:val="TableContents"/>
              <w:bidi w:val="0"/>
              <w:spacing w:before="0" w:after="283"/>
              <w:jc w:val="center"/>
              <w:rPr/>
            </w:pPr>
            <w:r>
              <w:rPr/>
              <w:t>—</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center"/>
              <w:rPr/>
            </w:pPr>
            <w:r>
              <w:rPr/>
              <w:t>803,765</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6" w:space="0" w:color="7F7F7F"/>
            </w:tcBorders>
            <w:tcMar>
              <w:bottom w:w="80" w:type="dxa"/>
            </w:tcMar>
            <w:vAlign w:val="center"/>
          </w:tcPr>
          <w:p>
            <w:pPr>
              <w:pStyle w:val="TableContents"/>
              <w:bidi w:val="0"/>
              <w:spacing w:before="0" w:after="283"/>
              <w:jc w:val="left"/>
              <w:rPr/>
            </w:pPr>
            <w:r>
              <w:rPr/>
              <w:t> </w:t>
            </w:r>
          </w:p>
        </w:tc>
        <w:tc>
          <w:tcPr>
            <w:tcW w:w="535" w:type="dxa"/>
            <w:tcBorders>
              <w:bottom w:val="single" w:sz="6" w:space="0" w:color="7F7F7F"/>
            </w:tcBorders>
            <w:tcMar>
              <w:bottom w:w="80" w:type="dxa"/>
            </w:tcMar>
            <w:vAlign w:val="center"/>
          </w:tcPr>
          <w:p>
            <w:pPr>
              <w:pStyle w:val="TableContents"/>
              <w:bidi w:val="0"/>
              <w:spacing w:before="0" w:after="283"/>
              <w:jc w:val="center"/>
              <w:rPr/>
            </w:pPr>
            <w:r>
              <w:rPr/>
              <w:t>—</w:t>
            </w:r>
          </w:p>
        </w:tc>
        <w:tc>
          <w:tcPr>
            <w:tcW w:w="125"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7F7F7F"/>
            </w:tcBorders>
            <w:tcMar>
              <w:bottom w:w="80" w:type="dxa"/>
            </w:tcMar>
            <w:vAlign w:val="center"/>
          </w:tcPr>
          <w:p>
            <w:pPr>
              <w:pStyle w:val="TableContents"/>
              <w:bidi w:val="0"/>
              <w:spacing w:before="0" w:after="283"/>
              <w:jc w:val="left"/>
              <w:rPr/>
            </w:pPr>
            <w:r>
              <w:rPr/>
              <w:t> </w:t>
            </w:r>
          </w:p>
        </w:tc>
        <w:tc>
          <w:tcPr>
            <w:tcW w:w="1300" w:type="dxa"/>
            <w:tcBorders>
              <w:bottom w:val="single" w:sz="6" w:space="0" w:color="7F7F7F"/>
            </w:tcBorders>
            <w:tcMar>
              <w:bottom w:w="80" w:type="dxa"/>
            </w:tcMar>
            <w:vAlign w:val="center"/>
          </w:tcPr>
          <w:p>
            <w:pPr>
              <w:pStyle w:val="TableContents"/>
              <w:bidi w:val="0"/>
              <w:spacing w:before="0" w:after="283"/>
              <w:jc w:val="center"/>
              <w:rPr/>
            </w:pPr>
            <w:r>
              <w:rPr/>
              <w:t>—</w:t>
            </w:r>
          </w:p>
        </w:tc>
        <w:tc>
          <w:tcPr>
            <w:tcW w:w="81"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21" w:type="dxa"/>
            <w:tcBorders>
              <w:bottom w:val="single" w:sz="6" w:space="0" w:color="7F7F7F"/>
            </w:tcBorders>
            <w:tcMar>
              <w:bottom w:w="80" w:type="dxa"/>
            </w:tcMar>
            <w:vAlign w:val="center"/>
          </w:tcPr>
          <w:p>
            <w:pPr>
              <w:pStyle w:val="TableContents"/>
              <w:bidi w:val="0"/>
              <w:spacing w:before="0" w:after="283"/>
              <w:jc w:val="left"/>
              <w:rPr/>
            </w:pPr>
            <w:r>
              <w:rPr/>
              <w:t> </w:t>
            </w:r>
          </w:p>
        </w:tc>
        <w:tc>
          <w:tcPr>
            <w:tcW w:w="961" w:type="dxa"/>
            <w:tcBorders>
              <w:bottom w:val="single" w:sz="6" w:space="0" w:color="7F7F7F"/>
            </w:tcBorders>
            <w:tcMar>
              <w:bottom w:w="80" w:type="dxa"/>
            </w:tcMar>
            <w:vAlign w:val="center"/>
          </w:tcPr>
          <w:p>
            <w:pPr>
              <w:pStyle w:val="TableContents"/>
              <w:bidi w:val="0"/>
              <w:spacing w:before="0" w:after="283"/>
              <w:jc w:val="center"/>
              <w:rPr/>
            </w:pPr>
            <w:r>
              <w:rPr/>
              <w:t>—</w:t>
            </w:r>
          </w:p>
        </w:tc>
        <w:tc>
          <w:tcPr>
            <w:tcW w:w="223"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7F7F7F"/>
            </w:tcBorders>
            <w:tcMar>
              <w:bottom w:w="80" w:type="dxa"/>
            </w:tcMar>
            <w:vAlign w:val="center"/>
          </w:tcPr>
          <w:p>
            <w:pPr>
              <w:pStyle w:val="TableContents"/>
              <w:bidi w:val="0"/>
              <w:spacing w:before="0" w:after="283"/>
              <w:jc w:val="left"/>
              <w:rPr/>
            </w:pPr>
            <w:r>
              <w:rPr/>
              <w:t> </w:t>
            </w:r>
          </w:p>
        </w:tc>
        <w:tc>
          <w:tcPr>
            <w:tcW w:w="1327" w:type="dxa"/>
            <w:tcBorders>
              <w:bottom w:val="single" w:sz="6" w:space="0" w:color="7F7F7F"/>
            </w:tcBorders>
            <w:tcMar>
              <w:bottom w:w="80" w:type="dxa"/>
            </w:tcMar>
            <w:vAlign w:val="center"/>
          </w:tcPr>
          <w:p>
            <w:pPr>
              <w:pStyle w:val="TableContents"/>
              <w:bidi w:val="0"/>
              <w:spacing w:before="0" w:after="283"/>
              <w:jc w:val="center"/>
              <w:rPr/>
            </w:pPr>
            <w:r>
              <w:rPr/>
              <w:t>30,945</w:t>
            </w:r>
          </w:p>
        </w:tc>
        <w:tc>
          <w:tcPr>
            <w:tcW w:w="101"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center"/>
              <w:rPr/>
            </w:pPr>
            <w:r>
              <w:rPr/>
              <w:t>1,296,579</w:t>
            </w:r>
          </w:p>
        </w:tc>
        <w:tc>
          <w:tcPr>
            <w:tcW w:w="75" w:type="dxa"/>
            <w:tcBorders>
              <w:bottom w:val="single" w:sz="6" w:space="0" w:color="7F7F7F"/>
            </w:tcBorders>
            <w:tcMar>
              <w:bottom w:w="80" w:type="dxa"/>
            </w:tcM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666" w:type="dxa"/>
            <w:gridSpan w:val="5"/>
            <w:tcBorders/>
            <w:vAlign w:val="center"/>
          </w:tcPr>
          <w:p>
            <w:pPr>
              <w:pStyle w:val="TableContents"/>
              <w:bidi w:val="0"/>
              <w:spacing w:before="0" w:after="283"/>
              <w:jc w:val="left"/>
              <w:rPr>
                <w:sz w:val="4"/>
                <w:szCs w:val="4"/>
              </w:rPr>
            </w:pPr>
            <w:r>
              <w:rPr>
                <w:sz w:val="4"/>
                <w:szCs w:val="4"/>
              </w:rPr>
            </w:r>
          </w:p>
        </w:tc>
        <w:tc>
          <w:tcPr>
            <w:tcW w:w="966" w:type="dxa"/>
            <w:gridSpan w:val="5"/>
            <w:tcBorders/>
            <w:vAlign w:val="center"/>
          </w:tcPr>
          <w:p>
            <w:pPr>
              <w:pStyle w:val="TableContents"/>
              <w:bidi w:val="0"/>
              <w:spacing w:before="0" w:after="283"/>
              <w:jc w:val="left"/>
              <w:rPr>
                <w:sz w:val="4"/>
                <w:szCs w:val="4"/>
              </w:rPr>
            </w:pPr>
            <w:r>
              <w:rPr>
                <w:sz w:val="4"/>
                <w:szCs w:val="4"/>
              </w:rPr>
            </w:r>
          </w:p>
        </w:tc>
        <w:tc>
          <w:tcPr>
            <w:tcW w:w="966" w:type="dxa"/>
            <w:gridSpan w:val="5"/>
            <w:tcBorders/>
            <w:vAlign w:val="center"/>
          </w:tcPr>
          <w:p>
            <w:pPr>
              <w:pStyle w:val="TableContents"/>
              <w:bidi w:val="0"/>
              <w:spacing w:before="0" w:after="283"/>
              <w:jc w:val="left"/>
              <w:rPr>
                <w:sz w:val="4"/>
                <w:szCs w:val="4"/>
              </w:rPr>
            </w:pPr>
            <w:r>
              <w:rPr>
                <w:sz w:val="4"/>
                <w:szCs w:val="4"/>
              </w:rPr>
            </w:r>
          </w:p>
        </w:tc>
        <w:tc>
          <w:tcPr>
            <w:tcW w:w="1146" w:type="dxa"/>
            <w:gridSpan w:val="5"/>
            <w:tcBorders/>
            <w:vAlign w:val="center"/>
          </w:tcPr>
          <w:p>
            <w:pPr>
              <w:pStyle w:val="TableContents"/>
              <w:bidi w:val="0"/>
              <w:spacing w:before="0" w:after="283"/>
              <w:jc w:val="left"/>
              <w:rPr>
                <w:sz w:val="4"/>
                <w:szCs w:val="4"/>
              </w:rPr>
            </w:pPr>
            <w:r>
              <w:rPr>
                <w:sz w:val="4"/>
                <w:szCs w:val="4"/>
              </w:rPr>
            </w:r>
          </w:p>
        </w:tc>
        <w:tc>
          <w:tcPr>
            <w:tcW w:w="85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88" w:type="dxa"/>
            <w:gridSpan w:val="5"/>
            <w:tcBorders/>
            <w:vAlign w:val="center"/>
          </w:tcPr>
          <w:p>
            <w:pPr>
              <w:pStyle w:val="TableContents"/>
              <w:bidi w:val="0"/>
              <w:spacing w:before="0" w:after="283"/>
              <w:jc w:val="left"/>
              <w:rPr>
                <w:sz w:val="4"/>
                <w:szCs w:val="4"/>
              </w:rPr>
            </w:pPr>
            <w:r>
              <w:rPr>
                <w:sz w:val="4"/>
                <w:szCs w:val="4"/>
              </w:rPr>
            </w:r>
          </w:p>
        </w:tc>
        <w:tc>
          <w:tcPr>
            <w:tcW w:w="1161"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b/>
                <w:sz w:val="16"/>
              </w:rPr>
            </w:pPr>
            <w:r>
              <w:rPr>
                <w:rFonts w:ascii="arial" w:hAnsi="arial"/>
                <w:b/>
                <w:sz w:val="16"/>
              </w:rPr>
              <w:t xml:space="preserve">Vanessa P. Williams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518,173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625,333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center"/>
              <w:rPr/>
            </w:pPr>
            <w:r>
              <w:rPr/>
              <w:t>—</w:t>
            </w:r>
          </w:p>
        </w:tc>
        <w:tc>
          <w:tcPr>
            <w:tcW w:w="12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center"/>
              <w:rPr/>
            </w:pPr>
            <w:r>
              <w:rPr/>
              <w:t>—</w:t>
            </w:r>
          </w:p>
        </w:tc>
        <w:tc>
          <w:tcPr>
            <w:tcW w:w="81"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center"/>
              <w:rPr/>
            </w:pPr>
            <w:r>
              <w:rPr/>
              <w:t>—</w:t>
            </w:r>
          </w:p>
        </w:tc>
        <w:tc>
          <w:tcPr>
            <w:tcW w:w="223"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center"/>
              <w:rPr/>
            </w:pPr>
            <w:r>
              <w:rPr/>
              <w:t>5,763</w:t>
            </w:r>
          </w:p>
        </w:tc>
        <w:tc>
          <w:tcPr>
            <w:tcW w:w="101"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1,149,270</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666" w:type="dxa"/>
            <w:gridSpan w:val="5"/>
            <w:tcBorders/>
            <w:vAlign w:val="center"/>
          </w:tcPr>
          <w:p>
            <w:pPr>
              <w:pStyle w:val="TableContents"/>
              <w:bidi w:val="0"/>
              <w:spacing w:before="0" w:after="283"/>
              <w:jc w:val="left"/>
              <w:rPr>
                <w:sz w:val="4"/>
                <w:szCs w:val="4"/>
              </w:rPr>
            </w:pPr>
            <w:r>
              <w:rPr>
                <w:sz w:val="4"/>
                <w:szCs w:val="4"/>
              </w:rPr>
            </w:r>
          </w:p>
        </w:tc>
        <w:tc>
          <w:tcPr>
            <w:tcW w:w="966" w:type="dxa"/>
            <w:gridSpan w:val="5"/>
            <w:tcBorders/>
            <w:vAlign w:val="center"/>
          </w:tcPr>
          <w:p>
            <w:pPr>
              <w:pStyle w:val="TableContents"/>
              <w:bidi w:val="0"/>
              <w:spacing w:before="0" w:after="283"/>
              <w:jc w:val="left"/>
              <w:rPr>
                <w:sz w:val="4"/>
                <w:szCs w:val="4"/>
              </w:rPr>
            </w:pPr>
            <w:r>
              <w:rPr>
                <w:sz w:val="4"/>
                <w:szCs w:val="4"/>
              </w:rPr>
            </w:r>
          </w:p>
        </w:tc>
        <w:tc>
          <w:tcPr>
            <w:tcW w:w="966" w:type="dxa"/>
            <w:gridSpan w:val="5"/>
            <w:tcBorders/>
            <w:vAlign w:val="center"/>
          </w:tcPr>
          <w:p>
            <w:pPr>
              <w:pStyle w:val="TableContents"/>
              <w:bidi w:val="0"/>
              <w:spacing w:before="0" w:after="283"/>
              <w:jc w:val="left"/>
              <w:rPr>
                <w:sz w:val="4"/>
                <w:szCs w:val="4"/>
              </w:rPr>
            </w:pPr>
            <w:r>
              <w:rPr>
                <w:sz w:val="4"/>
                <w:szCs w:val="4"/>
              </w:rPr>
            </w:r>
          </w:p>
        </w:tc>
        <w:tc>
          <w:tcPr>
            <w:tcW w:w="1146" w:type="dxa"/>
            <w:gridSpan w:val="5"/>
            <w:tcBorders/>
            <w:vAlign w:val="center"/>
          </w:tcPr>
          <w:p>
            <w:pPr>
              <w:pStyle w:val="TableContents"/>
              <w:bidi w:val="0"/>
              <w:spacing w:before="0" w:after="283"/>
              <w:jc w:val="left"/>
              <w:rPr>
                <w:sz w:val="4"/>
                <w:szCs w:val="4"/>
              </w:rPr>
            </w:pPr>
            <w:r>
              <w:rPr>
                <w:sz w:val="4"/>
                <w:szCs w:val="4"/>
              </w:rPr>
            </w:r>
          </w:p>
        </w:tc>
        <w:tc>
          <w:tcPr>
            <w:tcW w:w="85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88" w:type="dxa"/>
            <w:gridSpan w:val="5"/>
            <w:tcBorders/>
            <w:vAlign w:val="center"/>
          </w:tcPr>
          <w:p>
            <w:pPr>
              <w:pStyle w:val="TableContents"/>
              <w:bidi w:val="0"/>
              <w:spacing w:before="0" w:after="283"/>
              <w:jc w:val="left"/>
              <w:rPr>
                <w:sz w:val="4"/>
                <w:szCs w:val="4"/>
              </w:rPr>
            </w:pPr>
            <w:r>
              <w:rPr>
                <w:sz w:val="4"/>
                <w:szCs w:val="4"/>
              </w:rPr>
            </w:r>
          </w:p>
        </w:tc>
        <w:tc>
          <w:tcPr>
            <w:tcW w:w="1161" w:type="dxa"/>
            <w:gridSpan w:val="5"/>
            <w:tcBorders/>
            <w:vAlign w:val="center"/>
          </w:tcPr>
          <w:p>
            <w:pPr>
              <w:pStyle w:val="TableContents"/>
              <w:bidi w:val="0"/>
              <w:spacing w:before="0" w:after="283"/>
              <w:jc w:val="left"/>
              <w:rPr>
                <w:sz w:val="4"/>
                <w:szCs w:val="4"/>
              </w:rPr>
            </w:pPr>
            <w:r>
              <w:rPr>
                <w:sz w:val="4"/>
                <w:szCs w:val="4"/>
              </w:rPr>
            </w:r>
          </w:p>
        </w:tc>
      </w:tr>
      <w:tr>
        <w:trPr/>
        <w:tc>
          <w:tcPr>
            <w:tcW w:w="980" w:type="dxa"/>
            <w:vMerge w:val="restart"/>
            <w:tcBorders>
              <w:bottom w:val="single" w:sz="6" w:space="0" w:color="7F7F7F"/>
            </w:tcBorders>
            <w:tcMar>
              <w:bottom w:w="28" w:type="dxa"/>
            </w:tcMar>
            <w:vAlign w:val="center"/>
          </w:tcPr>
          <w:p>
            <w:pPr>
              <w:pStyle w:val="TableContents"/>
              <w:bidi w:val="0"/>
              <w:spacing w:before="0" w:after="0"/>
              <w:jc w:val="left"/>
              <w:rPr>
                <w:rFonts w:ascii="arial" w:hAnsi="arial"/>
                <w:sz w:val="16"/>
              </w:rPr>
            </w:pPr>
            <w:r>
              <w:rPr>
                <w:rFonts w:ascii="arial" w:hAnsi="arial"/>
                <w:sz w:val="16"/>
              </w:rPr>
              <w:t>Executive Vice President General Counsel and Secretary</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493,269</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579,220</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center"/>
              <w:rPr/>
            </w:pPr>
            <w:r>
              <w:rPr/>
              <w:t>—</w:t>
            </w:r>
          </w:p>
        </w:tc>
        <w:tc>
          <w:tcPr>
            <w:tcW w:w="12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center"/>
              <w:rPr/>
            </w:pPr>
            <w:r>
              <w:rPr/>
              <w:t>250,000</w:t>
            </w:r>
          </w:p>
        </w:tc>
        <w:tc>
          <w:tcPr>
            <w:tcW w:w="81"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center"/>
              <w:rPr/>
            </w:pPr>
            <w:r>
              <w:rPr/>
              <w:t>—</w:t>
            </w:r>
          </w:p>
        </w:tc>
        <w:tc>
          <w:tcPr>
            <w:tcW w:w="223"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center"/>
              <w:rPr/>
            </w:pPr>
            <w:r>
              <w:rPr/>
              <w:t>25,641</w:t>
            </w:r>
          </w:p>
        </w:tc>
        <w:tc>
          <w:tcPr>
            <w:tcW w:w="101"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1,348,130</w:t>
            </w:r>
          </w:p>
        </w:tc>
        <w:tc>
          <w:tcPr>
            <w:tcW w:w="75" w:type="dxa"/>
            <w:tcBorders/>
            <w:vAlign w:val="center"/>
          </w:tcPr>
          <w:p>
            <w:pPr>
              <w:pStyle w:val="TableContents"/>
              <w:bidi w:val="0"/>
              <w:spacing w:before="0" w:after="283"/>
              <w:jc w:val="left"/>
              <w:rPr/>
            </w:pPr>
            <w:r>
              <w:rPr/>
              <w:t> </w:t>
            </w:r>
          </w:p>
        </w:tc>
      </w:tr>
      <w:tr>
        <w:trPr/>
        <w:tc>
          <w:tcPr>
            <w:tcW w:w="980" w:type="dxa"/>
            <w:vMerge w:val="continue"/>
            <w:tcBorders>
              <w:bottom w:val="single" w:sz="6" w:space="0" w:color="7F7F7F"/>
            </w:tcBorders>
            <w:tcMar>
              <w:bottom w:w="28" w:type="dxa"/>
            </w:tcMar>
            <w:vAlign w:val="center"/>
          </w:tcPr>
          <w:p>
            <w:pPr>
              <w:pStyle w:val="Normal"/>
              <w:bidi w:val="0"/>
              <w:jc w:val="left"/>
              <w:rPr/>
            </w:pPr>
            <w:r>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500" w:type="dxa"/>
            <w:tcBorders>
              <w:bottom w:val="single" w:sz="6" w:space="0" w:color="7F7F7F"/>
            </w:tcBorders>
            <w:tcMar>
              <w:bottom w:w="80" w:type="dxa"/>
            </w:tcMar>
            <w:vAlign w:val="center"/>
          </w:tcPr>
          <w:p>
            <w:pPr>
              <w:pStyle w:val="TableContents"/>
              <w:bidi w:val="0"/>
              <w:spacing w:before="0" w:after="283"/>
              <w:jc w:val="center"/>
              <w:rPr/>
            </w:pPr>
            <w:r>
              <w:rPr/>
              <w:t>2023</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800" w:type="dxa"/>
            <w:tcBorders>
              <w:bottom w:val="single" w:sz="6" w:space="0" w:color="7F7F7F"/>
            </w:tcBorders>
            <w:tcMar>
              <w:bottom w:w="80" w:type="dxa"/>
            </w:tcMar>
            <w:vAlign w:val="center"/>
          </w:tcPr>
          <w:p>
            <w:pPr>
              <w:pStyle w:val="TableContents"/>
              <w:bidi w:val="0"/>
              <w:spacing w:before="0" w:after="283"/>
              <w:jc w:val="center"/>
              <w:rPr/>
            </w:pPr>
            <w:r>
              <w:rPr/>
              <w:t>473,827</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800" w:type="dxa"/>
            <w:tcBorders>
              <w:bottom w:val="single" w:sz="6" w:space="0" w:color="7F7F7F"/>
            </w:tcBorders>
            <w:tcMar>
              <w:bottom w:w="80" w:type="dxa"/>
            </w:tcMar>
            <w:vAlign w:val="center"/>
          </w:tcPr>
          <w:p>
            <w:pPr>
              <w:pStyle w:val="TableContents"/>
              <w:bidi w:val="0"/>
              <w:spacing w:before="0" w:after="283"/>
              <w:jc w:val="center"/>
              <w:rPr/>
            </w:pPr>
            <w:r>
              <w:rPr/>
              <w:t>—</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center"/>
              <w:rPr/>
            </w:pPr>
            <w:r>
              <w:rPr/>
              <w:t>400,835</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6" w:space="0" w:color="7F7F7F"/>
            </w:tcBorders>
            <w:tcMar>
              <w:bottom w:w="80" w:type="dxa"/>
            </w:tcMar>
            <w:vAlign w:val="center"/>
          </w:tcPr>
          <w:p>
            <w:pPr>
              <w:pStyle w:val="TableContents"/>
              <w:bidi w:val="0"/>
              <w:spacing w:before="0" w:after="283"/>
              <w:jc w:val="left"/>
              <w:rPr/>
            </w:pPr>
            <w:r>
              <w:rPr/>
              <w:t> </w:t>
            </w:r>
          </w:p>
        </w:tc>
        <w:tc>
          <w:tcPr>
            <w:tcW w:w="535" w:type="dxa"/>
            <w:tcBorders>
              <w:bottom w:val="single" w:sz="6" w:space="0" w:color="7F7F7F"/>
            </w:tcBorders>
            <w:tcMar>
              <w:bottom w:w="80" w:type="dxa"/>
            </w:tcMar>
            <w:vAlign w:val="center"/>
          </w:tcPr>
          <w:p>
            <w:pPr>
              <w:pStyle w:val="TableContents"/>
              <w:bidi w:val="0"/>
              <w:spacing w:before="0" w:after="283"/>
              <w:jc w:val="center"/>
              <w:rPr/>
            </w:pPr>
            <w:r>
              <w:rPr/>
              <w:t>—</w:t>
            </w:r>
          </w:p>
        </w:tc>
        <w:tc>
          <w:tcPr>
            <w:tcW w:w="125"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7F7F7F"/>
            </w:tcBorders>
            <w:tcMar>
              <w:bottom w:w="80" w:type="dxa"/>
            </w:tcMar>
            <w:vAlign w:val="center"/>
          </w:tcPr>
          <w:p>
            <w:pPr>
              <w:pStyle w:val="TableContents"/>
              <w:bidi w:val="0"/>
              <w:spacing w:before="0" w:after="283"/>
              <w:jc w:val="left"/>
              <w:rPr/>
            </w:pPr>
            <w:r>
              <w:rPr/>
              <w:t> </w:t>
            </w:r>
          </w:p>
        </w:tc>
        <w:tc>
          <w:tcPr>
            <w:tcW w:w="1300" w:type="dxa"/>
            <w:tcBorders>
              <w:bottom w:val="single" w:sz="6" w:space="0" w:color="7F7F7F"/>
            </w:tcBorders>
            <w:tcMar>
              <w:bottom w:w="80" w:type="dxa"/>
            </w:tcMar>
            <w:vAlign w:val="center"/>
          </w:tcPr>
          <w:p>
            <w:pPr>
              <w:pStyle w:val="TableContents"/>
              <w:bidi w:val="0"/>
              <w:spacing w:before="0" w:after="283"/>
              <w:jc w:val="center"/>
              <w:rPr/>
            </w:pPr>
            <w:r>
              <w:rPr/>
              <w:t>325,000</w:t>
            </w:r>
          </w:p>
        </w:tc>
        <w:tc>
          <w:tcPr>
            <w:tcW w:w="81"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21" w:type="dxa"/>
            <w:tcBorders>
              <w:bottom w:val="single" w:sz="6" w:space="0" w:color="7F7F7F"/>
            </w:tcBorders>
            <w:tcMar>
              <w:bottom w:w="80" w:type="dxa"/>
            </w:tcMar>
            <w:vAlign w:val="center"/>
          </w:tcPr>
          <w:p>
            <w:pPr>
              <w:pStyle w:val="TableContents"/>
              <w:bidi w:val="0"/>
              <w:spacing w:before="0" w:after="283"/>
              <w:jc w:val="left"/>
              <w:rPr/>
            </w:pPr>
            <w:r>
              <w:rPr/>
              <w:t> </w:t>
            </w:r>
          </w:p>
        </w:tc>
        <w:tc>
          <w:tcPr>
            <w:tcW w:w="961" w:type="dxa"/>
            <w:tcBorders>
              <w:bottom w:val="single" w:sz="6" w:space="0" w:color="7F7F7F"/>
            </w:tcBorders>
            <w:tcMar>
              <w:bottom w:w="80" w:type="dxa"/>
            </w:tcMar>
            <w:vAlign w:val="center"/>
          </w:tcPr>
          <w:p>
            <w:pPr>
              <w:pStyle w:val="TableContents"/>
              <w:bidi w:val="0"/>
              <w:spacing w:before="0" w:after="283"/>
              <w:jc w:val="center"/>
              <w:rPr/>
            </w:pPr>
            <w:r>
              <w:rPr/>
              <w:t>—</w:t>
            </w:r>
          </w:p>
        </w:tc>
        <w:tc>
          <w:tcPr>
            <w:tcW w:w="223"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7F7F7F"/>
            </w:tcBorders>
            <w:tcMar>
              <w:bottom w:w="80" w:type="dxa"/>
            </w:tcMar>
            <w:vAlign w:val="center"/>
          </w:tcPr>
          <w:p>
            <w:pPr>
              <w:pStyle w:val="TableContents"/>
              <w:bidi w:val="0"/>
              <w:spacing w:before="0" w:after="283"/>
              <w:jc w:val="left"/>
              <w:rPr/>
            </w:pPr>
            <w:r>
              <w:rPr/>
              <w:t> </w:t>
            </w:r>
          </w:p>
        </w:tc>
        <w:tc>
          <w:tcPr>
            <w:tcW w:w="1327" w:type="dxa"/>
            <w:tcBorders>
              <w:bottom w:val="single" w:sz="6" w:space="0" w:color="7F7F7F"/>
            </w:tcBorders>
            <w:tcMar>
              <w:bottom w:w="80" w:type="dxa"/>
            </w:tcMar>
            <w:vAlign w:val="center"/>
          </w:tcPr>
          <w:p>
            <w:pPr>
              <w:pStyle w:val="TableContents"/>
              <w:bidi w:val="0"/>
              <w:spacing w:before="0" w:after="283"/>
              <w:jc w:val="center"/>
              <w:rPr/>
            </w:pPr>
            <w:r>
              <w:rPr/>
              <w:t>26,122</w:t>
            </w:r>
          </w:p>
        </w:tc>
        <w:tc>
          <w:tcPr>
            <w:tcW w:w="101"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center"/>
              <w:rPr/>
            </w:pPr>
            <w:r>
              <w:rPr/>
              <w:t>1,225,784</w:t>
            </w:r>
          </w:p>
        </w:tc>
        <w:tc>
          <w:tcPr>
            <w:tcW w:w="75" w:type="dxa"/>
            <w:tcBorders>
              <w:bottom w:val="single" w:sz="6" w:space="0" w:color="7F7F7F"/>
            </w:tcBorders>
            <w:tcMar>
              <w:bottom w:w="80" w:type="dxa"/>
            </w:tcM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666" w:type="dxa"/>
            <w:gridSpan w:val="5"/>
            <w:tcBorders/>
            <w:vAlign w:val="center"/>
          </w:tcPr>
          <w:p>
            <w:pPr>
              <w:pStyle w:val="TableContents"/>
              <w:bidi w:val="0"/>
              <w:spacing w:before="0" w:after="283"/>
              <w:jc w:val="left"/>
              <w:rPr>
                <w:sz w:val="4"/>
                <w:szCs w:val="4"/>
              </w:rPr>
            </w:pPr>
            <w:r>
              <w:rPr>
                <w:sz w:val="4"/>
                <w:szCs w:val="4"/>
              </w:rPr>
            </w:r>
          </w:p>
        </w:tc>
        <w:tc>
          <w:tcPr>
            <w:tcW w:w="966" w:type="dxa"/>
            <w:gridSpan w:val="5"/>
            <w:tcBorders/>
            <w:vAlign w:val="center"/>
          </w:tcPr>
          <w:p>
            <w:pPr>
              <w:pStyle w:val="TableContents"/>
              <w:bidi w:val="0"/>
              <w:spacing w:before="0" w:after="283"/>
              <w:jc w:val="left"/>
              <w:rPr>
                <w:sz w:val="4"/>
                <w:szCs w:val="4"/>
              </w:rPr>
            </w:pPr>
            <w:r>
              <w:rPr>
                <w:sz w:val="4"/>
                <w:szCs w:val="4"/>
              </w:rPr>
            </w:r>
          </w:p>
        </w:tc>
        <w:tc>
          <w:tcPr>
            <w:tcW w:w="966" w:type="dxa"/>
            <w:gridSpan w:val="5"/>
            <w:tcBorders/>
            <w:vAlign w:val="center"/>
          </w:tcPr>
          <w:p>
            <w:pPr>
              <w:pStyle w:val="TableContents"/>
              <w:bidi w:val="0"/>
              <w:spacing w:before="0" w:after="283"/>
              <w:jc w:val="left"/>
              <w:rPr>
                <w:sz w:val="4"/>
                <w:szCs w:val="4"/>
              </w:rPr>
            </w:pPr>
            <w:r>
              <w:rPr>
                <w:sz w:val="4"/>
                <w:szCs w:val="4"/>
              </w:rPr>
            </w:r>
          </w:p>
        </w:tc>
        <w:tc>
          <w:tcPr>
            <w:tcW w:w="1146" w:type="dxa"/>
            <w:gridSpan w:val="5"/>
            <w:tcBorders/>
            <w:vAlign w:val="center"/>
          </w:tcPr>
          <w:p>
            <w:pPr>
              <w:pStyle w:val="TableContents"/>
              <w:bidi w:val="0"/>
              <w:spacing w:before="0" w:after="283"/>
              <w:jc w:val="left"/>
              <w:rPr>
                <w:sz w:val="4"/>
                <w:szCs w:val="4"/>
              </w:rPr>
            </w:pPr>
            <w:r>
              <w:rPr>
                <w:sz w:val="4"/>
                <w:szCs w:val="4"/>
              </w:rPr>
            </w:r>
          </w:p>
        </w:tc>
        <w:tc>
          <w:tcPr>
            <w:tcW w:w="85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88" w:type="dxa"/>
            <w:gridSpan w:val="5"/>
            <w:tcBorders/>
            <w:vAlign w:val="center"/>
          </w:tcPr>
          <w:p>
            <w:pPr>
              <w:pStyle w:val="TableContents"/>
              <w:bidi w:val="0"/>
              <w:spacing w:before="0" w:after="283"/>
              <w:jc w:val="left"/>
              <w:rPr>
                <w:sz w:val="4"/>
                <w:szCs w:val="4"/>
              </w:rPr>
            </w:pPr>
            <w:r>
              <w:rPr>
                <w:sz w:val="4"/>
                <w:szCs w:val="4"/>
              </w:rPr>
            </w:r>
          </w:p>
        </w:tc>
        <w:tc>
          <w:tcPr>
            <w:tcW w:w="1161"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b/>
                <w:sz w:val="16"/>
              </w:rPr>
            </w:pPr>
            <w:r>
              <w:rPr>
                <w:rFonts w:ascii="arial" w:hAnsi="arial"/>
                <w:b/>
                <w:sz w:val="16"/>
              </w:rPr>
              <w:t xml:space="preserve">Nicola M. Soares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418,723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295,838</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center"/>
              <w:rPr/>
            </w:pPr>
            <w:r>
              <w:rPr/>
              <w:t>—</w:t>
            </w:r>
          </w:p>
        </w:tc>
        <w:tc>
          <w:tcPr>
            <w:tcW w:w="12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center"/>
              <w:rPr/>
            </w:pPr>
            <w:r>
              <w:rPr/>
              <w:t>89,816</w:t>
            </w:r>
          </w:p>
        </w:tc>
        <w:tc>
          <w:tcPr>
            <w:tcW w:w="81"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center"/>
              <w:rPr/>
            </w:pPr>
            <w:r>
              <w:rPr/>
              <w:t>—</w:t>
            </w:r>
          </w:p>
        </w:tc>
        <w:tc>
          <w:tcPr>
            <w:tcW w:w="223"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center"/>
              <w:rPr/>
            </w:pPr>
            <w:r>
              <w:rPr/>
              <w:t>21,285</w:t>
            </w:r>
          </w:p>
        </w:tc>
        <w:tc>
          <w:tcPr>
            <w:tcW w:w="101"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825,662</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666" w:type="dxa"/>
            <w:gridSpan w:val="5"/>
            <w:tcBorders/>
            <w:vAlign w:val="center"/>
          </w:tcPr>
          <w:p>
            <w:pPr>
              <w:pStyle w:val="TableContents"/>
              <w:bidi w:val="0"/>
              <w:spacing w:before="0" w:after="283"/>
              <w:jc w:val="left"/>
              <w:rPr>
                <w:sz w:val="4"/>
                <w:szCs w:val="4"/>
              </w:rPr>
            </w:pPr>
            <w:r>
              <w:rPr>
                <w:sz w:val="4"/>
                <w:szCs w:val="4"/>
              </w:rPr>
            </w:r>
          </w:p>
        </w:tc>
        <w:tc>
          <w:tcPr>
            <w:tcW w:w="966" w:type="dxa"/>
            <w:gridSpan w:val="5"/>
            <w:tcBorders/>
            <w:vAlign w:val="center"/>
          </w:tcPr>
          <w:p>
            <w:pPr>
              <w:pStyle w:val="TableContents"/>
              <w:bidi w:val="0"/>
              <w:spacing w:before="0" w:after="283"/>
              <w:jc w:val="left"/>
              <w:rPr>
                <w:sz w:val="4"/>
                <w:szCs w:val="4"/>
              </w:rPr>
            </w:pPr>
            <w:r>
              <w:rPr>
                <w:sz w:val="4"/>
                <w:szCs w:val="4"/>
              </w:rPr>
            </w:r>
          </w:p>
        </w:tc>
        <w:tc>
          <w:tcPr>
            <w:tcW w:w="966" w:type="dxa"/>
            <w:gridSpan w:val="5"/>
            <w:tcBorders/>
            <w:vAlign w:val="center"/>
          </w:tcPr>
          <w:p>
            <w:pPr>
              <w:pStyle w:val="TableContents"/>
              <w:bidi w:val="0"/>
              <w:spacing w:before="0" w:after="283"/>
              <w:jc w:val="left"/>
              <w:rPr>
                <w:sz w:val="4"/>
                <w:szCs w:val="4"/>
              </w:rPr>
            </w:pPr>
            <w:r>
              <w:rPr>
                <w:sz w:val="4"/>
                <w:szCs w:val="4"/>
              </w:rPr>
            </w:r>
          </w:p>
        </w:tc>
        <w:tc>
          <w:tcPr>
            <w:tcW w:w="1146" w:type="dxa"/>
            <w:gridSpan w:val="5"/>
            <w:tcBorders/>
            <w:vAlign w:val="center"/>
          </w:tcPr>
          <w:p>
            <w:pPr>
              <w:pStyle w:val="TableContents"/>
              <w:bidi w:val="0"/>
              <w:spacing w:before="0" w:after="283"/>
              <w:jc w:val="left"/>
              <w:rPr>
                <w:sz w:val="4"/>
                <w:szCs w:val="4"/>
              </w:rPr>
            </w:pPr>
            <w:r>
              <w:rPr>
                <w:sz w:val="4"/>
                <w:szCs w:val="4"/>
              </w:rPr>
            </w:r>
          </w:p>
        </w:tc>
        <w:tc>
          <w:tcPr>
            <w:tcW w:w="85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88" w:type="dxa"/>
            <w:gridSpan w:val="5"/>
            <w:tcBorders/>
            <w:vAlign w:val="center"/>
          </w:tcPr>
          <w:p>
            <w:pPr>
              <w:pStyle w:val="TableContents"/>
              <w:bidi w:val="0"/>
              <w:spacing w:before="0" w:after="283"/>
              <w:jc w:val="left"/>
              <w:rPr>
                <w:sz w:val="4"/>
                <w:szCs w:val="4"/>
              </w:rPr>
            </w:pPr>
            <w:r>
              <w:rPr>
                <w:sz w:val="4"/>
                <w:szCs w:val="4"/>
              </w:rPr>
            </w:r>
          </w:p>
        </w:tc>
        <w:tc>
          <w:tcPr>
            <w:tcW w:w="1161"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Senior Vice President and President Education</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500" w:type="dxa"/>
            <w:tcBorders>
              <w:bottom w:val="single" w:sz="6" w:space="0" w:color="7F7F7F"/>
            </w:tcBorders>
            <w:tcMar>
              <w:bottom w:w="80" w:type="dxa"/>
            </w:tcMar>
            <w:vAlign w:val="center"/>
          </w:tcPr>
          <w:p>
            <w:pPr>
              <w:pStyle w:val="TableContents"/>
              <w:bidi w:val="0"/>
              <w:spacing w:before="0" w:after="283"/>
              <w:jc w:val="center"/>
              <w:rPr/>
            </w:pPr>
            <w:r>
              <w:rPr/>
              <w:t>2024</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800" w:type="dxa"/>
            <w:tcBorders>
              <w:bottom w:val="single" w:sz="6" w:space="0" w:color="7F7F7F"/>
            </w:tcBorders>
            <w:tcMar>
              <w:bottom w:w="80" w:type="dxa"/>
            </w:tcMar>
            <w:vAlign w:val="center"/>
          </w:tcPr>
          <w:p>
            <w:pPr>
              <w:pStyle w:val="TableContents"/>
              <w:bidi w:val="0"/>
              <w:spacing w:before="0" w:after="283"/>
              <w:jc w:val="center"/>
              <w:rPr/>
            </w:pPr>
            <w:r>
              <w:rPr/>
              <w:t>403,081</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800" w:type="dxa"/>
            <w:tcBorders>
              <w:bottom w:val="single" w:sz="6" w:space="0" w:color="7F7F7F"/>
            </w:tcBorders>
            <w:tcMar>
              <w:bottom w:w="80" w:type="dxa"/>
            </w:tcMar>
            <w:vAlign w:val="center"/>
          </w:tcPr>
          <w:p>
            <w:pPr>
              <w:pStyle w:val="TableContents"/>
              <w:bidi w:val="0"/>
              <w:spacing w:before="0" w:after="283"/>
              <w:jc w:val="center"/>
              <w:rPr/>
            </w:pPr>
            <w:r>
              <w:rPr/>
              <w:t>—</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center"/>
              <w:rPr/>
            </w:pPr>
            <w:r>
              <w:rPr/>
              <w:t>481,165</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6" w:space="0" w:color="7F7F7F"/>
            </w:tcBorders>
            <w:tcMar>
              <w:bottom w:w="80" w:type="dxa"/>
            </w:tcMar>
            <w:vAlign w:val="center"/>
          </w:tcPr>
          <w:p>
            <w:pPr>
              <w:pStyle w:val="TableContents"/>
              <w:bidi w:val="0"/>
              <w:spacing w:before="0" w:after="283"/>
              <w:jc w:val="left"/>
              <w:rPr/>
            </w:pPr>
            <w:r>
              <w:rPr/>
              <w:t> </w:t>
            </w:r>
          </w:p>
        </w:tc>
        <w:tc>
          <w:tcPr>
            <w:tcW w:w="535" w:type="dxa"/>
            <w:tcBorders>
              <w:bottom w:val="single" w:sz="6" w:space="0" w:color="7F7F7F"/>
            </w:tcBorders>
            <w:tcMar>
              <w:bottom w:w="80" w:type="dxa"/>
            </w:tcMar>
            <w:vAlign w:val="center"/>
          </w:tcPr>
          <w:p>
            <w:pPr>
              <w:pStyle w:val="TableContents"/>
              <w:bidi w:val="0"/>
              <w:spacing w:before="0" w:after="283"/>
              <w:jc w:val="center"/>
              <w:rPr/>
            </w:pPr>
            <w:r>
              <w:rPr/>
              <w:t>—</w:t>
            </w:r>
          </w:p>
        </w:tc>
        <w:tc>
          <w:tcPr>
            <w:tcW w:w="125"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7F7F7F"/>
            </w:tcBorders>
            <w:tcMar>
              <w:bottom w:w="80" w:type="dxa"/>
            </w:tcMar>
            <w:vAlign w:val="center"/>
          </w:tcPr>
          <w:p>
            <w:pPr>
              <w:pStyle w:val="TableContents"/>
              <w:bidi w:val="0"/>
              <w:spacing w:before="0" w:after="283"/>
              <w:jc w:val="left"/>
              <w:rPr/>
            </w:pPr>
            <w:r>
              <w:rPr/>
              <w:t> </w:t>
            </w:r>
          </w:p>
        </w:tc>
        <w:tc>
          <w:tcPr>
            <w:tcW w:w="1300" w:type="dxa"/>
            <w:tcBorders>
              <w:bottom w:val="single" w:sz="6" w:space="0" w:color="7F7F7F"/>
            </w:tcBorders>
            <w:tcMar>
              <w:bottom w:w="80" w:type="dxa"/>
            </w:tcMar>
            <w:vAlign w:val="center"/>
          </w:tcPr>
          <w:p>
            <w:pPr>
              <w:pStyle w:val="TableContents"/>
              <w:bidi w:val="0"/>
              <w:spacing w:before="0" w:after="283"/>
              <w:jc w:val="center"/>
              <w:rPr/>
            </w:pPr>
            <w:r>
              <w:rPr/>
              <w:t>220,000</w:t>
            </w:r>
          </w:p>
        </w:tc>
        <w:tc>
          <w:tcPr>
            <w:tcW w:w="81"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21" w:type="dxa"/>
            <w:tcBorders>
              <w:bottom w:val="single" w:sz="6" w:space="0" w:color="7F7F7F"/>
            </w:tcBorders>
            <w:tcMar>
              <w:bottom w:w="80" w:type="dxa"/>
            </w:tcMar>
            <w:vAlign w:val="center"/>
          </w:tcPr>
          <w:p>
            <w:pPr>
              <w:pStyle w:val="TableContents"/>
              <w:bidi w:val="0"/>
              <w:spacing w:before="0" w:after="283"/>
              <w:jc w:val="left"/>
              <w:rPr/>
            </w:pPr>
            <w:r>
              <w:rPr/>
              <w:t> </w:t>
            </w:r>
          </w:p>
        </w:tc>
        <w:tc>
          <w:tcPr>
            <w:tcW w:w="961" w:type="dxa"/>
            <w:tcBorders>
              <w:bottom w:val="single" w:sz="6" w:space="0" w:color="7F7F7F"/>
            </w:tcBorders>
            <w:tcMar>
              <w:bottom w:w="80" w:type="dxa"/>
            </w:tcMar>
            <w:vAlign w:val="center"/>
          </w:tcPr>
          <w:p>
            <w:pPr>
              <w:pStyle w:val="TableContents"/>
              <w:bidi w:val="0"/>
              <w:spacing w:before="0" w:after="283"/>
              <w:jc w:val="center"/>
              <w:rPr/>
            </w:pPr>
            <w:r>
              <w:rPr/>
              <w:t>—</w:t>
            </w:r>
          </w:p>
        </w:tc>
        <w:tc>
          <w:tcPr>
            <w:tcW w:w="223"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7F7F7F"/>
            </w:tcBorders>
            <w:tcMar>
              <w:bottom w:w="80" w:type="dxa"/>
            </w:tcMar>
            <w:vAlign w:val="center"/>
          </w:tcPr>
          <w:p>
            <w:pPr>
              <w:pStyle w:val="TableContents"/>
              <w:bidi w:val="0"/>
              <w:spacing w:before="0" w:after="283"/>
              <w:jc w:val="left"/>
              <w:rPr/>
            </w:pPr>
            <w:r>
              <w:rPr/>
              <w:t> </w:t>
            </w:r>
          </w:p>
        </w:tc>
        <w:tc>
          <w:tcPr>
            <w:tcW w:w="1327" w:type="dxa"/>
            <w:tcBorders>
              <w:bottom w:val="single" w:sz="6" w:space="0" w:color="7F7F7F"/>
            </w:tcBorders>
            <w:tcMar>
              <w:bottom w:w="80" w:type="dxa"/>
            </w:tcMar>
            <w:vAlign w:val="center"/>
          </w:tcPr>
          <w:p>
            <w:pPr>
              <w:pStyle w:val="TableContents"/>
              <w:bidi w:val="0"/>
              <w:spacing w:before="0" w:after="283"/>
              <w:jc w:val="center"/>
              <w:rPr/>
            </w:pPr>
            <w:r>
              <w:rPr/>
              <w:t>20,984</w:t>
            </w:r>
          </w:p>
        </w:tc>
        <w:tc>
          <w:tcPr>
            <w:tcW w:w="101"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center"/>
              <w:rPr/>
            </w:pPr>
            <w:r>
              <w:rPr/>
              <w:t>1,125,229</w:t>
            </w:r>
          </w:p>
        </w:tc>
        <w:tc>
          <w:tcPr>
            <w:tcW w:w="75" w:type="dxa"/>
            <w:tcBorders>
              <w:bottom w:val="single" w:sz="6" w:space="0" w:color="7F7F7F"/>
            </w:tcBorders>
            <w:tcMar>
              <w:bottom w:w="80" w:type="dxa"/>
            </w:tcM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666" w:type="dxa"/>
            <w:gridSpan w:val="5"/>
            <w:tcBorders/>
            <w:vAlign w:val="center"/>
          </w:tcPr>
          <w:p>
            <w:pPr>
              <w:pStyle w:val="TableContents"/>
              <w:bidi w:val="0"/>
              <w:spacing w:before="0" w:after="283"/>
              <w:jc w:val="left"/>
              <w:rPr>
                <w:sz w:val="4"/>
                <w:szCs w:val="4"/>
              </w:rPr>
            </w:pPr>
            <w:r>
              <w:rPr>
                <w:sz w:val="4"/>
                <w:szCs w:val="4"/>
              </w:rPr>
            </w:r>
          </w:p>
        </w:tc>
        <w:tc>
          <w:tcPr>
            <w:tcW w:w="966" w:type="dxa"/>
            <w:gridSpan w:val="5"/>
            <w:tcBorders/>
            <w:vAlign w:val="center"/>
          </w:tcPr>
          <w:p>
            <w:pPr>
              <w:pStyle w:val="TableContents"/>
              <w:bidi w:val="0"/>
              <w:spacing w:before="0" w:after="283"/>
              <w:jc w:val="left"/>
              <w:rPr>
                <w:sz w:val="4"/>
                <w:szCs w:val="4"/>
              </w:rPr>
            </w:pPr>
            <w:r>
              <w:rPr>
                <w:sz w:val="4"/>
                <w:szCs w:val="4"/>
              </w:rPr>
            </w:r>
          </w:p>
        </w:tc>
        <w:tc>
          <w:tcPr>
            <w:tcW w:w="966" w:type="dxa"/>
            <w:gridSpan w:val="5"/>
            <w:tcBorders/>
            <w:vAlign w:val="center"/>
          </w:tcPr>
          <w:p>
            <w:pPr>
              <w:pStyle w:val="TableContents"/>
              <w:bidi w:val="0"/>
              <w:spacing w:before="0" w:after="283"/>
              <w:jc w:val="left"/>
              <w:rPr>
                <w:sz w:val="4"/>
                <w:szCs w:val="4"/>
              </w:rPr>
            </w:pPr>
            <w:r>
              <w:rPr>
                <w:sz w:val="4"/>
                <w:szCs w:val="4"/>
              </w:rPr>
            </w:r>
          </w:p>
        </w:tc>
        <w:tc>
          <w:tcPr>
            <w:tcW w:w="1146" w:type="dxa"/>
            <w:gridSpan w:val="5"/>
            <w:tcBorders/>
            <w:vAlign w:val="center"/>
          </w:tcPr>
          <w:p>
            <w:pPr>
              <w:pStyle w:val="TableContents"/>
              <w:bidi w:val="0"/>
              <w:spacing w:before="0" w:after="283"/>
              <w:jc w:val="left"/>
              <w:rPr>
                <w:sz w:val="4"/>
                <w:szCs w:val="4"/>
              </w:rPr>
            </w:pPr>
            <w:r>
              <w:rPr>
                <w:sz w:val="4"/>
                <w:szCs w:val="4"/>
              </w:rPr>
            </w:r>
          </w:p>
        </w:tc>
        <w:tc>
          <w:tcPr>
            <w:tcW w:w="85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88" w:type="dxa"/>
            <w:gridSpan w:val="5"/>
            <w:tcBorders/>
            <w:vAlign w:val="center"/>
          </w:tcPr>
          <w:p>
            <w:pPr>
              <w:pStyle w:val="TableContents"/>
              <w:bidi w:val="0"/>
              <w:spacing w:before="0" w:after="283"/>
              <w:jc w:val="left"/>
              <w:rPr>
                <w:sz w:val="4"/>
                <w:szCs w:val="4"/>
              </w:rPr>
            </w:pPr>
            <w:r>
              <w:rPr>
                <w:sz w:val="4"/>
                <w:szCs w:val="4"/>
              </w:rPr>
            </w:r>
          </w:p>
        </w:tc>
        <w:tc>
          <w:tcPr>
            <w:tcW w:w="1161"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b/>
                <w:i/>
                <w:color w:val="00AE4F"/>
                <w:sz w:val="16"/>
                <w:u w:val="single"/>
              </w:rPr>
            </w:pPr>
            <w:r>
              <w:rPr>
                <w:rFonts w:ascii="arial" w:hAnsi="arial"/>
                <w:b/>
                <w:i/>
                <w:color w:val="00AE4F"/>
                <w:sz w:val="16"/>
                <w:u w:val="single"/>
              </w:rPr>
              <w:t>Former Executives</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666" w:type="dxa"/>
            <w:gridSpan w:val="5"/>
            <w:tcBorders/>
            <w:vAlign w:val="center"/>
          </w:tcPr>
          <w:p>
            <w:pPr>
              <w:pStyle w:val="TableContents"/>
              <w:bidi w:val="0"/>
              <w:spacing w:before="0" w:after="283"/>
              <w:jc w:val="left"/>
              <w:rPr>
                <w:sz w:val="4"/>
                <w:szCs w:val="4"/>
              </w:rPr>
            </w:pPr>
            <w:r>
              <w:rPr>
                <w:sz w:val="4"/>
                <w:szCs w:val="4"/>
              </w:rPr>
            </w:r>
          </w:p>
        </w:tc>
        <w:tc>
          <w:tcPr>
            <w:tcW w:w="966" w:type="dxa"/>
            <w:gridSpan w:val="5"/>
            <w:tcBorders/>
            <w:vAlign w:val="center"/>
          </w:tcPr>
          <w:p>
            <w:pPr>
              <w:pStyle w:val="TableContents"/>
              <w:bidi w:val="0"/>
              <w:spacing w:before="0" w:after="283"/>
              <w:jc w:val="left"/>
              <w:rPr>
                <w:sz w:val="4"/>
                <w:szCs w:val="4"/>
              </w:rPr>
            </w:pPr>
            <w:r>
              <w:rPr>
                <w:sz w:val="4"/>
                <w:szCs w:val="4"/>
              </w:rPr>
            </w:r>
          </w:p>
        </w:tc>
        <w:tc>
          <w:tcPr>
            <w:tcW w:w="966" w:type="dxa"/>
            <w:gridSpan w:val="5"/>
            <w:tcBorders/>
            <w:vAlign w:val="center"/>
          </w:tcPr>
          <w:p>
            <w:pPr>
              <w:pStyle w:val="TableContents"/>
              <w:bidi w:val="0"/>
              <w:spacing w:before="0" w:after="283"/>
              <w:jc w:val="left"/>
              <w:rPr>
                <w:sz w:val="4"/>
                <w:szCs w:val="4"/>
              </w:rPr>
            </w:pPr>
            <w:r>
              <w:rPr>
                <w:sz w:val="4"/>
                <w:szCs w:val="4"/>
              </w:rPr>
            </w:r>
          </w:p>
        </w:tc>
        <w:tc>
          <w:tcPr>
            <w:tcW w:w="1146" w:type="dxa"/>
            <w:gridSpan w:val="5"/>
            <w:tcBorders/>
            <w:vAlign w:val="center"/>
          </w:tcPr>
          <w:p>
            <w:pPr>
              <w:pStyle w:val="TableContents"/>
              <w:bidi w:val="0"/>
              <w:spacing w:before="0" w:after="283"/>
              <w:jc w:val="left"/>
              <w:rPr>
                <w:sz w:val="4"/>
                <w:szCs w:val="4"/>
              </w:rPr>
            </w:pPr>
            <w:r>
              <w:rPr>
                <w:sz w:val="4"/>
                <w:szCs w:val="4"/>
              </w:rPr>
            </w:r>
          </w:p>
        </w:tc>
        <w:tc>
          <w:tcPr>
            <w:tcW w:w="85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88" w:type="dxa"/>
            <w:gridSpan w:val="5"/>
            <w:tcBorders/>
            <w:vAlign w:val="center"/>
          </w:tcPr>
          <w:p>
            <w:pPr>
              <w:pStyle w:val="TableContents"/>
              <w:bidi w:val="0"/>
              <w:spacing w:before="0" w:after="283"/>
              <w:jc w:val="left"/>
              <w:rPr>
                <w:sz w:val="4"/>
                <w:szCs w:val="4"/>
              </w:rPr>
            </w:pPr>
            <w:r>
              <w:rPr>
                <w:sz w:val="4"/>
                <w:szCs w:val="4"/>
              </w:rPr>
            </w:r>
          </w:p>
        </w:tc>
        <w:tc>
          <w:tcPr>
            <w:tcW w:w="1161"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b/>
                <w:sz w:val="16"/>
              </w:rPr>
            </w:pPr>
            <w:r>
              <w:rPr>
                <w:rFonts w:ascii="arial" w:hAnsi="arial"/>
                <w:b/>
                <w:sz w:val="16"/>
              </w:rPr>
              <w:t xml:space="preserve">Peter W. Quigley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884,135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2,321,887</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center"/>
              <w:rPr/>
            </w:pPr>
            <w:r>
              <w:rPr/>
              <w:t>—</w:t>
            </w:r>
          </w:p>
        </w:tc>
        <w:tc>
          <w:tcPr>
            <w:tcW w:w="12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center"/>
              <w:rPr/>
            </w:pPr>
            <w:r>
              <w:rPr/>
              <w:t>—</w:t>
            </w:r>
          </w:p>
        </w:tc>
        <w:tc>
          <w:tcPr>
            <w:tcW w:w="81"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center"/>
              <w:rPr/>
            </w:pPr>
            <w:r>
              <w:rPr/>
              <w:t>—</w:t>
            </w:r>
          </w:p>
        </w:tc>
        <w:tc>
          <w:tcPr>
            <w:tcW w:w="223"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center"/>
              <w:rPr/>
            </w:pPr>
            <w:r>
              <w:rPr/>
              <w:t>121,131</w:t>
            </w:r>
          </w:p>
        </w:tc>
        <w:tc>
          <w:tcPr>
            <w:tcW w:w="101"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3,327,152</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666" w:type="dxa"/>
            <w:gridSpan w:val="5"/>
            <w:tcBorders/>
            <w:vAlign w:val="center"/>
          </w:tcPr>
          <w:p>
            <w:pPr>
              <w:pStyle w:val="TableContents"/>
              <w:bidi w:val="0"/>
              <w:spacing w:before="0" w:after="283"/>
              <w:jc w:val="left"/>
              <w:rPr>
                <w:sz w:val="4"/>
                <w:szCs w:val="4"/>
              </w:rPr>
            </w:pPr>
            <w:r>
              <w:rPr>
                <w:sz w:val="4"/>
                <w:szCs w:val="4"/>
              </w:rPr>
            </w:r>
          </w:p>
        </w:tc>
        <w:tc>
          <w:tcPr>
            <w:tcW w:w="966" w:type="dxa"/>
            <w:gridSpan w:val="5"/>
            <w:tcBorders/>
            <w:vAlign w:val="center"/>
          </w:tcPr>
          <w:p>
            <w:pPr>
              <w:pStyle w:val="TableContents"/>
              <w:bidi w:val="0"/>
              <w:spacing w:before="0" w:after="283"/>
              <w:jc w:val="left"/>
              <w:rPr>
                <w:sz w:val="4"/>
                <w:szCs w:val="4"/>
              </w:rPr>
            </w:pPr>
            <w:r>
              <w:rPr>
                <w:sz w:val="4"/>
                <w:szCs w:val="4"/>
              </w:rPr>
            </w:r>
          </w:p>
        </w:tc>
        <w:tc>
          <w:tcPr>
            <w:tcW w:w="966" w:type="dxa"/>
            <w:gridSpan w:val="5"/>
            <w:tcBorders/>
            <w:vAlign w:val="center"/>
          </w:tcPr>
          <w:p>
            <w:pPr>
              <w:pStyle w:val="TableContents"/>
              <w:bidi w:val="0"/>
              <w:spacing w:before="0" w:after="283"/>
              <w:jc w:val="left"/>
              <w:rPr>
                <w:sz w:val="4"/>
                <w:szCs w:val="4"/>
              </w:rPr>
            </w:pPr>
            <w:r>
              <w:rPr>
                <w:sz w:val="4"/>
                <w:szCs w:val="4"/>
              </w:rPr>
            </w:r>
          </w:p>
        </w:tc>
        <w:tc>
          <w:tcPr>
            <w:tcW w:w="1146" w:type="dxa"/>
            <w:gridSpan w:val="5"/>
            <w:tcBorders/>
            <w:vAlign w:val="center"/>
          </w:tcPr>
          <w:p>
            <w:pPr>
              <w:pStyle w:val="TableContents"/>
              <w:bidi w:val="0"/>
              <w:spacing w:before="0" w:after="283"/>
              <w:jc w:val="left"/>
              <w:rPr>
                <w:sz w:val="4"/>
                <w:szCs w:val="4"/>
              </w:rPr>
            </w:pPr>
            <w:r>
              <w:rPr>
                <w:sz w:val="4"/>
                <w:szCs w:val="4"/>
              </w:rPr>
            </w:r>
          </w:p>
        </w:tc>
        <w:tc>
          <w:tcPr>
            <w:tcW w:w="85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88" w:type="dxa"/>
            <w:gridSpan w:val="5"/>
            <w:tcBorders/>
            <w:vAlign w:val="center"/>
          </w:tcPr>
          <w:p>
            <w:pPr>
              <w:pStyle w:val="TableContents"/>
              <w:bidi w:val="0"/>
              <w:spacing w:before="0" w:after="283"/>
              <w:jc w:val="left"/>
              <w:rPr>
                <w:sz w:val="4"/>
                <w:szCs w:val="4"/>
              </w:rPr>
            </w:pPr>
            <w:r>
              <w:rPr>
                <w:sz w:val="4"/>
                <w:szCs w:val="4"/>
              </w:rPr>
            </w:r>
          </w:p>
        </w:tc>
        <w:tc>
          <w:tcPr>
            <w:tcW w:w="1161" w:type="dxa"/>
            <w:gridSpan w:val="5"/>
            <w:tcBorders/>
            <w:vAlign w:val="center"/>
          </w:tcPr>
          <w:p>
            <w:pPr>
              <w:pStyle w:val="TableContents"/>
              <w:bidi w:val="0"/>
              <w:spacing w:before="0" w:after="283"/>
              <w:jc w:val="left"/>
              <w:rPr>
                <w:sz w:val="4"/>
                <w:szCs w:val="4"/>
              </w:rPr>
            </w:pPr>
            <w:r>
              <w:rPr>
                <w:sz w:val="4"/>
                <w:szCs w:val="4"/>
              </w:rPr>
            </w:r>
          </w:p>
        </w:tc>
      </w:tr>
      <w:tr>
        <w:trPr/>
        <w:tc>
          <w:tcPr>
            <w:tcW w:w="980" w:type="dxa"/>
            <w:vMerge w:val="restart"/>
            <w:tcBorders>
              <w:bottom w:val="single" w:sz="6" w:space="0" w:color="7F7F7F"/>
            </w:tcBorders>
            <w:tcMar>
              <w:bottom w:w="28" w:type="dxa"/>
            </w:tcMar>
            <w:vAlign w:val="center"/>
          </w:tcPr>
          <w:p>
            <w:pPr>
              <w:pStyle w:val="TableContents"/>
              <w:bidi w:val="0"/>
              <w:spacing w:before="0" w:after="0"/>
              <w:jc w:val="left"/>
              <w:rPr>
                <w:rFonts w:ascii="arial" w:hAnsi="arial"/>
                <w:i/>
                <w:sz w:val="16"/>
              </w:rPr>
            </w:pPr>
            <w:r>
              <w:rPr>
                <w:rFonts w:ascii="arial" w:hAnsi="arial"/>
                <w:i/>
                <w:sz w:val="16"/>
              </w:rPr>
              <w:t>Former President and Chief Executive Officer</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954,808</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2,381,060</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center"/>
              <w:rPr/>
            </w:pPr>
            <w:r>
              <w:rPr/>
              <w:t>—</w:t>
            </w:r>
          </w:p>
        </w:tc>
        <w:tc>
          <w:tcPr>
            <w:tcW w:w="12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center"/>
              <w:rPr/>
            </w:pPr>
            <w:r>
              <w:rPr/>
              <w:t>675,000</w:t>
            </w:r>
          </w:p>
        </w:tc>
        <w:tc>
          <w:tcPr>
            <w:tcW w:w="81"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center"/>
              <w:rPr/>
            </w:pPr>
            <w:r>
              <w:rPr/>
              <w:t>—</w:t>
            </w:r>
          </w:p>
        </w:tc>
        <w:tc>
          <w:tcPr>
            <w:tcW w:w="223"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center"/>
              <w:rPr/>
            </w:pPr>
            <w:r>
              <w:rPr/>
              <w:t>117,571</w:t>
            </w:r>
          </w:p>
        </w:tc>
        <w:tc>
          <w:tcPr>
            <w:tcW w:w="101"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4,128,439</w:t>
            </w:r>
          </w:p>
        </w:tc>
        <w:tc>
          <w:tcPr>
            <w:tcW w:w="75" w:type="dxa"/>
            <w:tcBorders/>
            <w:vAlign w:val="center"/>
          </w:tcPr>
          <w:p>
            <w:pPr>
              <w:pStyle w:val="TableContents"/>
              <w:bidi w:val="0"/>
              <w:spacing w:before="0" w:after="283"/>
              <w:jc w:val="left"/>
              <w:rPr/>
            </w:pPr>
            <w:r>
              <w:rPr/>
              <w:t> </w:t>
            </w:r>
          </w:p>
        </w:tc>
      </w:tr>
      <w:tr>
        <w:trPr/>
        <w:tc>
          <w:tcPr>
            <w:tcW w:w="980" w:type="dxa"/>
            <w:vMerge w:val="continue"/>
            <w:tcBorders>
              <w:bottom w:val="single" w:sz="6" w:space="0" w:color="7F7F7F"/>
            </w:tcBorders>
            <w:tcMar>
              <w:bottom w:w="28" w:type="dxa"/>
            </w:tcMar>
            <w:vAlign w:val="center"/>
          </w:tcPr>
          <w:p>
            <w:pPr>
              <w:pStyle w:val="Normal"/>
              <w:bidi w:val="0"/>
              <w:jc w:val="left"/>
              <w:rPr/>
            </w:pPr>
            <w:r>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500" w:type="dxa"/>
            <w:tcBorders>
              <w:bottom w:val="single" w:sz="6" w:space="0" w:color="7F7F7F"/>
            </w:tcBorders>
            <w:tcMar>
              <w:bottom w:w="80" w:type="dxa"/>
            </w:tcMar>
            <w:vAlign w:val="center"/>
          </w:tcPr>
          <w:p>
            <w:pPr>
              <w:pStyle w:val="TableContents"/>
              <w:bidi w:val="0"/>
              <w:spacing w:before="0" w:after="283"/>
              <w:jc w:val="center"/>
              <w:rPr/>
            </w:pPr>
            <w:r>
              <w:rPr/>
              <w:t>2023</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800" w:type="dxa"/>
            <w:tcBorders>
              <w:bottom w:val="single" w:sz="6" w:space="0" w:color="7F7F7F"/>
            </w:tcBorders>
            <w:tcMar>
              <w:bottom w:w="80" w:type="dxa"/>
            </w:tcMar>
            <w:vAlign w:val="center"/>
          </w:tcPr>
          <w:p>
            <w:pPr>
              <w:pStyle w:val="TableContents"/>
              <w:bidi w:val="0"/>
              <w:spacing w:before="0" w:after="283"/>
              <w:jc w:val="center"/>
              <w:rPr/>
            </w:pPr>
            <w:r>
              <w:rPr/>
              <w:t>900,000</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800" w:type="dxa"/>
            <w:tcBorders>
              <w:bottom w:val="single" w:sz="6" w:space="0" w:color="7F7F7F"/>
            </w:tcBorders>
            <w:tcMar>
              <w:bottom w:w="80" w:type="dxa"/>
            </w:tcMar>
            <w:vAlign w:val="center"/>
          </w:tcPr>
          <w:p>
            <w:pPr>
              <w:pStyle w:val="TableContents"/>
              <w:bidi w:val="0"/>
              <w:spacing w:before="0" w:after="283"/>
              <w:jc w:val="center"/>
              <w:rPr/>
            </w:pPr>
            <w:r>
              <w:rPr/>
              <w:t>—</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center"/>
              <w:rPr/>
            </w:pPr>
            <w:r>
              <w:rPr/>
              <w:t>2,160,522</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6" w:space="0" w:color="7F7F7F"/>
            </w:tcBorders>
            <w:tcMar>
              <w:bottom w:w="80" w:type="dxa"/>
            </w:tcMar>
            <w:vAlign w:val="center"/>
          </w:tcPr>
          <w:p>
            <w:pPr>
              <w:pStyle w:val="TableContents"/>
              <w:bidi w:val="0"/>
              <w:spacing w:before="0" w:after="283"/>
              <w:jc w:val="left"/>
              <w:rPr/>
            </w:pPr>
            <w:r>
              <w:rPr/>
              <w:t> </w:t>
            </w:r>
          </w:p>
        </w:tc>
        <w:tc>
          <w:tcPr>
            <w:tcW w:w="535" w:type="dxa"/>
            <w:tcBorders>
              <w:bottom w:val="single" w:sz="6" w:space="0" w:color="7F7F7F"/>
            </w:tcBorders>
            <w:tcMar>
              <w:bottom w:w="80" w:type="dxa"/>
            </w:tcMar>
            <w:vAlign w:val="center"/>
          </w:tcPr>
          <w:p>
            <w:pPr>
              <w:pStyle w:val="TableContents"/>
              <w:bidi w:val="0"/>
              <w:spacing w:before="0" w:after="283"/>
              <w:jc w:val="center"/>
              <w:rPr/>
            </w:pPr>
            <w:r>
              <w:rPr/>
              <w:t>—</w:t>
            </w:r>
          </w:p>
        </w:tc>
        <w:tc>
          <w:tcPr>
            <w:tcW w:w="125"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7F7F7F"/>
            </w:tcBorders>
            <w:tcMar>
              <w:bottom w:w="80" w:type="dxa"/>
            </w:tcMar>
            <w:vAlign w:val="center"/>
          </w:tcPr>
          <w:p>
            <w:pPr>
              <w:pStyle w:val="TableContents"/>
              <w:bidi w:val="0"/>
              <w:spacing w:before="0" w:after="283"/>
              <w:jc w:val="left"/>
              <w:rPr/>
            </w:pPr>
            <w:r>
              <w:rPr/>
              <w:t> </w:t>
            </w:r>
          </w:p>
        </w:tc>
        <w:tc>
          <w:tcPr>
            <w:tcW w:w="1300" w:type="dxa"/>
            <w:tcBorders>
              <w:bottom w:val="single" w:sz="6" w:space="0" w:color="7F7F7F"/>
            </w:tcBorders>
            <w:tcMar>
              <w:bottom w:w="80" w:type="dxa"/>
            </w:tcMar>
            <w:vAlign w:val="center"/>
          </w:tcPr>
          <w:p>
            <w:pPr>
              <w:pStyle w:val="TableContents"/>
              <w:bidi w:val="0"/>
              <w:spacing w:before="0" w:after="283"/>
              <w:jc w:val="center"/>
              <w:rPr/>
            </w:pPr>
            <w:r>
              <w:rPr/>
              <w:t>1,015,200</w:t>
            </w:r>
          </w:p>
        </w:tc>
        <w:tc>
          <w:tcPr>
            <w:tcW w:w="81"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21" w:type="dxa"/>
            <w:tcBorders>
              <w:bottom w:val="single" w:sz="6" w:space="0" w:color="7F7F7F"/>
            </w:tcBorders>
            <w:tcMar>
              <w:bottom w:w="80" w:type="dxa"/>
            </w:tcMar>
            <w:vAlign w:val="center"/>
          </w:tcPr>
          <w:p>
            <w:pPr>
              <w:pStyle w:val="TableContents"/>
              <w:bidi w:val="0"/>
              <w:spacing w:before="0" w:after="283"/>
              <w:jc w:val="left"/>
              <w:rPr/>
            </w:pPr>
            <w:r>
              <w:rPr/>
              <w:t> </w:t>
            </w:r>
          </w:p>
        </w:tc>
        <w:tc>
          <w:tcPr>
            <w:tcW w:w="961" w:type="dxa"/>
            <w:tcBorders>
              <w:bottom w:val="single" w:sz="6" w:space="0" w:color="7F7F7F"/>
            </w:tcBorders>
            <w:tcMar>
              <w:bottom w:w="80" w:type="dxa"/>
            </w:tcMar>
            <w:vAlign w:val="center"/>
          </w:tcPr>
          <w:p>
            <w:pPr>
              <w:pStyle w:val="TableContents"/>
              <w:bidi w:val="0"/>
              <w:spacing w:before="0" w:after="283"/>
              <w:jc w:val="center"/>
              <w:rPr/>
            </w:pPr>
            <w:r>
              <w:rPr/>
              <w:t>—</w:t>
            </w:r>
          </w:p>
        </w:tc>
        <w:tc>
          <w:tcPr>
            <w:tcW w:w="223"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7F7F7F"/>
            </w:tcBorders>
            <w:tcMar>
              <w:bottom w:w="80" w:type="dxa"/>
            </w:tcMar>
            <w:vAlign w:val="center"/>
          </w:tcPr>
          <w:p>
            <w:pPr>
              <w:pStyle w:val="TableContents"/>
              <w:bidi w:val="0"/>
              <w:spacing w:before="0" w:after="283"/>
              <w:jc w:val="left"/>
              <w:rPr/>
            </w:pPr>
            <w:r>
              <w:rPr/>
              <w:t> </w:t>
            </w:r>
          </w:p>
        </w:tc>
        <w:tc>
          <w:tcPr>
            <w:tcW w:w="1327" w:type="dxa"/>
            <w:tcBorders>
              <w:bottom w:val="single" w:sz="6" w:space="0" w:color="7F7F7F"/>
            </w:tcBorders>
            <w:tcMar>
              <w:bottom w:w="80" w:type="dxa"/>
            </w:tcMar>
            <w:vAlign w:val="center"/>
          </w:tcPr>
          <w:p>
            <w:pPr>
              <w:pStyle w:val="TableContents"/>
              <w:bidi w:val="0"/>
              <w:spacing w:before="0" w:after="283"/>
              <w:jc w:val="center"/>
              <w:rPr/>
            </w:pPr>
            <w:r>
              <w:rPr/>
              <w:t>87,702</w:t>
            </w:r>
          </w:p>
        </w:tc>
        <w:tc>
          <w:tcPr>
            <w:tcW w:w="101"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center"/>
              <w:rPr/>
            </w:pPr>
            <w:r>
              <w:rPr/>
              <w:t>4,163,424</w:t>
            </w:r>
          </w:p>
        </w:tc>
        <w:tc>
          <w:tcPr>
            <w:tcW w:w="75" w:type="dxa"/>
            <w:tcBorders>
              <w:bottom w:val="single" w:sz="6" w:space="0" w:color="7F7F7F"/>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0"/>
              <w:jc w:val="left"/>
              <w:rPr>
                <w:rFonts w:ascii="arial" w:hAnsi="arial"/>
                <w:sz w:val="14"/>
              </w:rPr>
            </w:pPr>
            <w:r>
              <w:rPr>
                <w:rFonts w:ascii="arial" w:hAnsi="arial"/>
                <w:sz w:val="14"/>
              </w:rPr>
              <w:t xml:space="preserve">Represents 2025, 2024, and 2023 actual base salary earnings. Mr. Layden was hired as President and Chief Executive Officer in 2025. Ms. Browning was not a named executive officer in 2024 and 2023 and Ms. Soares was not a named executive officer in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rFonts w:ascii="arial" w:hAnsi="arial"/>
                <w:sz w:val="14"/>
              </w:rPr>
            </w:pPr>
            <w:r>
              <w:rPr>
                <w:rFonts w:ascii="arial" w:hAnsi="arial"/>
                <w:sz w:val="14"/>
              </w:rPr>
              <w:t xml:space="preserve">The grant date fair values reported for 2025 are determined by multiplying the number of shares granted by the Market Value (“MV”) on the grant date. MV for Restricted Stock is determined by the closing price on the date of grant. MV for Performance Shares is determined by the closing stock price on the date of grant, discounted because these shares are not eligible for dividends. The MV for the Restricted Stock granted to all named officers on February 11, 2025 is $13.44. The MV for Performance Shares granted to all named officers on February 11, 2025 is $12.59. The MV for the Restricted Stock granted to Ms. Browning on August 15, 2025, is $14.03. The MV for the Restricted Stock granted to Mr. Layden on September 15, 2025, is $13.78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(3)</w:t>
            </w:r>
          </w:p>
        </w:tc>
        <w:tc>
          <w:tcPr>
            <w:tcW w:w="9944" w:type="dxa"/>
            <w:tcBorders/>
            <w:vAlign w:val="center"/>
          </w:tcPr>
          <w:p>
            <w:pPr>
              <w:pStyle w:val="TableContents"/>
              <w:bidi w:val="0"/>
              <w:spacing w:before="0" w:after="0"/>
              <w:jc w:val="left"/>
              <w:rPr>
                <w:rFonts w:ascii="arial" w:hAnsi="arial"/>
                <w:sz w:val="14"/>
              </w:rPr>
            </w:pPr>
            <w:r>
              <w:rPr>
                <w:rFonts w:ascii="arial" w:hAnsi="arial"/>
                <w:sz w:val="14"/>
              </w:rPr>
              <w:t xml:space="preserve">The maximum number of shares and award value for Performance Share awards for the 2025-2027 performance period is 200% of target shares granted. The table below shows the maximum number of shares and value for Performance Share awards based on achievement of financial measures using the values of $12.59 for shares granted February 11, 2025. </w:t>
            </w:r>
          </w:p>
        </w:tc>
      </w:tr>
    </w:tbl>
    <w:p>
      <w:pPr>
        <w:pStyle w:val="TextBody"/>
        <w:bidi w:val="0"/>
        <w:spacing w:before="0" w:after="0"/>
        <w:jc w:val="left"/>
        <w:rPr/>
      </w:pPr>
      <w:r>
        <w:rPr/>
        <w:t> </w:t>
      </w:r>
    </w:p>
    <w:tbl>
      <w:tblPr>
        <w:tblW w:w="6118" w:type="dxa"/>
        <w:jc w:val="left"/>
        <w:tblInd w:w="0" w:type="dxa"/>
        <w:tblLayout w:type="fixed"/>
        <w:tblCellMar>
          <w:top w:w="0" w:type="dxa"/>
          <w:left w:w="0" w:type="dxa"/>
          <w:bottom w:w="0" w:type="dxa"/>
          <w:right w:w="0" w:type="dxa"/>
        </w:tblCellMar>
      </w:tblPr>
      <w:tblGrid>
        <w:gridCol w:w="1820"/>
        <w:gridCol w:w="120"/>
        <w:gridCol w:w="142"/>
        <w:gridCol w:w="142"/>
        <w:gridCol w:w="1900"/>
        <w:gridCol w:w="56"/>
        <w:gridCol w:w="120"/>
        <w:gridCol w:w="95"/>
        <w:gridCol w:w="95"/>
        <w:gridCol w:w="1566"/>
        <w:gridCol w:w="62"/>
      </w:tblGrid>
      <w:tr>
        <w:trPr/>
        <w:tc>
          <w:tcPr>
            <w:tcW w:w="1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8" w:space="0" w:color="33302B"/>
            </w:tcBorders>
            <w:tcMar>
              <w:bottom w:w="80" w:type="dxa"/>
            </w:tcMar>
            <w:vAlign w:val="center"/>
          </w:tcPr>
          <w:p>
            <w:pPr>
              <w:pStyle w:val="TableContents"/>
              <w:bidi w:val="0"/>
              <w:spacing w:before="0" w:after="0"/>
              <w:jc w:val="left"/>
              <w:rPr>
                <w:rFonts w:ascii="arial" w:hAnsi="arial"/>
                <w:b/>
                <w:color w:val="00AE4F"/>
                <w:sz w:val="16"/>
              </w:rPr>
            </w:pPr>
            <w:r>
              <w:rPr>
                <w:rFonts w:ascii="arial" w:hAnsi="arial"/>
                <w:b/>
                <w:color w:val="00AE4F"/>
                <w:sz w:val="16"/>
              </w:rPr>
              <w:t>Name</w:t>
            </w:r>
          </w:p>
        </w:tc>
        <w:tc>
          <w:tcPr>
            <w:tcW w:w="120" w:type="dxa"/>
            <w:tcBorders>
              <w:bottom w:val="single" w:sz="8" w:space="0" w:color="33302B"/>
            </w:tcBorders>
            <w:tcMar>
              <w:bottom w:w="28" w:type="dxa"/>
            </w:tcMar>
            <w:vAlign w:val="center"/>
          </w:tcPr>
          <w:p>
            <w:pPr>
              <w:pStyle w:val="TableContents"/>
              <w:bidi w:val="0"/>
              <w:spacing w:before="0" w:after="283"/>
              <w:jc w:val="left"/>
              <w:rPr/>
            </w:pPr>
            <w:r>
              <w:rPr/>
              <w:t>  </w:t>
            </w:r>
          </w:p>
        </w:tc>
        <w:tc>
          <w:tcPr>
            <w:tcW w:w="2240" w:type="dxa"/>
            <w:gridSpan w:val="4"/>
            <w:tcBorders>
              <w:bottom w:val="single" w:sz="8" w:space="0" w:color="33302B"/>
            </w:tcBorders>
            <w:tcMar>
              <w:bottom w:w="80" w:type="dxa"/>
            </w:tcMar>
            <w:vAlign w:val="center"/>
          </w:tcPr>
          <w:p>
            <w:pPr>
              <w:pStyle w:val="TableContents"/>
              <w:bidi w:val="0"/>
              <w:spacing w:before="0" w:after="283"/>
              <w:jc w:val="center"/>
              <w:rPr>
                <w:b/>
                <w:color w:val="00AE4F"/>
              </w:rPr>
            </w:pPr>
            <w:r>
              <w:rPr>
                <w:b/>
                <w:color w:val="00AE4F"/>
              </w:rPr>
              <w:t>Maximum Number of</w:t>
              <w:br/>
              <w:t>Performance Shares</w:t>
            </w:r>
          </w:p>
        </w:tc>
        <w:tc>
          <w:tcPr>
            <w:tcW w:w="120" w:type="dxa"/>
            <w:tcBorders>
              <w:bottom w:val="single" w:sz="8" w:space="0" w:color="33302B"/>
            </w:tcBorders>
            <w:tcMar>
              <w:bottom w:w="28" w:type="dxa"/>
            </w:tcMar>
            <w:vAlign w:val="center"/>
          </w:tcPr>
          <w:p>
            <w:pPr>
              <w:pStyle w:val="TableContents"/>
              <w:bidi w:val="0"/>
              <w:spacing w:before="0" w:after="283"/>
              <w:jc w:val="left"/>
              <w:rPr/>
            </w:pPr>
            <w:r>
              <w:rPr/>
              <w:t>  </w:t>
            </w:r>
          </w:p>
        </w:tc>
        <w:tc>
          <w:tcPr>
            <w:tcW w:w="1818" w:type="dxa"/>
            <w:gridSpan w:val="4"/>
            <w:tcBorders>
              <w:bottom w:val="single" w:sz="8" w:space="0" w:color="33302B"/>
            </w:tcBorders>
            <w:tcMar>
              <w:bottom w:w="80" w:type="dxa"/>
            </w:tcMar>
            <w:vAlign w:val="center"/>
          </w:tcPr>
          <w:p>
            <w:pPr>
              <w:pStyle w:val="TableContents"/>
              <w:bidi w:val="0"/>
              <w:spacing w:before="0" w:after="0"/>
              <w:jc w:val="center"/>
              <w:rPr>
                <w:rFonts w:ascii="arial" w:hAnsi="arial"/>
                <w:b/>
                <w:color w:val="00AE4F"/>
                <w:sz w:val="16"/>
              </w:rPr>
            </w:pPr>
            <w:r>
              <w:rPr>
                <w:rFonts w:ascii="arial" w:hAnsi="arial"/>
                <w:b/>
                <w:color w:val="00AE4F"/>
                <w:sz w:val="16"/>
              </w:rPr>
              <w:t>Maximum Value of  </w:t>
            </w:r>
          </w:p>
          <w:p>
            <w:pPr>
              <w:pStyle w:val="TableContents"/>
              <w:bidi w:val="0"/>
              <w:spacing w:before="0" w:after="20"/>
              <w:jc w:val="center"/>
              <w:rPr>
                <w:rFonts w:ascii="arial" w:hAnsi="arial"/>
                <w:b/>
                <w:color w:val="00AE4F"/>
                <w:sz w:val="16"/>
              </w:rPr>
            </w:pPr>
            <w:r>
              <w:rPr>
                <w:rFonts w:ascii="arial" w:hAnsi="arial"/>
                <w:b/>
                <w:color w:val="00AE4F"/>
                <w:sz w:val="16"/>
              </w:rPr>
              <w:t>Performance Shares  </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60" w:type="dxa"/>
            <w:gridSpan w:val="5"/>
            <w:tcBorders/>
            <w:vAlign w:val="center"/>
          </w:tcPr>
          <w:p>
            <w:pPr>
              <w:pStyle w:val="TableContents"/>
              <w:bidi w:val="0"/>
              <w:spacing w:before="0" w:after="283"/>
              <w:jc w:val="left"/>
              <w:rPr>
                <w:sz w:val="4"/>
                <w:szCs w:val="4"/>
              </w:rPr>
            </w:pPr>
            <w:r>
              <w:rPr>
                <w:sz w:val="4"/>
                <w:szCs w:val="4"/>
              </w:rPr>
            </w:r>
          </w:p>
        </w:tc>
        <w:tc>
          <w:tcPr>
            <w:tcW w:w="1938"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Christopher D. Layden</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42" w:type="dxa"/>
            <w:tcBorders>
              <w:bottom w:val="single" w:sz="6" w:space="0" w:color="7F7F7F"/>
            </w:tcBorders>
            <w:tcMar>
              <w:bottom w:w="28" w:type="dxa"/>
            </w:tcMar>
            <w:vAlign w:val="center"/>
          </w:tcPr>
          <w:p>
            <w:pPr>
              <w:pStyle w:val="TableContents"/>
              <w:bidi w:val="0"/>
              <w:spacing w:before="0" w:after="283"/>
              <w:jc w:val="left"/>
              <w:rPr/>
            </w:pPr>
            <w:r>
              <w:rPr/>
              <w:t> </w:t>
            </w:r>
          </w:p>
        </w:tc>
        <w:tc>
          <w:tcPr>
            <w:tcW w:w="142" w:type="dxa"/>
            <w:tcBorders>
              <w:bottom w:val="single" w:sz="6" w:space="0" w:color="7F7F7F"/>
            </w:tcBorders>
            <w:tcMar>
              <w:bottom w:w="80" w:type="dxa"/>
            </w:tcMar>
            <w:vAlign w:val="center"/>
          </w:tcPr>
          <w:p>
            <w:pPr>
              <w:pStyle w:val="TableContents"/>
              <w:bidi w:val="0"/>
              <w:spacing w:before="0" w:after="283"/>
              <w:jc w:val="left"/>
              <w:rPr/>
            </w:pPr>
            <w:r>
              <w:rPr/>
              <w:t> </w:t>
            </w:r>
          </w:p>
        </w:tc>
        <w:tc>
          <w:tcPr>
            <w:tcW w:w="1900" w:type="dxa"/>
            <w:tcBorders>
              <w:bottom w:val="single" w:sz="6" w:space="0" w:color="7F7F7F"/>
            </w:tcBorders>
            <w:tcMar>
              <w:bottom w:w="80" w:type="dxa"/>
            </w:tcMar>
            <w:vAlign w:val="center"/>
          </w:tcPr>
          <w:p>
            <w:pPr>
              <w:pStyle w:val="TableContents"/>
              <w:bidi w:val="0"/>
              <w:spacing w:before="0" w:after="283"/>
              <w:jc w:val="right"/>
              <w:rPr/>
            </w:pPr>
            <w:r>
              <w:rPr/>
              <w:t>—</w:t>
            </w:r>
          </w:p>
        </w:tc>
        <w:tc>
          <w:tcPr>
            <w:tcW w:w="56"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95" w:type="dxa"/>
            <w:tcBorders>
              <w:bottom w:val="single" w:sz="6" w:space="0" w:color="7F7F7F"/>
            </w:tcBorders>
            <w:tcMar>
              <w:bottom w:w="28" w:type="dxa"/>
            </w:tcMar>
            <w:vAlign w:val="center"/>
          </w:tcPr>
          <w:p>
            <w:pPr>
              <w:pStyle w:val="TableContents"/>
              <w:bidi w:val="0"/>
              <w:spacing w:before="0" w:after="283"/>
              <w:jc w:val="left"/>
              <w:rPr/>
            </w:pPr>
            <w:r>
              <w:rPr/>
              <w:t> </w:t>
            </w:r>
          </w:p>
        </w:tc>
        <w:tc>
          <w:tcPr>
            <w:tcW w:w="95" w:type="dxa"/>
            <w:tcBorders>
              <w:bottom w:val="single" w:sz="6" w:space="0" w:color="7F7F7F"/>
            </w:tcBorders>
            <w:tcMar>
              <w:bottom w:w="80" w:type="dxa"/>
            </w:tcMar>
            <w:vAlign w:val="center"/>
          </w:tcPr>
          <w:p>
            <w:pPr>
              <w:pStyle w:val="TableContents"/>
              <w:bidi w:val="0"/>
              <w:spacing w:before="0" w:after="283"/>
              <w:jc w:val="left"/>
              <w:rPr/>
            </w:pPr>
            <w:r>
              <w:rPr/>
              <w:t> </w:t>
            </w:r>
          </w:p>
        </w:tc>
        <w:tc>
          <w:tcPr>
            <w:tcW w:w="1566" w:type="dxa"/>
            <w:tcBorders>
              <w:bottom w:val="single" w:sz="6" w:space="0" w:color="7F7F7F"/>
            </w:tcBorders>
            <w:tcMar>
              <w:bottom w:w="80" w:type="dxa"/>
            </w:tcMar>
            <w:vAlign w:val="center"/>
          </w:tcPr>
          <w:p>
            <w:pPr>
              <w:pStyle w:val="TableContents"/>
              <w:bidi w:val="0"/>
              <w:spacing w:before="0" w:after="283"/>
              <w:jc w:val="right"/>
              <w:rPr/>
            </w:pPr>
            <w:r>
              <w:rPr/>
              <w:t>—</w:t>
            </w:r>
          </w:p>
        </w:tc>
        <w:tc>
          <w:tcPr>
            <w:tcW w:w="62"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60" w:type="dxa"/>
            <w:gridSpan w:val="5"/>
            <w:tcBorders/>
            <w:vAlign w:val="center"/>
          </w:tcPr>
          <w:p>
            <w:pPr>
              <w:pStyle w:val="TableContents"/>
              <w:bidi w:val="0"/>
              <w:spacing w:before="0" w:after="283"/>
              <w:jc w:val="left"/>
              <w:rPr>
                <w:sz w:val="4"/>
                <w:szCs w:val="4"/>
              </w:rPr>
            </w:pPr>
            <w:r>
              <w:rPr>
                <w:sz w:val="4"/>
                <w:szCs w:val="4"/>
              </w:rPr>
            </w:r>
          </w:p>
        </w:tc>
        <w:tc>
          <w:tcPr>
            <w:tcW w:w="1938"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Troy R. Anderson</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42" w:type="dxa"/>
            <w:tcBorders>
              <w:bottom w:val="single" w:sz="6" w:space="0" w:color="7F7F7F"/>
            </w:tcBorders>
            <w:tcMar>
              <w:bottom w:w="28" w:type="dxa"/>
            </w:tcMar>
            <w:vAlign w:val="center"/>
          </w:tcPr>
          <w:p>
            <w:pPr>
              <w:pStyle w:val="TableContents"/>
              <w:bidi w:val="0"/>
              <w:spacing w:before="0" w:after="283"/>
              <w:jc w:val="left"/>
              <w:rPr/>
            </w:pPr>
            <w:r>
              <w:rPr/>
              <w:t> </w:t>
            </w:r>
          </w:p>
        </w:tc>
        <w:tc>
          <w:tcPr>
            <w:tcW w:w="142" w:type="dxa"/>
            <w:tcBorders>
              <w:bottom w:val="single" w:sz="6" w:space="0" w:color="7F7F7F"/>
            </w:tcBorders>
            <w:tcMar>
              <w:bottom w:w="80" w:type="dxa"/>
            </w:tcMar>
            <w:vAlign w:val="center"/>
          </w:tcPr>
          <w:p>
            <w:pPr>
              <w:pStyle w:val="TableContents"/>
              <w:bidi w:val="0"/>
              <w:spacing w:before="0" w:after="283"/>
              <w:jc w:val="left"/>
              <w:rPr/>
            </w:pPr>
            <w:r>
              <w:rPr/>
              <w:t> </w:t>
            </w:r>
          </w:p>
        </w:tc>
        <w:tc>
          <w:tcPr>
            <w:tcW w:w="1900" w:type="dxa"/>
            <w:tcBorders>
              <w:bottom w:val="single" w:sz="6" w:space="0" w:color="7F7F7F"/>
            </w:tcBorders>
            <w:tcMar>
              <w:bottom w:w="80" w:type="dxa"/>
            </w:tcMar>
            <w:vAlign w:val="center"/>
          </w:tcPr>
          <w:p>
            <w:pPr>
              <w:pStyle w:val="TableContents"/>
              <w:bidi w:val="0"/>
              <w:spacing w:before="0" w:after="283"/>
              <w:jc w:val="right"/>
              <w:rPr/>
            </w:pPr>
            <w:r>
              <w:rPr/>
              <w:t>87,056</w:t>
            </w:r>
          </w:p>
        </w:tc>
        <w:tc>
          <w:tcPr>
            <w:tcW w:w="56"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95" w:type="dxa"/>
            <w:tcBorders>
              <w:bottom w:val="single" w:sz="6" w:space="0" w:color="7F7F7F"/>
            </w:tcBorders>
            <w:tcMar>
              <w:bottom w:w="28" w:type="dxa"/>
            </w:tcMar>
            <w:vAlign w:val="center"/>
          </w:tcPr>
          <w:p>
            <w:pPr>
              <w:pStyle w:val="TableContents"/>
              <w:bidi w:val="0"/>
              <w:spacing w:before="0" w:after="283"/>
              <w:jc w:val="left"/>
              <w:rPr/>
            </w:pPr>
            <w:r>
              <w:rPr/>
              <w:t> </w:t>
            </w:r>
          </w:p>
        </w:tc>
        <w:tc>
          <w:tcPr>
            <w:tcW w:w="95" w:type="dxa"/>
            <w:tcBorders>
              <w:bottom w:val="single" w:sz="6" w:space="0" w:color="7F7F7F"/>
            </w:tcBorders>
            <w:tcMar>
              <w:bottom w:w="80" w:type="dxa"/>
            </w:tcMar>
            <w:vAlign w:val="center"/>
          </w:tcPr>
          <w:p>
            <w:pPr>
              <w:pStyle w:val="TableContents"/>
              <w:bidi w:val="0"/>
              <w:spacing w:before="0" w:after="283"/>
              <w:jc w:val="left"/>
              <w:rPr/>
            </w:pPr>
            <w:r>
              <w:rPr/>
              <w:t> </w:t>
            </w:r>
          </w:p>
        </w:tc>
        <w:tc>
          <w:tcPr>
            <w:tcW w:w="1566" w:type="dxa"/>
            <w:tcBorders>
              <w:bottom w:val="single" w:sz="6" w:space="0" w:color="7F7F7F"/>
            </w:tcBorders>
            <w:tcMar>
              <w:bottom w:w="80" w:type="dxa"/>
            </w:tcMar>
            <w:vAlign w:val="center"/>
          </w:tcPr>
          <w:p>
            <w:pPr>
              <w:pStyle w:val="TableContents"/>
              <w:bidi w:val="0"/>
              <w:spacing w:before="0" w:after="283"/>
              <w:jc w:val="right"/>
              <w:rPr/>
            </w:pPr>
            <w:r>
              <w:rPr/>
              <w:t>1,096,035</w:t>
            </w:r>
          </w:p>
        </w:tc>
        <w:tc>
          <w:tcPr>
            <w:tcW w:w="62"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60" w:type="dxa"/>
            <w:gridSpan w:val="5"/>
            <w:tcBorders/>
            <w:vAlign w:val="center"/>
          </w:tcPr>
          <w:p>
            <w:pPr>
              <w:pStyle w:val="TableContents"/>
              <w:bidi w:val="0"/>
              <w:spacing w:before="0" w:after="283"/>
              <w:jc w:val="left"/>
              <w:rPr>
                <w:sz w:val="4"/>
                <w:szCs w:val="4"/>
              </w:rPr>
            </w:pPr>
            <w:r>
              <w:rPr>
                <w:sz w:val="4"/>
                <w:szCs w:val="4"/>
              </w:rPr>
            </w:r>
          </w:p>
        </w:tc>
        <w:tc>
          <w:tcPr>
            <w:tcW w:w="1938"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Vanessa P. Williams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42" w:type="dxa"/>
            <w:tcBorders>
              <w:bottom w:val="single" w:sz="6" w:space="0" w:color="7F7F7F"/>
            </w:tcBorders>
            <w:tcMar>
              <w:bottom w:w="28" w:type="dxa"/>
            </w:tcMar>
            <w:vAlign w:val="center"/>
          </w:tcPr>
          <w:p>
            <w:pPr>
              <w:pStyle w:val="TableContents"/>
              <w:bidi w:val="0"/>
              <w:spacing w:before="0" w:after="283"/>
              <w:jc w:val="left"/>
              <w:rPr/>
            </w:pPr>
            <w:r>
              <w:rPr/>
              <w:t> </w:t>
            </w:r>
          </w:p>
        </w:tc>
        <w:tc>
          <w:tcPr>
            <w:tcW w:w="142" w:type="dxa"/>
            <w:tcBorders>
              <w:bottom w:val="single" w:sz="6" w:space="0" w:color="7F7F7F"/>
            </w:tcBorders>
            <w:tcMar>
              <w:bottom w:w="80" w:type="dxa"/>
            </w:tcMar>
            <w:vAlign w:val="center"/>
          </w:tcPr>
          <w:p>
            <w:pPr>
              <w:pStyle w:val="TableContents"/>
              <w:bidi w:val="0"/>
              <w:spacing w:before="0" w:after="283"/>
              <w:jc w:val="left"/>
              <w:rPr/>
            </w:pPr>
            <w:r>
              <w:rPr/>
              <w:t> </w:t>
            </w:r>
          </w:p>
        </w:tc>
        <w:tc>
          <w:tcPr>
            <w:tcW w:w="1900" w:type="dxa"/>
            <w:tcBorders>
              <w:bottom w:val="single" w:sz="6" w:space="0" w:color="7F7F7F"/>
            </w:tcBorders>
            <w:tcMar>
              <w:bottom w:w="80" w:type="dxa"/>
            </w:tcMar>
            <w:vAlign w:val="center"/>
          </w:tcPr>
          <w:p>
            <w:pPr>
              <w:pStyle w:val="TableContents"/>
              <w:bidi w:val="0"/>
              <w:spacing w:before="0" w:after="283"/>
              <w:jc w:val="right"/>
              <w:rPr/>
            </w:pPr>
            <w:r>
              <w:rPr/>
              <w:t>58,036</w:t>
            </w:r>
          </w:p>
        </w:tc>
        <w:tc>
          <w:tcPr>
            <w:tcW w:w="56"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95" w:type="dxa"/>
            <w:tcBorders>
              <w:bottom w:val="single" w:sz="6" w:space="0" w:color="7F7F7F"/>
            </w:tcBorders>
            <w:tcMar>
              <w:bottom w:w="28" w:type="dxa"/>
            </w:tcMar>
            <w:vAlign w:val="center"/>
          </w:tcPr>
          <w:p>
            <w:pPr>
              <w:pStyle w:val="TableContents"/>
              <w:bidi w:val="0"/>
              <w:spacing w:before="0" w:after="283"/>
              <w:jc w:val="left"/>
              <w:rPr/>
            </w:pPr>
            <w:r>
              <w:rPr/>
              <w:t> </w:t>
            </w:r>
          </w:p>
        </w:tc>
        <w:tc>
          <w:tcPr>
            <w:tcW w:w="95" w:type="dxa"/>
            <w:tcBorders>
              <w:bottom w:val="single" w:sz="6" w:space="0" w:color="7F7F7F"/>
            </w:tcBorders>
            <w:tcMar>
              <w:bottom w:w="80" w:type="dxa"/>
            </w:tcMar>
            <w:vAlign w:val="center"/>
          </w:tcPr>
          <w:p>
            <w:pPr>
              <w:pStyle w:val="TableContents"/>
              <w:bidi w:val="0"/>
              <w:spacing w:before="0" w:after="283"/>
              <w:jc w:val="left"/>
              <w:rPr/>
            </w:pPr>
            <w:r>
              <w:rPr/>
              <w:t> </w:t>
            </w:r>
          </w:p>
        </w:tc>
        <w:tc>
          <w:tcPr>
            <w:tcW w:w="1566" w:type="dxa"/>
            <w:tcBorders>
              <w:bottom w:val="single" w:sz="6" w:space="0" w:color="7F7F7F"/>
            </w:tcBorders>
            <w:tcMar>
              <w:bottom w:w="80" w:type="dxa"/>
            </w:tcMar>
            <w:vAlign w:val="center"/>
          </w:tcPr>
          <w:p>
            <w:pPr>
              <w:pStyle w:val="TableContents"/>
              <w:bidi w:val="0"/>
              <w:spacing w:before="0" w:after="283"/>
              <w:jc w:val="right"/>
              <w:rPr/>
            </w:pPr>
            <w:r>
              <w:rPr/>
              <w:t>730,673</w:t>
            </w:r>
          </w:p>
        </w:tc>
        <w:tc>
          <w:tcPr>
            <w:tcW w:w="62"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60" w:type="dxa"/>
            <w:gridSpan w:val="5"/>
            <w:tcBorders/>
            <w:vAlign w:val="center"/>
          </w:tcPr>
          <w:p>
            <w:pPr>
              <w:pStyle w:val="TableContents"/>
              <w:bidi w:val="0"/>
              <w:spacing w:before="0" w:after="283"/>
              <w:jc w:val="left"/>
              <w:rPr>
                <w:sz w:val="4"/>
                <w:szCs w:val="4"/>
              </w:rPr>
            </w:pPr>
            <w:r>
              <w:rPr>
                <w:sz w:val="4"/>
                <w:szCs w:val="4"/>
              </w:rPr>
            </w:r>
          </w:p>
        </w:tc>
        <w:tc>
          <w:tcPr>
            <w:tcW w:w="1938"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Tammy L. Browning</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42" w:type="dxa"/>
            <w:tcBorders>
              <w:bottom w:val="single" w:sz="6" w:space="0" w:color="7F7F7F"/>
            </w:tcBorders>
            <w:tcMar>
              <w:bottom w:w="28" w:type="dxa"/>
            </w:tcMar>
            <w:vAlign w:val="center"/>
          </w:tcPr>
          <w:p>
            <w:pPr>
              <w:pStyle w:val="TableContents"/>
              <w:bidi w:val="0"/>
              <w:spacing w:before="0" w:after="283"/>
              <w:jc w:val="left"/>
              <w:rPr/>
            </w:pPr>
            <w:r>
              <w:rPr/>
              <w:t> </w:t>
            </w:r>
          </w:p>
        </w:tc>
        <w:tc>
          <w:tcPr>
            <w:tcW w:w="142" w:type="dxa"/>
            <w:tcBorders>
              <w:bottom w:val="single" w:sz="6" w:space="0" w:color="7F7F7F"/>
            </w:tcBorders>
            <w:tcMar>
              <w:bottom w:w="80" w:type="dxa"/>
            </w:tcMar>
            <w:vAlign w:val="center"/>
          </w:tcPr>
          <w:p>
            <w:pPr>
              <w:pStyle w:val="TableContents"/>
              <w:bidi w:val="0"/>
              <w:spacing w:before="0" w:after="283"/>
              <w:jc w:val="left"/>
              <w:rPr/>
            </w:pPr>
            <w:r>
              <w:rPr/>
              <w:t> </w:t>
            </w:r>
          </w:p>
        </w:tc>
        <w:tc>
          <w:tcPr>
            <w:tcW w:w="1900" w:type="dxa"/>
            <w:tcBorders>
              <w:bottom w:val="single" w:sz="6" w:space="0" w:color="7F7F7F"/>
            </w:tcBorders>
            <w:tcMar>
              <w:bottom w:w="80" w:type="dxa"/>
            </w:tcMar>
            <w:vAlign w:val="center"/>
          </w:tcPr>
          <w:p>
            <w:pPr>
              <w:pStyle w:val="TableContents"/>
              <w:bidi w:val="0"/>
              <w:spacing w:before="0" w:after="283"/>
              <w:jc w:val="right"/>
              <w:rPr/>
            </w:pPr>
            <w:r>
              <w:rPr/>
              <w:t>28,192</w:t>
            </w:r>
          </w:p>
        </w:tc>
        <w:tc>
          <w:tcPr>
            <w:tcW w:w="56"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95" w:type="dxa"/>
            <w:tcBorders>
              <w:bottom w:val="single" w:sz="6" w:space="0" w:color="7F7F7F"/>
            </w:tcBorders>
            <w:tcMar>
              <w:bottom w:w="28" w:type="dxa"/>
            </w:tcMar>
            <w:vAlign w:val="center"/>
          </w:tcPr>
          <w:p>
            <w:pPr>
              <w:pStyle w:val="TableContents"/>
              <w:bidi w:val="0"/>
              <w:spacing w:before="0" w:after="283"/>
              <w:jc w:val="left"/>
              <w:rPr/>
            </w:pPr>
            <w:r>
              <w:rPr/>
              <w:t> </w:t>
            </w:r>
          </w:p>
        </w:tc>
        <w:tc>
          <w:tcPr>
            <w:tcW w:w="95" w:type="dxa"/>
            <w:tcBorders>
              <w:bottom w:val="single" w:sz="6" w:space="0" w:color="7F7F7F"/>
            </w:tcBorders>
            <w:tcMar>
              <w:bottom w:w="80" w:type="dxa"/>
            </w:tcMar>
            <w:vAlign w:val="center"/>
          </w:tcPr>
          <w:p>
            <w:pPr>
              <w:pStyle w:val="TableContents"/>
              <w:bidi w:val="0"/>
              <w:spacing w:before="0" w:after="283"/>
              <w:jc w:val="left"/>
              <w:rPr/>
            </w:pPr>
            <w:r>
              <w:rPr/>
              <w:t> </w:t>
            </w:r>
          </w:p>
        </w:tc>
        <w:tc>
          <w:tcPr>
            <w:tcW w:w="1566" w:type="dxa"/>
            <w:tcBorders>
              <w:bottom w:val="single" w:sz="6" w:space="0" w:color="7F7F7F"/>
            </w:tcBorders>
            <w:tcMar>
              <w:bottom w:w="80" w:type="dxa"/>
            </w:tcMar>
            <w:vAlign w:val="center"/>
          </w:tcPr>
          <w:p>
            <w:pPr>
              <w:pStyle w:val="TableContents"/>
              <w:bidi w:val="0"/>
              <w:spacing w:before="0" w:after="283"/>
              <w:jc w:val="right"/>
              <w:rPr/>
            </w:pPr>
            <w:r>
              <w:rPr/>
              <w:t>354,937</w:t>
            </w:r>
          </w:p>
        </w:tc>
        <w:tc>
          <w:tcPr>
            <w:tcW w:w="62"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60" w:type="dxa"/>
            <w:gridSpan w:val="5"/>
            <w:tcBorders/>
            <w:vAlign w:val="center"/>
          </w:tcPr>
          <w:p>
            <w:pPr>
              <w:pStyle w:val="TableContents"/>
              <w:bidi w:val="0"/>
              <w:spacing w:before="0" w:after="283"/>
              <w:jc w:val="left"/>
              <w:rPr>
                <w:sz w:val="4"/>
                <w:szCs w:val="4"/>
              </w:rPr>
            </w:pPr>
            <w:r>
              <w:rPr>
                <w:sz w:val="4"/>
                <w:szCs w:val="4"/>
              </w:rPr>
            </w:r>
          </w:p>
        </w:tc>
        <w:tc>
          <w:tcPr>
            <w:tcW w:w="1938"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Nicola M. Soares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42" w:type="dxa"/>
            <w:tcBorders>
              <w:bottom w:val="single" w:sz="6" w:space="0" w:color="7F7F7F"/>
            </w:tcBorders>
            <w:tcMar>
              <w:bottom w:w="28" w:type="dxa"/>
            </w:tcMar>
            <w:vAlign w:val="center"/>
          </w:tcPr>
          <w:p>
            <w:pPr>
              <w:pStyle w:val="TableContents"/>
              <w:bidi w:val="0"/>
              <w:spacing w:before="0" w:after="283"/>
              <w:jc w:val="left"/>
              <w:rPr/>
            </w:pPr>
            <w:r>
              <w:rPr/>
              <w:t> </w:t>
            </w:r>
          </w:p>
        </w:tc>
        <w:tc>
          <w:tcPr>
            <w:tcW w:w="142" w:type="dxa"/>
            <w:tcBorders>
              <w:bottom w:val="single" w:sz="6" w:space="0" w:color="7F7F7F"/>
            </w:tcBorders>
            <w:tcMar>
              <w:bottom w:w="80" w:type="dxa"/>
            </w:tcMar>
            <w:vAlign w:val="center"/>
          </w:tcPr>
          <w:p>
            <w:pPr>
              <w:pStyle w:val="TableContents"/>
              <w:bidi w:val="0"/>
              <w:spacing w:before="0" w:after="283"/>
              <w:jc w:val="left"/>
              <w:rPr/>
            </w:pPr>
            <w:r>
              <w:rPr/>
              <w:t> </w:t>
            </w:r>
          </w:p>
        </w:tc>
        <w:tc>
          <w:tcPr>
            <w:tcW w:w="1900" w:type="dxa"/>
            <w:tcBorders>
              <w:bottom w:val="single" w:sz="6" w:space="0" w:color="7F7F7F"/>
            </w:tcBorders>
            <w:tcMar>
              <w:bottom w:w="80" w:type="dxa"/>
            </w:tcMar>
            <w:vAlign w:val="center"/>
          </w:tcPr>
          <w:p>
            <w:pPr>
              <w:pStyle w:val="TableContents"/>
              <w:bidi w:val="0"/>
              <w:spacing w:before="0" w:after="283"/>
              <w:jc w:val="right"/>
              <w:rPr/>
            </w:pPr>
            <w:r>
              <w:rPr/>
              <w:t>27,456</w:t>
            </w:r>
          </w:p>
        </w:tc>
        <w:tc>
          <w:tcPr>
            <w:tcW w:w="56"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95" w:type="dxa"/>
            <w:tcBorders>
              <w:bottom w:val="single" w:sz="6" w:space="0" w:color="7F7F7F"/>
            </w:tcBorders>
            <w:tcMar>
              <w:bottom w:w="28" w:type="dxa"/>
            </w:tcMar>
            <w:vAlign w:val="center"/>
          </w:tcPr>
          <w:p>
            <w:pPr>
              <w:pStyle w:val="TableContents"/>
              <w:bidi w:val="0"/>
              <w:spacing w:before="0" w:after="283"/>
              <w:jc w:val="left"/>
              <w:rPr/>
            </w:pPr>
            <w:r>
              <w:rPr/>
              <w:t> </w:t>
            </w:r>
          </w:p>
        </w:tc>
        <w:tc>
          <w:tcPr>
            <w:tcW w:w="95" w:type="dxa"/>
            <w:tcBorders>
              <w:bottom w:val="single" w:sz="6" w:space="0" w:color="7F7F7F"/>
            </w:tcBorders>
            <w:tcMar>
              <w:bottom w:w="80" w:type="dxa"/>
            </w:tcMar>
            <w:vAlign w:val="center"/>
          </w:tcPr>
          <w:p>
            <w:pPr>
              <w:pStyle w:val="TableContents"/>
              <w:bidi w:val="0"/>
              <w:spacing w:before="0" w:after="283"/>
              <w:jc w:val="left"/>
              <w:rPr/>
            </w:pPr>
            <w:r>
              <w:rPr/>
              <w:t> </w:t>
            </w:r>
          </w:p>
        </w:tc>
        <w:tc>
          <w:tcPr>
            <w:tcW w:w="1566" w:type="dxa"/>
            <w:tcBorders>
              <w:bottom w:val="single" w:sz="6" w:space="0" w:color="7F7F7F"/>
            </w:tcBorders>
            <w:tcMar>
              <w:bottom w:w="80" w:type="dxa"/>
            </w:tcMar>
            <w:vAlign w:val="center"/>
          </w:tcPr>
          <w:p>
            <w:pPr>
              <w:pStyle w:val="TableContents"/>
              <w:bidi w:val="0"/>
              <w:spacing w:before="0" w:after="283"/>
              <w:jc w:val="right"/>
              <w:rPr/>
            </w:pPr>
            <w:r>
              <w:rPr/>
              <w:t>345,671</w:t>
            </w:r>
          </w:p>
        </w:tc>
        <w:tc>
          <w:tcPr>
            <w:tcW w:w="62"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60" w:type="dxa"/>
            <w:gridSpan w:val="5"/>
            <w:tcBorders/>
            <w:vAlign w:val="center"/>
          </w:tcPr>
          <w:p>
            <w:pPr>
              <w:pStyle w:val="TableContents"/>
              <w:bidi w:val="0"/>
              <w:spacing w:before="0" w:after="283"/>
              <w:jc w:val="left"/>
              <w:rPr>
                <w:sz w:val="4"/>
                <w:szCs w:val="4"/>
              </w:rPr>
            </w:pPr>
            <w:r>
              <w:rPr>
                <w:sz w:val="4"/>
                <w:szCs w:val="4"/>
              </w:rPr>
            </w:r>
          </w:p>
        </w:tc>
        <w:tc>
          <w:tcPr>
            <w:tcW w:w="1938"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0"/>
              <w:jc w:val="left"/>
              <w:rPr>
                <w:rFonts w:ascii="arial" w:hAnsi="arial"/>
                <w:b/>
                <w:i/>
                <w:sz w:val="16"/>
                <w:u w:val="single"/>
              </w:rPr>
            </w:pPr>
            <w:r>
              <w:rPr>
                <w:rFonts w:ascii="arial" w:hAnsi="arial"/>
                <w:b/>
                <w:i/>
                <w:sz w:val="16"/>
                <w:u w:val="single"/>
              </w:rPr>
              <w:t>Former Executive</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60" w:type="dxa"/>
            <w:gridSpan w:val="5"/>
            <w:tcBorders/>
            <w:vAlign w:val="center"/>
          </w:tcPr>
          <w:p>
            <w:pPr>
              <w:pStyle w:val="TableContents"/>
              <w:bidi w:val="0"/>
              <w:spacing w:before="0" w:after="283"/>
              <w:jc w:val="left"/>
              <w:rPr>
                <w:sz w:val="4"/>
                <w:szCs w:val="4"/>
              </w:rPr>
            </w:pPr>
            <w:r>
              <w:rPr>
                <w:sz w:val="4"/>
                <w:szCs w:val="4"/>
              </w:rPr>
            </w:r>
          </w:p>
        </w:tc>
        <w:tc>
          <w:tcPr>
            <w:tcW w:w="1938"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Peter W. Quigley</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42" w:type="dxa"/>
            <w:tcBorders>
              <w:bottom w:val="single" w:sz="6" w:space="0" w:color="7F7F7F"/>
            </w:tcBorders>
            <w:tcMar>
              <w:bottom w:w="28" w:type="dxa"/>
            </w:tcMar>
            <w:vAlign w:val="center"/>
          </w:tcPr>
          <w:p>
            <w:pPr>
              <w:pStyle w:val="TableContents"/>
              <w:bidi w:val="0"/>
              <w:spacing w:before="0" w:after="283"/>
              <w:jc w:val="left"/>
              <w:rPr/>
            </w:pPr>
            <w:r>
              <w:rPr/>
              <w:t> </w:t>
            </w:r>
          </w:p>
        </w:tc>
        <w:tc>
          <w:tcPr>
            <w:tcW w:w="142" w:type="dxa"/>
            <w:tcBorders>
              <w:bottom w:val="single" w:sz="6" w:space="0" w:color="7F7F7F"/>
            </w:tcBorders>
            <w:tcMar>
              <w:bottom w:w="80" w:type="dxa"/>
            </w:tcMar>
            <w:vAlign w:val="center"/>
          </w:tcPr>
          <w:p>
            <w:pPr>
              <w:pStyle w:val="TableContents"/>
              <w:bidi w:val="0"/>
              <w:spacing w:before="0" w:after="283"/>
              <w:jc w:val="left"/>
              <w:rPr/>
            </w:pPr>
            <w:r>
              <w:rPr/>
              <w:t> </w:t>
            </w:r>
          </w:p>
        </w:tc>
        <w:tc>
          <w:tcPr>
            <w:tcW w:w="1900" w:type="dxa"/>
            <w:tcBorders>
              <w:bottom w:val="single" w:sz="6" w:space="0" w:color="7F7F7F"/>
            </w:tcBorders>
            <w:tcMar>
              <w:bottom w:w="80" w:type="dxa"/>
            </w:tcMar>
            <w:vAlign w:val="center"/>
          </w:tcPr>
          <w:p>
            <w:pPr>
              <w:pStyle w:val="TableContents"/>
              <w:bidi w:val="0"/>
              <w:spacing w:before="0" w:after="283"/>
              <w:jc w:val="right"/>
              <w:rPr/>
            </w:pPr>
            <w:r>
              <w:rPr/>
              <w:t>272,044</w:t>
            </w:r>
          </w:p>
        </w:tc>
        <w:tc>
          <w:tcPr>
            <w:tcW w:w="56"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95" w:type="dxa"/>
            <w:tcBorders>
              <w:bottom w:val="single" w:sz="6" w:space="0" w:color="7F7F7F"/>
            </w:tcBorders>
            <w:tcMar>
              <w:bottom w:w="28" w:type="dxa"/>
            </w:tcMar>
            <w:vAlign w:val="center"/>
          </w:tcPr>
          <w:p>
            <w:pPr>
              <w:pStyle w:val="TableContents"/>
              <w:bidi w:val="0"/>
              <w:spacing w:before="0" w:after="283"/>
              <w:jc w:val="left"/>
              <w:rPr/>
            </w:pPr>
            <w:r>
              <w:rPr/>
              <w:t> </w:t>
            </w:r>
          </w:p>
        </w:tc>
        <w:tc>
          <w:tcPr>
            <w:tcW w:w="95" w:type="dxa"/>
            <w:tcBorders>
              <w:bottom w:val="single" w:sz="6" w:space="0" w:color="7F7F7F"/>
            </w:tcBorders>
            <w:tcMar>
              <w:bottom w:w="80" w:type="dxa"/>
            </w:tcMar>
            <w:vAlign w:val="center"/>
          </w:tcPr>
          <w:p>
            <w:pPr>
              <w:pStyle w:val="TableContents"/>
              <w:bidi w:val="0"/>
              <w:spacing w:before="0" w:after="283"/>
              <w:jc w:val="left"/>
              <w:rPr/>
            </w:pPr>
            <w:r>
              <w:rPr/>
              <w:t> </w:t>
            </w:r>
          </w:p>
        </w:tc>
        <w:tc>
          <w:tcPr>
            <w:tcW w:w="1566" w:type="dxa"/>
            <w:tcBorders>
              <w:bottom w:val="single" w:sz="6" w:space="0" w:color="7F7F7F"/>
            </w:tcBorders>
            <w:tcMar>
              <w:bottom w:w="80" w:type="dxa"/>
            </w:tcMar>
            <w:vAlign w:val="center"/>
          </w:tcPr>
          <w:p>
            <w:pPr>
              <w:pStyle w:val="TableContents"/>
              <w:bidi w:val="0"/>
              <w:spacing w:before="0" w:after="283"/>
              <w:jc w:val="right"/>
              <w:rPr/>
            </w:pPr>
            <w:r>
              <w:rPr/>
              <w:t>3,425,034</w:t>
            </w:r>
          </w:p>
        </w:tc>
        <w:tc>
          <w:tcPr>
            <w:tcW w:w="62"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211"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84" descr=""/>
                          <pic:cNvPicPr>
                            <a:picLocks noChangeAspect="1" noChangeArrowheads="1"/>
                          </pic:cNvPicPr>
                        </pic:nvPicPr>
                        <pic:blipFill>
                          <a:blip r:embed="rId196"/>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2025 Executive Compensation Tables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(4)</w:t>
            </w:r>
          </w:p>
        </w:tc>
        <w:tc>
          <w:tcPr>
            <w:tcW w:w="9952" w:type="dxa"/>
            <w:tcBorders/>
            <w:vAlign w:val="center"/>
          </w:tcPr>
          <w:p>
            <w:pPr>
              <w:pStyle w:val="TableContents"/>
              <w:bidi w:val="0"/>
              <w:spacing w:before="0" w:after="0"/>
              <w:jc w:val="left"/>
              <w:rPr>
                <w:rFonts w:ascii="arial" w:hAnsi="arial"/>
                <w:sz w:val="14"/>
              </w:rPr>
            </w:pPr>
            <w:r>
              <w:rPr>
                <w:rFonts w:ascii="arial" w:hAnsi="arial"/>
                <w:sz w:val="14"/>
              </w:rPr>
              <w:t xml:space="preserve">Amounts for named executive officers include company matching contributions to the Management Retirement Plan (“MRP”) and Medicare tax gross-ups on those MRP contributions. (See table below.) The total value of perquisites provided to each named executive officer (other than Mr. Quigley) in 2025 was less than $10,000 and, in accordance with reporting regulations, was not required to be included in this table. Mr. Layden did not receive performance shares due to his hire date. </w:t>
            </w:r>
          </w:p>
        </w:tc>
      </w:tr>
    </w:tbl>
    <w:p>
      <w:pPr>
        <w:pStyle w:val="TextBody"/>
        <w:bidi w:val="0"/>
        <w:spacing w:before="0" w:after="0"/>
        <w:jc w:val="left"/>
        <w:rPr/>
      </w:pPr>
      <w:r>
        <w:rPr/>
        <w:t> </w:t>
      </w:r>
    </w:p>
    <w:tbl>
      <w:tblPr>
        <w:tblW w:w="7152" w:type="dxa"/>
        <w:jc w:val="left"/>
        <w:tblInd w:w="0" w:type="dxa"/>
        <w:tblLayout w:type="fixed"/>
        <w:tblCellMar>
          <w:top w:w="0" w:type="dxa"/>
          <w:left w:w="0" w:type="dxa"/>
          <w:bottom w:w="0" w:type="dxa"/>
          <w:right w:w="0" w:type="dxa"/>
        </w:tblCellMar>
      </w:tblPr>
      <w:tblGrid>
        <w:gridCol w:w="1820"/>
        <w:gridCol w:w="23"/>
        <w:gridCol w:w="47"/>
        <w:gridCol w:w="122"/>
        <w:gridCol w:w="1392"/>
        <w:gridCol w:w="49"/>
        <w:gridCol w:w="23"/>
        <w:gridCol w:w="35"/>
        <w:gridCol w:w="93"/>
        <w:gridCol w:w="874"/>
        <w:gridCol w:w="38"/>
        <w:gridCol w:w="23"/>
        <w:gridCol w:w="31"/>
        <w:gridCol w:w="82"/>
        <w:gridCol w:w="938"/>
        <w:gridCol w:w="34"/>
        <w:gridCol w:w="23"/>
        <w:gridCol w:w="37"/>
        <w:gridCol w:w="98"/>
        <w:gridCol w:w="1307"/>
        <w:gridCol w:w="63"/>
      </w:tblGrid>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8" w:space="0" w:color="000000"/>
            </w:tcBorders>
            <w:tcMar>
              <w:bottom w:w="40" w:type="dxa"/>
            </w:tcMar>
            <w:vAlign w:val="center"/>
          </w:tcPr>
          <w:p>
            <w:pPr>
              <w:pStyle w:val="TableContents"/>
              <w:bidi w:val="0"/>
              <w:spacing w:before="0" w:after="0"/>
              <w:jc w:val="left"/>
              <w:rPr>
                <w:rFonts w:ascii="arial" w:hAnsi="arial"/>
                <w:b/>
                <w:color w:val="00AE4F"/>
                <w:sz w:val="16"/>
              </w:rPr>
            </w:pPr>
            <w:r>
              <w:rPr>
                <w:rFonts w:ascii="arial" w:hAnsi="arial"/>
                <w:b/>
                <w:color w:val="00AE4F"/>
                <w:sz w:val="16"/>
              </w:rPr>
              <w:t>Name</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10"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Company</w:t>
              <w:br/>
              <w:t>Matching MRP</w:t>
              <w:br/>
              <w:t>Contributions</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0"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MRP</w:t>
              <w:br/>
              <w:t>Medicare</w:t>
              <w:br/>
              <w:t>Gross-ups</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5"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Transition</w:t>
              <w:br/>
              <w:t>Advisory</w:t>
              <w:br/>
              <w:t>Services</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05"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Total All</w:t>
              <w:br/>
              <w:t>Other</w:t>
              <w:br/>
              <w:t>Compensation</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163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108" w:type="dxa"/>
            <w:gridSpan w:val="5"/>
            <w:tcBorders/>
            <w:vAlign w:val="center"/>
          </w:tcPr>
          <w:p>
            <w:pPr>
              <w:pStyle w:val="TableContents"/>
              <w:bidi w:val="0"/>
              <w:spacing w:before="0" w:after="283"/>
              <w:jc w:val="left"/>
              <w:rPr>
                <w:sz w:val="4"/>
                <w:szCs w:val="4"/>
              </w:rPr>
            </w:pPr>
            <w:r>
              <w:rPr>
                <w:sz w:val="4"/>
                <w:szCs w:val="4"/>
              </w:rPr>
            </w:r>
          </w:p>
        </w:tc>
        <w:tc>
          <w:tcPr>
            <w:tcW w:w="1528"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Christopher D. Layden</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22" w:type="dxa"/>
            <w:tcBorders>
              <w:bottom w:val="single" w:sz="6" w:space="0" w:color="7F7F7F"/>
            </w:tcBorders>
            <w:tcMar>
              <w:bottom w:w="80" w:type="dxa"/>
            </w:tcMar>
            <w:vAlign w:val="center"/>
          </w:tcPr>
          <w:p>
            <w:pPr>
              <w:pStyle w:val="TableContents"/>
              <w:bidi w:val="0"/>
              <w:spacing w:before="0" w:after="283"/>
              <w:jc w:val="left"/>
              <w:rPr/>
            </w:pPr>
            <w:r>
              <w:rPr/>
              <w:t> </w:t>
            </w:r>
          </w:p>
        </w:tc>
        <w:tc>
          <w:tcPr>
            <w:tcW w:w="1392" w:type="dxa"/>
            <w:tcBorders>
              <w:bottom w:val="single" w:sz="6" w:space="0" w:color="7F7F7F"/>
            </w:tcBorders>
            <w:tcMar>
              <w:bottom w:w="80" w:type="dxa"/>
            </w:tcMar>
            <w:vAlign w:val="center"/>
          </w:tcPr>
          <w:p>
            <w:pPr>
              <w:pStyle w:val="TableContents"/>
              <w:bidi w:val="0"/>
              <w:spacing w:before="0" w:after="283"/>
              <w:jc w:val="right"/>
              <w:rPr/>
            </w:pPr>
            <w:r>
              <w:rPr/>
              <w:t>— </w:t>
            </w:r>
          </w:p>
        </w:tc>
        <w:tc>
          <w:tcPr>
            <w:tcW w:w="49"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7F7F7F"/>
            </w:tcBorders>
            <w:tcMar>
              <w:bottom w:w="80" w:type="dxa"/>
            </w:tcMar>
            <w:vAlign w:val="center"/>
          </w:tcPr>
          <w:p>
            <w:pPr>
              <w:pStyle w:val="TableContents"/>
              <w:bidi w:val="0"/>
              <w:spacing w:before="0" w:after="283"/>
              <w:jc w:val="left"/>
              <w:rPr/>
            </w:pPr>
            <w:r>
              <w:rPr/>
              <w:t> </w:t>
            </w:r>
          </w:p>
        </w:tc>
        <w:tc>
          <w:tcPr>
            <w:tcW w:w="874" w:type="dxa"/>
            <w:tcBorders>
              <w:bottom w:val="single" w:sz="6" w:space="0" w:color="7F7F7F"/>
            </w:tcBorders>
            <w:tcMar>
              <w:bottom w:w="80" w:type="dxa"/>
            </w:tcMar>
            <w:vAlign w:val="center"/>
          </w:tcPr>
          <w:p>
            <w:pPr>
              <w:pStyle w:val="TableContents"/>
              <w:bidi w:val="0"/>
              <w:spacing w:before="0" w:after="283"/>
              <w:jc w:val="right"/>
              <w:rPr/>
            </w:pPr>
            <w:r>
              <w:rPr/>
              <w:t>— </w:t>
            </w:r>
          </w:p>
        </w:tc>
        <w:tc>
          <w:tcPr>
            <w:tcW w:w="38"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80" w:type="dxa"/>
            </w:tcMar>
            <w:vAlign w:val="center"/>
          </w:tcPr>
          <w:p>
            <w:pPr>
              <w:pStyle w:val="TableContents"/>
              <w:bidi w:val="0"/>
              <w:spacing w:before="0" w:after="283"/>
              <w:jc w:val="left"/>
              <w:rPr/>
            </w:pPr>
            <w:r>
              <w:rPr/>
              <w:t> </w:t>
            </w:r>
          </w:p>
        </w:tc>
        <w:tc>
          <w:tcPr>
            <w:tcW w:w="938" w:type="dxa"/>
            <w:tcBorders>
              <w:bottom w:val="single" w:sz="6" w:space="0" w:color="7F7F7F"/>
            </w:tcBorders>
            <w:tcMar>
              <w:bottom w:w="80" w:type="dxa"/>
            </w:tcMar>
            <w:vAlign w:val="center"/>
          </w:tcPr>
          <w:p>
            <w:pPr>
              <w:pStyle w:val="TableContents"/>
              <w:bidi w:val="0"/>
              <w:spacing w:before="0" w:after="283"/>
              <w:jc w:val="right"/>
              <w:rPr/>
            </w:pPr>
            <w:r>
              <w:rPr/>
              <w:t>— </w:t>
            </w:r>
          </w:p>
        </w:tc>
        <w:tc>
          <w:tcPr>
            <w:tcW w:w="34"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8" w:type="dxa"/>
            <w:tcBorders>
              <w:bottom w:val="single" w:sz="6" w:space="0" w:color="7F7F7F"/>
            </w:tcBorders>
            <w:tcMar>
              <w:bottom w:w="80" w:type="dxa"/>
            </w:tcMar>
            <w:vAlign w:val="center"/>
          </w:tcPr>
          <w:p>
            <w:pPr>
              <w:pStyle w:val="TableContents"/>
              <w:bidi w:val="0"/>
              <w:spacing w:before="0" w:after="283"/>
              <w:jc w:val="left"/>
              <w:rPr/>
            </w:pPr>
            <w:r>
              <w:rPr/>
              <w:t> </w:t>
            </w:r>
          </w:p>
        </w:tc>
        <w:tc>
          <w:tcPr>
            <w:tcW w:w="1307" w:type="dxa"/>
            <w:tcBorders>
              <w:bottom w:val="single" w:sz="6" w:space="0" w:color="7F7F7F"/>
            </w:tcBorders>
            <w:tcMar>
              <w:bottom w:w="80" w:type="dxa"/>
            </w:tcMar>
            <w:vAlign w:val="center"/>
          </w:tcPr>
          <w:p>
            <w:pPr>
              <w:pStyle w:val="TableContents"/>
              <w:bidi w:val="0"/>
              <w:spacing w:before="0" w:after="283"/>
              <w:jc w:val="right"/>
              <w:rPr/>
            </w:pPr>
            <w:r>
              <w:rPr/>
              <w:t>— </w:t>
            </w:r>
          </w:p>
        </w:tc>
        <w:tc>
          <w:tcPr>
            <w:tcW w:w="6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163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108" w:type="dxa"/>
            <w:gridSpan w:val="5"/>
            <w:tcBorders/>
            <w:vAlign w:val="center"/>
          </w:tcPr>
          <w:p>
            <w:pPr>
              <w:pStyle w:val="TableContents"/>
              <w:bidi w:val="0"/>
              <w:spacing w:before="0" w:after="283"/>
              <w:jc w:val="left"/>
              <w:rPr>
                <w:sz w:val="4"/>
                <w:szCs w:val="4"/>
              </w:rPr>
            </w:pPr>
            <w:r>
              <w:rPr>
                <w:sz w:val="4"/>
                <w:szCs w:val="4"/>
              </w:rPr>
            </w:r>
          </w:p>
        </w:tc>
        <w:tc>
          <w:tcPr>
            <w:tcW w:w="1528"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Troy R. Anderson</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22" w:type="dxa"/>
            <w:tcBorders>
              <w:bottom w:val="single" w:sz="6" w:space="0" w:color="7F7F7F"/>
            </w:tcBorders>
            <w:tcMar>
              <w:bottom w:w="80" w:type="dxa"/>
            </w:tcMar>
            <w:vAlign w:val="center"/>
          </w:tcPr>
          <w:p>
            <w:pPr>
              <w:pStyle w:val="TableContents"/>
              <w:bidi w:val="0"/>
              <w:spacing w:before="0" w:after="283"/>
              <w:jc w:val="left"/>
              <w:rPr/>
            </w:pPr>
            <w:r>
              <w:rPr/>
              <w:t> </w:t>
            </w:r>
          </w:p>
        </w:tc>
        <w:tc>
          <w:tcPr>
            <w:tcW w:w="1392" w:type="dxa"/>
            <w:tcBorders>
              <w:bottom w:val="single" w:sz="6" w:space="0" w:color="7F7F7F"/>
            </w:tcBorders>
            <w:tcMar>
              <w:bottom w:w="80" w:type="dxa"/>
            </w:tcMar>
            <w:vAlign w:val="center"/>
          </w:tcPr>
          <w:p>
            <w:pPr>
              <w:pStyle w:val="TableContents"/>
              <w:bidi w:val="0"/>
              <w:spacing w:before="0" w:after="283"/>
              <w:jc w:val="right"/>
              <w:rPr/>
            </w:pPr>
            <w:r>
              <w:rPr/>
              <w:t>32,500</w:t>
            </w:r>
          </w:p>
        </w:tc>
        <w:tc>
          <w:tcPr>
            <w:tcW w:w="49"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7F7F7F"/>
            </w:tcBorders>
            <w:tcMar>
              <w:bottom w:w="80" w:type="dxa"/>
            </w:tcMar>
            <w:vAlign w:val="center"/>
          </w:tcPr>
          <w:p>
            <w:pPr>
              <w:pStyle w:val="TableContents"/>
              <w:bidi w:val="0"/>
              <w:spacing w:before="0" w:after="283"/>
              <w:jc w:val="left"/>
              <w:rPr/>
            </w:pPr>
            <w:r>
              <w:rPr/>
              <w:t> </w:t>
            </w:r>
          </w:p>
        </w:tc>
        <w:tc>
          <w:tcPr>
            <w:tcW w:w="874" w:type="dxa"/>
            <w:tcBorders>
              <w:bottom w:val="single" w:sz="6" w:space="0" w:color="7F7F7F"/>
            </w:tcBorders>
            <w:tcMar>
              <w:bottom w:w="80" w:type="dxa"/>
            </w:tcMar>
            <w:vAlign w:val="center"/>
          </w:tcPr>
          <w:p>
            <w:pPr>
              <w:pStyle w:val="TableContents"/>
              <w:bidi w:val="0"/>
              <w:spacing w:before="0" w:after="283"/>
              <w:jc w:val="right"/>
              <w:rPr/>
            </w:pPr>
            <w:r>
              <w:rPr/>
              <w:t>— </w:t>
            </w:r>
          </w:p>
        </w:tc>
        <w:tc>
          <w:tcPr>
            <w:tcW w:w="38"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80" w:type="dxa"/>
            </w:tcMar>
            <w:vAlign w:val="center"/>
          </w:tcPr>
          <w:p>
            <w:pPr>
              <w:pStyle w:val="TableContents"/>
              <w:bidi w:val="0"/>
              <w:spacing w:before="0" w:after="283"/>
              <w:jc w:val="left"/>
              <w:rPr/>
            </w:pPr>
            <w:r>
              <w:rPr/>
              <w:t> </w:t>
            </w:r>
          </w:p>
        </w:tc>
        <w:tc>
          <w:tcPr>
            <w:tcW w:w="938" w:type="dxa"/>
            <w:tcBorders>
              <w:bottom w:val="single" w:sz="6" w:space="0" w:color="7F7F7F"/>
            </w:tcBorders>
            <w:tcMar>
              <w:bottom w:w="80" w:type="dxa"/>
            </w:tcMar>
            <w:vAlign w:val="center"/>
          </w:tcPr>
          <w:p>
            <w:pPr>
              <w:pStyle w:val="TableContents"/>
              <w:bidi w:val="0"/>
              <w:spacing w:before="0" w:after="283"/>
              <w:jc w:val="right"/>
              <w:rPr/>
            </w:pPr>
            <w:r>
              <w:rPr/>
              <w:t>— </w:t>
            </w:r>
          </w:p>
        </w:tc>
        <w:tc>
          <w:tcPr>
            <w:tcW w:w="34"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8" w:type="dxa"/>
            <w:tcBorders>
              <w:bottom w:val="single" w:sz="6" w:space="0" w:color="7F7F7F"/>
            </w:tcBorders>
            <w:tcMar>
              <w:bottom w:w="80" w:type="dxa"/>
            </w:tcMar>
            <w:vAlign w:val="center"/>
          </w:tcPr>
          <w:p>
            <w:pPr>
              <w:pStyle w:val="TableContents"/>
              <w:bidi w:val="0"/>
              <w:spacing w:before="0" w:after="283"/>
              <w:jc w:val="left"/>
              <w:rPr/>
            </w:pPr>
            <w:r>
              <w:rPr/>
              <w:t> </w:t>
            </w:r>
          </w:p>
        </w:tc>
        <w:tc>
          <w:tcPr>
            <w:tcW w:w="1307" w:type="dxa"/>
            <w:tcBorders>
              <w:bottom w:val="single" w:sz="6" w:space="0" w:color="7F7F7F"/>
            </w:tcBorders>
            <w:tcMar>
              <w:bottom w:w="80" w:type="dxa"/>
            </w:tcMar>
            <w:vAlign w:val="center"/>
          </w:tcPr>
          <w:p>
            <w:pPr>
              <w:pStyle w:val="TableContents"/>
              <w:bidi w:val="0"/>
              <w:spacing w:before="0" w:after="283"/>
              <w:jc w:val="right"/>
              <w:rPr/>
            </w:pPr>
            <w:r>
              <w:rPr/>
              <w:t>32,500</w:t>
            </w:r>
          </w:p>
        </w:tc>
        <w:tc>
          <w:tcPr>
            <w:tcW w:w="6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163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108" w:type="dxa"/>
            <w:gridSpan w:val="5"/>
            <w:tcBorders/>
            <w:vAlign w:val="center"/>
          </w:tcPr>
          <w:p>
            <w:pPr>
              <w:pStyle w:val="TableContents"/>
              <w:bidi w:val="0"/>
              <w:spacing w:before="0" w:after="283"/>
              <w:jc w:val="left"/>
              <w:rPr>
                <w:sz w:val="4"/>
                <w:szCs w:val="4"/>
              </w:rPr>
            </w:pPr>
            <w:r>
              <w:rPr>
                <w:sz w:val="4"/>
                <w:szCs w:val="4"/>
              </w:rPr>
            </w:r>
          </w:p>
        </w:tc>
        <w:tc>
          <w:tcPr>
            <w:tcW w:w="1528"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Vanessa P. Williams</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22" w:type="dxa"/>
            <w:tcBorders>
              <w:bottom w:val="single" w:sz="6" w:space="0" w:color="7F7F7F"/>
            </w:tcBorders>
            <w:tcMar>
              <w:bottom w:w="80" w:type="dxa"/>
            </w:tcMar>
            <w:vAlign w:val="center"/>
          </w:tcPr>
          <w:p>
            <w:pPr>
              <w:pStyle w:val="TableContents"/>
              <w:bidi w:val="0"/>
              <w:spacing w:before="0" w:after="283"/>
              <w:jc w:val="left"/>
              <w:rPr/>
            </w:pPr>
            <w:r>
              <w:rPr/>
              <w:t> </w:t>
            </w:r>
          </w:p>
        </w:tc>
        <w:tc>
          <w:tcPr>
            <w:tcW w:w="1392" w:type="dxa"/>
            <w:tcBorders>
              <w:bottom w:val="single" w:sz="6" w:space="0" w:color="7F7F7F"/>
            </w:tcBorders>
            <w:tcMar>
              <w:bottom w:w="80" w:type="dxa"/>
            </w:tcMar>
            <w:vAlign w:val="center"/>
          </w:tcPr>
          <w:p>
            <w:pPr>
              <w:pStyle w:val="TableContents"/>
              <w:bidi w:val="0"/>
              <w:spacing w:before="0" w:after="283"/>
              <w:jc w:val="right"/>
              <w:rPr/>
            </w:pPr>
            <w:r>
              <w:rPr/>
              <w:t>5,182</w:t>
            </w:r>
          </w:p>
        </w:tc>
        <w:tc>
          <w:tcPr>
            <w:tcW w:w="49"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7F7F7F"/>
            </w:tcBorders>
            <w:tcMar>
              <w:bottom w:w="80" w:type="dxa"/>
            </w:tcMar>
            <w:vAlign w:val="center"/>
          </w:tcPr>
          <w:p>
            <w:pPr>
              <w:pStyle w:val="TableContents"/>
              <w:bidi w:val="0"/>
              <w:spacing w:before="0" w:after="283"/>
              <w:jc w:val="left"/>
              <w:rPr/>
            </w:pPr>
            <w:r>
              <w:rPr/>
              <w:t> </w:t>
            </w:r>
          </w:p>
        </w:tc>
        <w:tc>
          <w:tcPr>
            <w:tcW w:w="874" w:type="dxa"/>
            <w:tcBorders>
              <w:bottom w:val="single" w:sz="6" w:space="0" w:color="7F7F7F"/>
            </w:tcBorders>
            <w:tcMar>
              <w:bottom w:w="80" w:type="dxa"/>
            </w:tcMar>
            <w:vAlign w:val="center"/>
          </w:tcPr>
          <w:p>
            <w:pPr>
              <w:pStyle w:val="TableContents"/>
              <w:bidi w:val="0"/>
              <w:spacing w:before="0" w:after="283"/>
              <w:jc w:val="right"/>
              <w:rPr/>
            </w:pPr>
            <w:r>
              <w:rPr/>
              <w:t>581</w:t>
            </w:r>
          </w:p>
        </w:tc>
        <w:tc>
          <w:tcPr>
            <w:tcW w:w="38"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80" w:type="dxa"/>
            </w:tcMar>
            <w:vAlign w:val="center"/>
          </w:tcPr>
          <w:p>
            <w:pPr>
              <w:pStyle w:val="TableContents"/>
              <w:bidi w:val="0"/>
              <w:spacing w:before="0" w:after="283"/>
              <w:jc w:val="left"/>
              <w:rPr/>
            </w:pPr>
            <w:r>
              <w:rPr/>
              <w:t> </w:t>
            </w:r>
          </w:p>
        </w:tc>
        <w:tc>
          <w:tcPr>
            <w:tcW w:w="938" w:type="dxa"/>
            <w:tcBorders>
              <w:bottom w:val="single" w:sz="6" w:space="0" w:color="7F7F7F"/>
            </w:tcBorders>
            <w:tcMar>
              <w:bottom w:w="80" w:type="dxa"/>
            </w:tcMar>
            <w:vAlign w:val="center"/>
          </w:tcPr>
          <w:p>
            <w:pPr>
              <w:pStyle w:val="TableContents"/>
              <w:bidi w:val="0"/>
              <w:spacing w:before="0" w:after="283"/>
              <w:jc w:val="right"/>
              <w:rPr/>
            </w:pPr>
            <w:r>
              <w:rPr/>
              <w:t>— </w:t>
            </w:r>
          </w:p>
        </w:tc>
        <w:tc>
          <w:tcPr>
            <w:tcW w:w="34"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8" w:type="dxa"/>
            <w:tcBorders>
              <w:bottom w:val="single" w:sz="6" w:space="0" w:color="7F7F7F"/>
            </w:tcBorders>
            <w:tcMar>
              <w:bottom w:w="80" w:type="dxa"/>
            </w:tcMar>
            <w:vAlign w:val="center"/>
          </w:tcPr>
          <w:p>
            <w:pPr>
              <w:pStyle w:val="TableContents"/>
              <w:bidi w:val="0"/>
              <w:spacing w:before="0" w:after="283"/>
              <w:jc w:val="left"/>
              <w:rPr/>
            </w:pPr>
            <w:r>
              <w:rPr/>
              <w:t> </w:t>
            </w:r>
          </w:p>
        </w:tc>
        <w:tc>
          <w:tcPr>
            <w:tcW w:w="1307" w:type="dxa"/>
            <w:tcBorders>
              <w:bottom w:val="single" w:sz="6" w:space="0" w:color="7F7F7F"/>
            </w:tcBorders>
            <w:tcMar>
              <w:bottom w:w="80" w:type="dxa"/>
            </w:tcMar>
            <w:vAlign w:val="center"/>
          </w:tcPr>
          <w:p>
            <w:pPr>
              <w:pStyle w:val="TableContents"/>
              <w:bidi w:val="0"/>
              <w:spacing w:before="0" w:after="283"/>
              <w:jc w:val="right"/>
              <w:rPr/>
            </w:pPr>
            <w:r>
              <w:rPr/>
              <w:t>5,763</w:t>
            </w:r>
          </w:p>
        </w:tc>
        <w:tc>
          <w:tcPr>
            <w:tcW w:w="6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163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108" w:type="dxa"/>
            <w:gridSpan w:val="5"/>
            <w:tcBorders/>
            <w:vAlign w:val="center"/>
          </w:tcPr>
          <w:p>
            <w:pPr>
              <w:pStyle w:val="TableContents"/>
              <w:bidi w:val="0"/>
              <w:spacing w:before="0" w:after="283"/>
              <w:jc w:val="left"/>
              <w:rPr>
                <w:sz w:val="4"/>
                <w:szCs w:val="4"/>
              </w:rPr>
            </w:pPr>
            <w:r>
              <w:rPr>
                <w:sz w:val="4"/>
                <w:szCs w:val="4"/>
              </w:rPr>
            </w:r>
          </w:p>
        </w:tc>
        <w:tc>
          <w:tcPr>
            <w:tcW w:w="1528"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Nicola M. Soares</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22" w:type="dxa"/>
            <w:tcBorders>
              <w:bottom w:val="single" w:sz="6" w:space="0" w:color="7F7F7F"/>
            </w:tcBorders>
            <w:tcMar>
              <w:bottom w:w="80" w:type="dxa"/>
            </w:tcMar>
            <w:vAlign w:val="center"/>
          </w:tcPr>
          <w:p>
            <w:pPr>
              <w:pStyle w:val="TableContents"/>
              <w:bidi w:val="0"/>
              <w:spacing w:before="0" w:after="283"/>
              <w:jc w:val="left"/>
              <w:rPr/>
            </w:pPr>
            <w:r>
              <w:rPr/>
              <w:t> </w:t>
            </w:r>
          </w:p>
        </w:tc>
        <w:tc>
          <w:tcPr>
            <w:tcW w:w="1392" w:type="dxa"/>
            <w:tcBorders>
              <w:bottom w:val="single" w:sz="6" w:space="0" w:color="7F7F7F"/>
            </w:tcBorders>
            <w:tcMar>
              <w:bottom w:w="80" w:type="dxa"/>
            </w:tcMar>
            <w:vAlign w:val="center"/>
          </w:tcPr>
          <w:p>
            <w:pPr>
              <w:pStyle w:val="TableContents"/>
              <w:bidi w:val="0"/>
              <w:spacing w:before="0" w:after="283"/>
              <w:jc w:val="right"/>
              <w:rPr/>
            </w:pPr>
            <w:r>
              <w:rPr/>
              <w:t>20,936</w:t>
            </w:r>
          </w:p>
        </w:tc>
        <w:tc>
          <w:tcPr>
            <w:tcW w:w="49"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7F7F7F"/>
            </w:tcBorders>
            <w:tcMar>
              <w:bottom w:w="80" w:type="dxa"/>
            </w:tcMar>
            <w:vAlign w:val="center"/>
          </w:tcPr>
          <w:p>
            <w:pPr>
              <w:pStyle w:val="TableContents"/>
              <w:bidi w:val="0"/>
              <w:spacing w:before="0" w:after="283"/>
              <w:jc w:val="left"/>
              <w:rPr/>
            </w:pPr>
            <w:r>
              <w:rPr/>
              <w:t> </w:t>
            </w:r>
          </w:p>
        </w:tc>
        <w:tc>
          <w:tcPr>
            <w:tcW w:w="874" w:type="dxa"/>
            <w:tcBorders>
              <w:bottom w:val="single" w:sz="6" w:space="0" w:color="7F7F7F"/>
            </w:tcBorders>
            <w:tcMar>
              <w:bottom w:w="80" w:type="dxa"/>
            </w:tcMar>
            <w:vAlign w:val="center"/>
          </w:tcPr>
          <w:p>
            <w:pPr>
              <w:pStyle w:val="TableContents"/>
              <w:bidi w:val="0"/>
              <w:spacing w:before="0" w:after="283"/>
              <w:jc w:val="right"/>
              <w:rPr/>
            </w:pPr>
            <w:r>
              <w:rPr/>
              <w:t>349</w:t>
            </w:r>
          </w:p>
        </w:tc>
        <w:tc>
          <w:tcPr>
            <w:tcW w:w="38"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80" w:type="dxa"/>
            </w:tcMar>
            <w:vAlign w:val="center"/>
          </w:tcPr>
          <w:p>
            <w:pPr>
              <w:pStyle w:val="TableContents"/>
              <w:bidi w:val="0"/>
              <w:spacing w:before="0" w:after="283"/>
              <w:jc w:val="left"/>
              <w:rPr/>
            </w:pPr>
            <w:r>
              <w:rPr/>
              <w:t> </w:t>
            </w:r>
          </w:p>
        </w:tc>
        <w:tc>
          <w:tcPr>
            <w:tcW w:w="938" w:type="dxa"/>
            <w:tcBorders>
              <w:bottom w:val="single" w:sz="6" w:space="0" w:color="7F7F7F"/>
            </w:tcBorders>
            <w:tcMar>
              <w:bottom w:w="80" w:type="dxa"/>
            </w:tcMar>
            <w:vAlign w:val="center"/>
          </w:tcPr>
          <w:p>
            <w:pPr>
              <w:pStyle w:val="TableContents"/>
              <w:bidi w:val="0"/>
              <w:spacing w:before="0" w:after="283"/>
              <w:jc w:val="right"/>
              <w:rPr/>
            </w:pPr>
            <w:r>
              <w:rPr/>
              <w:t>— </w:t>
            </w:r>
          </w:p>
        </w:tc>
        <w:tc>
          <w:tcPr>
            <w:tcW w:w="34"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8" w:type="dxa"/>
            <w:tcBorders>
              <w:bottom w:val="single" w:sz="6" w:space="0" w:color="7F7F7F"/>
            </w:tcBorders>
            <w:tcMar>
              <w:bottom w:w="80" w:type="dxa"/>
            </w:tcMar>
            <w:vAlign w:val="center"/>
          </w:tcPr>
          <w:p>
            <w:pPr>
              <w:pStyle w:val="TableContents"/>
              <w:bidi w:val="0"/>
              <w:spacing w:before="0" w:after="283"/>
              <w:jc w:val="left"/>
              <w:rPr/>
            </w:pPr>
            <w:r>
              <w:rPr/>
              <w:t> </w:t>
            </w:r>
          </w:p>
        </w:tc>
        <w:tc>
          <w:tcPr>
            <w:tcW w:w="1307" w:type="dxa"/>
            <w:tcBorders>
              <w:bottom w:val="single" w:sz="6" w:space="0" w:color="7F7F7F"/>
            </w:tcBorders>
            <w:tcMar>
              <w:bottom w:w="80" w:type="dxa"/>
            </w:tcMar>
            <w:vAlign w:val="center"/>
          </w:tcPr>
          <w:p>
            <w:pPr>
              <w:pStyle w:val="TableContents"/>
              <w:bidi w:val="0"/>
              <w:spacing w:before="0" w:after="283"/>
              <w:jc w:val="right"/>
              <w:rPr/>
            </w:pPr>
            <w:r>
              <w:rPr/>
              <w:t>21,285</w:t>
            </w:r>
          </w:p>
        </w:tc>
        <w:tc>
          <w:tcPr>
            <w:tcW w:w="6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163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108" w:type="dxa"/>
            <w:gridSpan w:val="5"/>
            <w:tcBorders/>
            <w:vAlign w:val="center"/>
          </w:tcPr>
          <w:p>
            <w:pPr>
              <w:pStyle w:val="TableContents"/>
              <w:bidi w:val="0"/>
              <w:spacing w:before="0" w:after="283"/>
              <w:jc w:val="left"/>
              <w:rPr>
                <w:sz w:val="4"/>
                <w:szCs w:val="4"/>
              </w:rPr>
            </w:pPr>
            <w:r>
              <w:rPr>
                <w:sz w:val="4"/>
                <w:szCs w:val="4"/>
              </w:rPr>
            </w:r>
          </w:p>
        </w:tc>
        <w:tc>
          <w:tcPr>
            <w:tcW w:w="1528"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Tammy L. Browning</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22" w:type="dxa"/>
            <w:tcBorders>
              <w:bottom w:val="single" w:sz="6" w:space="0" w:color="7F7F7F"/>
            </w:tcBorders>
            <w:tcMar>
              <w:bottom w:w="80" w:type="dxa"/>
            </w:tcMar>
            <w:vAlign w:val="center"/>
          </w:tcPr>
          <w:p>
            <w:pPr>
              <w:pStyle w:val="TableContents"/>
              <w:bidi w:val="0"/>
              <w:spacing w:before="0" w:after="283"/>
              <w:jc w:val="left"/>
              <w:rPr/>
            </w:pPr>
            <w:r>
              <w:rPr/>
              <w:t> </w:t>
            </w:r>
          </w:p>
        </w:tc>
        <w:tc>
          <w:tcPr>
            <w:tcW w:w="1392" w:type="dxa"/>
            <w:tcBorders>
              <w:bottom w:val="single" w:sz="6" w:space="0" w:color="7F7F7F"/>
            </w:tcBorders>
            <w:tcMar>
              <w:bottom w:w="80" w:type="dxa"/>
            </w:tcMar>
            <w:vAlign w:val="center"/>
          </w:tcPr>
          <w:p>
            <w:pPr>
              <w:pStyle w:val="TableContents"/>
              <w:bidi w:val="0"/>
              <w:spacing w:before="0" w:after="283"/>
              <w:jc w:val="right"/>
              <w:rPr/>
            </w:pPr>
            <w:r>
              <w:rPr/>
              <w:t>30,594</w:t>
            </w:r>
          </w:p>
        </w:tc>
        <w:tc>
          <w:tcPr>
            <w:tcW w:w="49"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7F7F7F"/>
            </w:tcBorders>
            <w:tcMar>
              <w:bottom w:w="80" w:type="dxa"/>
            </w:tcMar>
            <w:vAlign w:val="center"/>
          </w:tcPr>
          <w:p>
            <w:pPr>
              <w:pStyle w:val="TableContents"/>
              <w:bidi w:val="0"/>
              <w:spacing w:before="0" w:after="283"/>
              <w:jc w:val="left"/>
              <w:rPr/>
            </w:pPr>
            <w:r>
              <w:rPr/>
              <w:t> </w:t>
            </w:r>
          </w:p>
        </w:tc>
        <w:tc>
          <w:tcPr>
            <w:tcW w:w="874" w:type="dxa"/>
            <w:tcBorders>
              <w:bottom w:val="single" w:sz="6" w:space="0" w:color="7F7F7F"/>
            </w:tcBorders>
            <w:tcMar>
              <w:bottom w:w="80" w:type="dxa"/>
            </w:tcMar>
            <w:vAlign w:val="center"/>
          </w:tcPr>
          <w:p>
            <w:pPr>
              <w:pStyle w:val="TableContents"/>
              <w:bidi w:val="0"/>
              <w:spacing w:before="0" w:after="283"/>
              <w:jc w:val="right"/>
              <w:rPr/>
            </w:pPr>
            <w:r>
              <w:rPr/>
              <w:t>351</w:t>
            </w:r>
          </w:p>
        </w:tc>
        <w:tc>
          <w:tcPr>
            <w:tcW w:w="38"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80" w:type="dxa"/>
            </w:tcMar>
            <w:vAlign w:val="center"/>
          </w:tcPr>
          <w:p>
            <w:pPr>
              <w:pStyle w:val="TableContents"/>
              <w:bidi w:val="0"/>
              <w:spacing w:before="0" w:after="283"/>
              <w:jc w:val="left"/>
              <w:rPr/>
            </w:pPr>
            <w:r>
              <w:rPr/>
              <w:t> </w:t>
            </w:r>
          </w:p>
        </w:tc>
        <w:tc>
          <w:tcPr>
            <w:tcW w:w="938" w:type="dxa"/>
            <w:tcBorders>
              <w:bottom w:val="single" w:sz="6" w:space="0" w:color="7F7F7F"/>
            </w:tcBorders>
            <w:tcMar>
              <w:bottom w:w="80" w:type="dxa"/>
            </w:tcMar>
            <w:vAlign w:val="center"/>
          </w:tcPr>
          <w:p>
            <w:pPr>
              <w:pStyle w:val="TableContents"/>
              <w:bidi w:val="0"/>
              <w:spacing w:before="0" w:after="283"/>
              <w:jc w:val="right"/>
              <w:rPr/>
            </w:pPr>
            <w:r>
              <w:rPr/>
              <w:t>— </w:t>
            </w:r>
          </w:p>
        </w:tc>
        <w:tc>
          <w:tcPr>
            <w:tcW w:w="34"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8" w:type="dxa"/>
            <w:tcBorders>
              <w:bottom w:val="single" w:sz="6" w:space="0" w:color="7F7F7F"/>
            </w:tcBorders>
            <w:tcMar>
              <w:bottom w:w="80" w:type="dxa"/>
            </w:tcMar>
            <w:vAlign w:val="center"/>
          </w:tcPr>
          <w:p>
            <w:pPr>
              <w:pStyle w:val="TableContents"/>
              <w:bidi w:val="0"/>
              <w:spacing w:before="0" w:after="283"/>
              <w:jc w:val="left"/>
              <w:rPr/>
            </w:pPr>
            <w:r>
              <w:rPr/>
              <w:t> </w:t>
            </w:r>
          </w:p>
        </w:tc>
        <w:tc>
          <w:tcPr>
            <w:tcW w:w="1307" w:type="dxa"/>
            <w:tcBorders>
              <w:bottom w:val="single" w:sz="6" w:space="0" w:color="7F7F7F"/>
            </w:tcBorders>
            <w:tcMar>
              <w:bottom w:w="80" w:type="dxa"/>
            </w:tcMar>
            <w:vAlign w:val="center"/>
          </w:tcPr>
          <w:p>
            <w:pPr>
              <w:pStyle w:val="TableContents"/>
              <w:bidi w:val="0"/>
              <w:spacing w:before="0" w:after="283"/>
              <w:jc w:val="right"/>
              <w:rPr/>
            </w:pPr>
            <w:r>
              <w:rPr/>
              <w:t>30,945</w:t>
            </w:r>
          </w:p>
        </w:tc>
        <w:tc>
          <w:tcPr>
            <w:tcW w:w="6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163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108" w:type="dxa"/>
            <w:gridSpan w:val="5"/>
            <w:tcBorders/>
            <w:vAlign w:val="center"/>
          </w:tcPr>
          <w:p>
            <w:pPr>
              <w:pStyle w:val="TableContents"/>
              <w:bidi w:val="0"/>
              <w:spacing w:before="0" w:after="283"/>
              <w:jc w:val="left"/>
              <w:rPr>
                <w:sz w:val="4"/>
                <w:szCs w:val="4"/>
              </w:rPr>
            </w:pPr>
            <w:r>
              <w:rPr>
                <w:sz w:val="4"/>
                <w:szCs w:val="4"/>
              </w:rPr>
            </w:r>
          </w:p>
        </w:tc>
        <w:tc>
          <w:tcPr>
            <w:tcW w:w="1528"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0"/>
              <w:jc w:val="left"/>
              <w:rPr>
                <w:rFonts w:ascii="arial" w:hAnsi="arial"/>
                <w:b/>
                <w:i/>
                <w:sz w:val="16"/>
                <w:u w:val="single"/>
              </w:rPr>
            </w:pPr>
            <w:r>
              <w:rPr>
                <w:rFonts w:ascii="arial" w:hAnsi="arial"/>
                <w:b/>
                <w:i/>
                <w:sz w:val="16"/>
                <w:u w:val="single"/>
              </w:rPr>
              <w:t>Former Executive</w:t>
            </w:r>
          </w:p>
        </w:tc>
        <w:tc>
          <w:tcPr>
            <w:tcW w:w="23"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163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108" w:type="dxa"/>
            <w:gridSpan w:val="5"/>
            <w:tcBorders/>
            <w:vAlign w:val="center"/>
          </w:tcPr>
          <w:p>
            <w:pPr>
              <w:pStyle w:val="TableContents"/>
              <w:bidi w:val="0"/>
              <w:spacing w:before="0" w:after="283"/>
              <w:jc w:val="left"/>
              <w:rPr>
                <w:sz w:val="4"/>
                <w:szCs w:val="4"/>
              </w:rPr>
            </w:pPr>
            <w:r>
              <w:rPr>
                <w:sz w:val="4"/>
                <w:szCs w:val="4"/>
              </w:rPr>
            </w:r>
          </w:p>
        </w:tc>
        <w:tc>
          <w:tcPr>
            <w:tcW w:w="1528"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Peter W. Quigley</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22" w:type="dxa"/>
            <w:tcBorders>
              <w:bottom w:val="single" w:sz="6" w:space="0" w:color="7F7F7F"/>
            </w:tcBorders>
            <w:tcMar>
              <w:bottom w:w="80" w:type="dxa"/>
            </w:tcMar>
            <w:vAlign w:val="center"/>
          </w:tcPr>
          <w:p>
            <w:pPr>
              <w:pStyle w:val="TableContents"/>
              <w:bidi w:val="0"/>
              <w:spacing w:before="0" w:after="283"/>
              <w:jc w:val="left"/>
              <w:rPr/>
            </w:pPr>
            <w:r>
              <w:rPr/>
              <w:t> </w:t>
            </w:r>
          </w:p>
        </w:tc>
        <w:tc>
          <w:tcPr>
            <w:tcW w:w="1392" w:type="dxa"/>
            <w:tcBorders>
              <w:bottom w:val="single" w:sz="6" w:space="0" w:color="7F7F7F"/>
            </w:tcBorders>
            <w:tcMar>
              <w:bottom w:w="80" w:type="dxa"/>
            </w:tcMar>
            <w:vAlign w:val="center"/>
          </w:tcPr>
          <w:p>
            <w:pPr>
              <w:pStyle w:val="TableContents"/>
              <w:bidi w:val="0"/>
              <w:spacing w:before="0" w:after="283"/>
              <w:jc w:val="right"/>
              <w:rPr/>
            </w:pPr>
            <w:r>
              <w:rPr/>
              <w:t>77,957</w:t>
            </w:r>
          </w:p>
        </w:tc>
        <w:tc>
          <w:tcPr>
            <w:tcW w:w="49"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7F7F7F"/>
            </w:tcBorders>
            <w:tcMar>
              <w:bottom w:w="80" w:type="dxa"/>
            </w:tcMar>
            <w:vAlign w:val="center"/>
          </w:tcPr>
          <w:p>
            <w:pPr>
              <w:pStyle w:val="TableContents"/>
              <w:bidi w:val="0"/>
              <w:spacing w:before="0" w:after="283"/>
              <w:jc w:val="left"/>
              <w:rPr/>
            </w:pPr>
            <w:r>
              <w:rPr/>
              <w:t> </w:t>
            </w:r>
          </w:p>
        </w:tc>
        <w:tc>
          <w:tcPr>
            <w:tcW w:w="874" w:type="dxa"/>
            <w:tcBorders>
              <w:bottom w:val="single" w:sz="6" w:space="0" w:color="7F7F7F"/>
            </w:tcBorders>
            <w:tcMar>
              <w:bottom w:w="80" w:type="dxa"/>
            </w:tcMar>
            <w:vAlign w:val="center"/>
          </w:tcPr>
          <w:p>
            <w:pPr>
              <w:pStyle w:val="TableContents"/>
              <w:bidi w:val="0"/>
              <w:spacing w:before="0" w:after="283"/>
              <w:jc w:val="right"/>
              <w:rPr/>
            </w:pPr>
            <w:r>
              <w:rPr/>
              <w:t>2,789</w:t>
            </w:r>
          </w:p>
        </w:tc>
        <w:tc>
          <w:tcPr>
            <w:tcW w:w="38"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7F7F7F"/>
            </w:tcBorders>
            <w:tcMar>
              <w:bottom w:w="80" w:type="dxa"/>
            </w:tcMar>
            <w:vAlign w:val="center"/>
          </w:tcPr>
          <w:p>
            <w:pPr>
              <w:pStyle w:val="TableContents"/>
              <w:bidi w:val="0"/>
              <w:spacing w:before="0" w:after="283"/>
              <w:jc w:val="left"/>
              <w:rPr/>
            </w:pPr>
            <w:r>
              <w:rPr/>
              <w:t> </w:t>
            </w:r>
          </w:p>
        </w:tc>
        <w:tc>
          <w:tcPr>
            <w:tcW w:w="938" w:type="dxa"/>
            <w:tcBorders>
              <w:bottom w:val="single" w:sz="6" w:space="0" w:color="7F7F7F"/>
            </w:tcBorders>
            <w:tcMar>
              <w:bottom w:w="80" w:type="dxa"/>
            </w:tcMar>
            <w:vAlign w:val="center"/>
          </w:tcPr>
          <w:p>
            <w:pPr>
              <w:pStyle w:val="TableContents"/>
              <w:bidi w:val="0"/>
              <w:spacing w:before="0" w:after="283"/>
              <w:jc w:val="right"/>
              <w:rPr/>
            </w:pPr>
            <w:r>
              <w:rPr/>
              <w:t>40,385</w:t>
            </w:r>
          </w:p>
        </w:tc>
        <w:tc>
          <w:tcPr>
            <w:tcW w:w="34"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8" w:type="dxa"/>
            <w:tcBorders>
              <w:bottom w:val="single" w:sz="6" w:space="0" w:color="7F7F7F"/>
            </w:tcBorders>
            <w:tcMar>
              <w:bottom w:w="80" w:type="dxa"/>
            </w:tcMar>
            <w:vAlign w:val="center"/>
          </w:tcPr>
          <w:p>
            <w:pPr>
              <w:pStyle w:val="TableContents"/>
              <w:bidi w:val="0"/>
              <w:spacing w:before="0" w:after="283"/>
              <w:jc w:val="left"/>
              <w:rPr/>
            </w:pPr>
            <w:r>
              <w:rPr/>
              <w:t> </w:t>
            </w:r>
          </w:p>
        </w:tc>
        <w:tc>
          <w:tcPr>
            <w:tcW w:w="1307" w:type="dxa"/>
            <w:tcBorders>
              <w:bottom w:val="single" w:sz="6" w:space="0" w:color="7F7F7F"/>
            </w:tcBorders>
            <w:tcMar>
              <w:bottom w:w="80" w:type="dxa"/>
            </w:tcMar>
            <w:vAlign w:val="center"/>
          </w:tcPr>
          <w:p>
            <w:pPr>
              <w:pStyle w:val="TableContents"/>
              <w:bidi w:val="0"/>
              <w:spacing w:before="0" w:after="283"/>
              <w:jc w:val="right"/>
              <w:rPr/>
            </w:pPr>
            <w:r>
              <w:rPr/>
              <w:t>121,131</w:t>
            </w:r>
          </w:p>
        </w:tc>
        <w:tc>
          <w:tcPr>
            <w:tcW w:w="6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(5)</w:t>
            </w:r>
          </w:p>
        </w:tc>
        <w:tc>
          <w:tcPr>
            <w:tcW w:w="9920" w:type="dxa"/>
            <w:tcBorders/>
            <w:vAlign w:val="center"/>
          </w:tcPr>
          <w:p>
            <w:pPr>
              <w:pStyle w:val="TableContents"/>
              <w:bidi w:val="0"/>
              <w:spacing w:before="0" w:after="0"/>
              <w:jc w:val="left"/>
              <w:rPr>
                <w:rFonts w:ascii="arial" w:hAnsi="arial"/>
                <w:sz w:val="14"/>
              </w:rPr>
            </w:pPr>
            <w:r>
              <w:rPr>
                <w:rFonts w:ascii="arial" w:hAnsi="arial"/>
                <w:sz w:val="14"/>
              </w:rPr>
              <w:t xml:space="preserve">The amount reported for Mr. Quigley includes his continued pay as a consultant in 2025 and any additional compensation presented in the Potential Payments Upon Termination or Change in Control 2025 section. </w:t>
            </w:r>
          </w:p>
        </w:tc>
      </w:tr>
    </w:tbl>
    <w:p>
      <w:pPr>
        <w:pStyle w:val="TextBody"/>
        <w:bidi w:val="0"/>
        <w:spacing w:before="360" w:after="0"/>
        <w:jc w:val="left"/>
        <w:rPr>
          <w:rFonts w:ascii="arial" w:hAnsi="arial"/>
          <w:b/>
          <w:sz w:val="24"/>
        </w:rPr>
      </w:pPr>
      <w:bookmarkStart w:id="91" w:name="toc37355_71"/>
      <w:bookmarkEnd w:id="91"/>
      <w:r>
        <w:rPr>
          <w:rFonts w:ascii="arial" w:hAnsi="arial"/>
          <w:b/>
          <w:sz w:val="24"/>
        </w:rPr>
        <w:t xml:space="preserve">Grants of Plan-Based Awards 2025(1) </w:t>
      </w:r>
    </w:p>
    <w:p>
      <w:pPr>
        <w:pStyle w:val="TextBody"/>
        <w:bidi w:val="0"/>
        <w:spacing w:before="0" w:after="0"/>
        <w:jc w:val="left"/>
        <w:rPr/>
      </w:pPr>
      <w:r>
        <w:rPr/>
        <w:t> </w:t>
      </w:r>
    </w:p>
    <w:tbl>
      <w:tblPr>
        <w:tblW w:w="12604" w:type="dxa"/>
        <w:jc w:val="left"/>
        <w:tblInd w:w="0" w:type="dxa"/>
        <w:tblLayout w:type="fixed"/>
        <w:tblCellMar>
          <w:top w:w="0" w:type="dxa"/>
          <w:left w:w="0" w:type="dxa"/>
          <w:bottom w:w="0" w:type="dxa"/>
          <w:right w:w="0" w:type="dxa"/>
        </w:tblCellMar>
      </w:tblPr>
      <w:tblGrid>
        <w:gridCol w:w="1820"/>
        <w:gridCol w:w="23"/>
        <w:gridCol w:w="23"/>
        <w:gridCol w:w="60"/>
        <w:gridCol w:w="529"/>
        <w:gridCol w:w="23"/>
        <w:gridCol w:w="23"/>
        <w:gridCol w:w="248"/>
        <w:gridCol w:w="248"/>
        <w:gridCol w:w="248"/>
        <w:gridCol w:w="251"/>
        <w:gridCol w:w="23"/>
        <w:gridCol w:w="27"/>
        <w:gridCol w:w="70"/>
        <w:gridCol w:w="944"/>
        <w:gridCol w:w="29"/>
        <w:gridCol w:w="23"/>
        <w:gridCol w:w="23"/>
        <w:gridCol w:w="60"/>
        <w:gridCol w:w="980"/>
        <w:gridCol w:w="23"/>
        <w:gridCol w:w="23"/>
        <w:gridCol w:w="23"/>
        <w:gridCol w:w="60"/>
        <w:gridCol w:w="980"/>
        <w:gridCol w:w="23"/>
        <w:gridCol w:w="23"/>
        <w:gridCol w:w="31"/>
        <w:gridCol w:w="81"/>
        <w:gridCol w:w="925"/>
        <w:gridCol w:w="33"/>
        <w:gridCol w:w="23"/>
        <w:gridCol w:w="23"/>
        <w:gridCol w:w="60"/>
        <w:gridCol w:w="800"/>
        <w:gridCol w:w="23"/>
        <w:gridCol w:w="23"/>
        <w:gridCol w:w="27"/>
        <w:gridCol w:w="70"/>
        <w:gridCol w:w="944"/>
        <w:gridCol w:w="29"/>
        <w:gridCol w:w="23"/>
        <w:gridCol w:w="38"/>
        <w:gridCol w:w="101"/>
        <w:gridCol w:w="1355"/>
        <w:gridCol w:w="41"/>
        <w:gridCol w:w="23"/>
        <w:gridCol w:w="23"/>
        <w:gridCol w:w="60"/>
        <w:gridCol w:w="980"/>
        <w:gridCol w:w="38"/>
      </w:tblGrid>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vMerge w:val="restart"/>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jc w:val="left"/>
              <w:rPr/>
            </w:pPr>
            <w:r>
              <w:rPr/>
              <w:t> </w:t>
            </w:r>
          </w:p>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jc w:val="left"/>
              <w:rPr/>
            </w:pPr>
            <w:r>
              <w:rPr/>
              <w:t> </w:t>
            </w:r>
          </w:p>
          <w:p>
            <w:pPr>
              <w:pStyle w:val="TableContents"/>
              <w:bidi w:val="0"/>
              <w:spacing w:before="0" w:after="0"/>
              <w:jc w:val="left"/>
              <w:rPr/>
            </w:pPr>
            <w:r>
              <w:rPr/>
              <w:t>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88" w:type="dxa"/>
            <w:gridSpan w:val="1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Estimated Future Payouts</w:t>
              <w:br/>
              <w:t>Under Non-Equity Incentive</w:t>
              <w:br/>
              <w:t>Plan Awards(3)</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92" w:type="dxa"/>
            <w:gridSpan w:val="1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Estimated Future Payouts</w:t>
              <w:br/>
              <w:t>Under Equity Incentive Plan</w:t>
              <w:br/>
              <w:t>Awards(4)</w:t>
            </w:r>
          </w:p>
        </w:tc>
        <w:tc>
          <w:tcPr>
            <w:tcW w:w="23" w:type="dxa"/>
            <w:vMerge w:val="restart"/>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35" w:type="dxa"/>
            <w:gridSpan w:val="4"/>
            <w:vMerge w:val="restart"/>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All Other</w:t>
              <w:br/>
              <w:t>Stock Awards:</w:t>
              <w:br/>
              <w:t>Number of</w:t>
              <w:br/>
              <w:t>Shares of</w:t>
              <w:br/>
              <w:t>Stock or</w:t>
              <w:br/>
              <w:t>Units(5)</w:t>
              <w:br/>
              <w:t>(#)</w:t>
            </w:r>
          </w:p>
        </w:tc>
        <w:tc>
          <w:tcPr>
            <w:tcW w:w="23" w:type="dxa"/>
            <w:vMerge w:val="restart"/>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1" w:type="dxa"/>
            <w:gridSpan w:val="4"/>
            <w:vMerge w:val="restart"/>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Grant</w:t>
              <w:br/>
              <w:t>Date Fair</w:t>
              <w:br/>
              <w:t>Value of</w:t>
              <w:br/>
              <w:t>Stock and</w:t>
              <w:br/>
              <w:t>Option</w:t>
              <w:br/>
              <w:t>Awards(6)</w:t>
              <w:br/>
              <w:t>($)</w:t>
            </w:r>
          </w:p>
        </w:tc>
      </w:tr>
      <w:tr>
        <w:trPr/>
        <w:tc>
          <w:tcPr>
            <w:tcW w:w="1820" w:type="dxa"/>
            <w:vMerge w:val="continue"/>
            <w:tcBorders>
              <w:bottom w:val="single" w:sz="8" w:space="0" w:color="000000"/>
            </w:tcBorders>
            <w:tcMar>
              <w:bottom w:w="28" w:type="dxa"/>
            </w:tcMar>
            <w:vAlign w:val="center"/>
          </w:tcPr>
          <w:p>
            <w:pPr>
              <w:pStyle w:val="Normal"/>
              <w:bidi w:val="0"/>
              <w:jc w:val="left"/>
              <w:rPr/>
            </w:pPr>
            <w:r>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5"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Grant</w:t>
              <w:br/>
              <w:t>Date(2)</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5"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Approval</w:t>
              <w:br/>
              <w:t>Date</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70"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Threshold</w:t>
              <w:br/>
              <w:t>($)</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6"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Target</w:t>
              <w:br/>
              <w:t>($)</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6"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Maximum</w:t>
              <w:br/>
              <w:t>($)</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70"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Threshold</w:t>
              <w:br/>
              <w:t>(#)</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6"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Target</w:t>
              <w:br/>
              <w:t>(#)</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70"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Maximum</w:t>
              <w:br/>
              <w:t>(#)</w:t>
            </w:r>
          </w:p>
        </w:tc>
        <w:tc>
          <w:tcPr>
            <w:tcW w:w="23" w:type="dxa"/>
            <w:vMerge w:val="continue"/>
            <w:tcBorders>
              <w:bottom w:val="single" w:sz="8" w:space="0" w:color="000000"/>
            </w:tcBorders>
            <w:tcMar>
              <w:bottom w:w="28" w:type="dxa"/>
            </w:tcMar>
            <w:vAlign w:val="center"/>
          </w:tcPr>
          <w:p>
            <w:pPr>
              <w:pStyle w:val="Normal"/>
              <w:bidi w:val="0"/>
              <w:jc w:val="left"/>
              <w:rPr/>
            </w:pPr>
            <w:r>
              <w:rPr/>
            </w:r>
          </w:p>
        </w:tc>
        <w:tc>
          <w:tcPr>
            <w:tcW w:w="1535" w:type="dxa"/>
            <w:gridSpan w:val="4"/>
            <w:vMerge w:val="continue"/>
            <w:tcBorders>
              <w:bottom w:val="single" w:sz="8" w:space="0" w:color="000000"/>
            </w:tcBorders>
            <w:tcMar>
              <w:bottom w:w="40" w:type="dxa"/>
            </w:tcMar>
            <w:vAlign w:val="center"/>
          </w:tcPr>
          <w:p>
            <w:pPr>
              <w:pStyle w:val="Normal"/>
              <w:bidi w:val="0"/>
              <w:jc w:val="left"/>
              <w:rPr/>
            </w:pPr>
            <w:r>
              <w:rPr/>
            </w:r>
          </w:p>
        </w:tc>
        <w:tc>
          <w:tcPr>
            <w:tcW w:w="23" w:type="dxa"/>
            <w:vMerge w:val="continue"/>
            <w:tcBorders>
              <w:bottom w:val="single" w:sz="8" w:space="0" w:color="000000"/>
            </w:tcBorders>
            <w:tcMar>
              <w:bottom w:w="28" w:type="dxa"/>
            </w:tcMar>
            <w:vAlign w:val="center"/>
          </w:tcPr>
          <w:p>
            <w:pPr>
              <w:pStyle w:val="Normal"/>
              <w:bidi w:val="0"/>
              <w:jc w:val="left"/>
              <w:rPr/>
            </w:pPr>
            <w:r>
              <w:rPr/>
            </w:r>
          </w:p>
        </w:tc>
        <w:tc>
          <w:tcPr>
            <w:tcW w:w="1101" w:type="dxa"/>
            <w:gridSpan w:val="4"/>
            <w:vMerge w:val="continue"/>
            <w:tcBorders>
              <w:bottom w:val="single" w:sz="8" w:space="0" w:color="000000"/>
            </w:tcBorders>
            <w:tcMar>
              <w:bottom w:w="40" w:type="dxa"/>
            </w:tcMar>
            <w:vAlign w:val="center"/>
          </w:tcPr>
          <w:p>
            <w:pPr>
              <w:pStyle w:val="Normal"/>
              <w:bidi w:val="0"/>
              <w:jc w:val="left"/>
              <w:rPr/>
            </w:pPr>
            <w:r>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58" w:type="dxa"/>
            <w:gridSpan w:val="5"/>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92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558"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1820" w:type="dxa"/>
            <w:vMerge w:val="restart"/>
            <w:tcBorders>
              <w:bottom w:val="single" w:sz="6" w:space="0" w:color="7F7F7F"/>
            </w:tcBorders>
            <w:tcMar>
              <w:bottom w:w="28" w:type="dxa"/>
            </w:tcMar>
            <w:vAlign w:val="center"/>
          </w:tcPr>
          <w:p>
            <w:pPr>
              <w:pStyle w:val="TableContents"/>
              <w:bidi w:val="0"/>
              <w:spacing w:before="0" w:after="0"/>
              <w:jc w:val="left"/>
              <w:rPr>
                <w:rFonts w:ascii="arial" w:hAnsi="arial"/>
                <w:b/>
                <w:sz w:val="16"/>
              </w:rPr>
            </w:pPr>
            <w:r>
              <w:rPr>
                <w:rFonts w:ascii="arial" w:hAnsi="arial"/>
                <w:b/>
                <w:sz w:val="16"/>
              </w:rPr>
              <w:t>Christopher D. Layden</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STIP</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192,308</w:t>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384,615</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769,231</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vMerge w:val="continue"/>
            <w:tcBorders>
              <w:bottom w:val="single" w:sz="6" w:space="0" w:color="7F7F7F"/>
            </w:tcBorders>
            <w:tcMar>
              <w:bottom w:w="28" w:type="dxa"/>
            </w:tcMar>
            <w:vAlign w:val="center"/>
          </w:tcPr>
          <w:p>
            <w:pPr>
              <w:pStyle w:val="Normal"/>
              <w:bidi w:val="0"/>
              <w:jc w:val="left"/>
              <w:rPr/>
            </w:pPr>
            <w:r>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529" w:type="dxa"/>
            <w:tcBorders>
              <w:bottom w:val="single" w:sz="6" w:space="0" w:color="7F7F7F"/>
            </w:tcBorders>
            <w:tcMar>
              <w:bottom w:w="80" w:type="dxa"/>
            </w:tcMar>
            <w:vAlign w:val="center"/>
          </w:tcPr>
          <w:p>
            <w:pPr>
              <w:pStyle w:val="TableContents"/>
              <w:bidi w:val="0"/>
              <w:spacing w:before="0" w:after="283"/>
              <w:jc w:val="center"/>
              <w:rPr/>
            </w:pPr>
            <w:r>
              <w:rPr/>
              <w:t>9/15/2025</w:t>
            </w:r>
          </w:p>
        </w:tc>
        <w:tc>
          <w:tcPr>
            <w:tcW w:w="2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4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4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4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5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4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25"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0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4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7F7F7F"/>
            </w:tcBorders>
            <w:tcMar>
              <w:bottom w:w="80" w:type="dxa"/>
            </w:tcMar>
            <w:vAlign w:val="center"/>
          </w:tcPr>
          <w:p>
            <w:pPr>
              <w:pStyle w:val="TableContents"/>
              <w:bidi w:val="0"/>
              <w:spacing w:before="0" w:after="283"/>
              <w:jc w:val="left"/>
              <w:rPr/>
            </w:pPr>
            <w:r>
              <w:rPr/>
              <w:t> </w:t>
            </w:r>
          </w:p>
        </w:tc>
        <w:tc>
          <w:tcPr>
            <w:tcW w:w="1355" w:type="dxa"/>
            <w:tcBorders>
              <w:bottom w:val="single" w:sz="6" w:space="0" w:color="7F7F7F"/>
            </w:tcBorders>
            <w:tcMar>
              <w:bottom w:w="80" w:type="dxa"/>
            </w:tcMar>
            <w:vAlign w:val="center"/>
          </w:tcPr>
          <w:p>
            <w:pPr>
              <w:pStyle w:val="TableContents"/>
              <w:bidi w:val="0"/>
              <w:spacing w:before="0" w:after="283"/>
              <w:jc w:val="center"/>
              <w:rPr/>
            </w:pPr>
            <w:r>
              <w:rPr/>
              <w:t>290,276</w:t>
            </w:r>
          </w:p>
        </w:tc>
        <w:tc>
          <w:tcPr>
            <w:tcW w:w="41"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center"/>
              <w:rPr/>
            </w:pPr>
            <w:r>
              <w:rPr/>
              <w:t>4,000,003</w:t>
            </w:r>
          </w:p>
        </w:tc>
        <w:tc>
          <w:tcPr>
            <w:tcW w:w="38"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58" w:type="dxa"/>
            <w:gridSpan w:val="5"/>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92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558"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1820" w:type="dxa"/>
            <w:vMerge w:val="restart"/>
            <w:tcBorders/>
            <w:vAlign w:val="center"/>
          </w:tcPr>
          <w:p>
            <w:pPr>
              <w:pStyle w:val="TableContents"/>
              <w:bidi w:val="0"/>
              <w:spacing w:before="0" w:after="0"/>
              <w:jc w:val="left"/>
              <w:rPr>
                <w:rFonts w:ascii="arial" w:hAnsi="arial"/>
                <w:b/>
                <w:sz w:val="16"/>
              </w:rPr>
            </w:pPr>
            <w:r>
              <w:rPr>
                <w:rFonts w:ascii="arial" w:hAnsi="arial"/>
                <w:b/>
                <w:sz w:val="16"/>
              </w:rPr>
              <w:t>Troy R. Anderson</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STIP</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276,250</w:t>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552,500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1,105,000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2/11/2025</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center"/>
              <w:rPr/>
            </w:pPr>
            <w:r>
              <w:rPr/>
              <w:t>21,764</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43,528</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87,056</w:t>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548,018</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58" w:type="dxa"/>
            <w:gridSpan w:val="5"/>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92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558"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529" w:type="dxa"/>
            <w:tcBorders>
              <w:bottom w:val="single" w:sz="6" w:space="0" w:color="7F7F7F"/>
            </w:tcBorders>
            <w:tcMar>
              <w:bottom w:w="40" w:type="dxa"/>
            </w:tcMar>
            <w:vAlign w:val="center"/>
          </w:tcPr>
          <w:p>
            <w:pPr>
              <w:pStyle w:val="TableContents"/>
              <w:bidi w:val="0"/>
              <w:spacing w:before="0" w:after="283"/>
              <w:jc w:val="center"/>
              <w:rPr/>
            </w:pPr>
            <w:r>
              <w:rPr/>
              <w:t>2/11/2025</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4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4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4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5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4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25"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0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4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7F7F7F"/>
            </w:tcBorders>
            <w:tcMar>
              <w:bottom w:w="40" w:type="dxa"/>
            </w:tcMar>
            <w:vAlign w:val="center"/>
          </w:tcPr>
          <w:p>
            <w:pPr>
              <w:pStyle w:val="TableContents"/>
              <w:bidi w:val="0"/>
              <w:spacing w:before="0" w:after="283"/>
              <w:jc w:val="left"/>
              <w:rPr/>
            </w:pPr>
            <w:r>
              <w:rPr/>
              <w:t> </w:t>
            </w:r>
          </w:p>
        </w:tc>
        <w:tc>
          <w:tcPr>
            <w:tcW w:w="1355" w:type="dxa"/>
            <w:tcBorders>
              <w:bottom w:val="single" w:sz="6" w:space="0" w:color="7F7F7F"/>
            </w:tcBorders>
            <w:tcMar>
              <w:bottom w:w="40" w:type="dxa"/>
            </w:tcMar>
            <w:vAlign w:val="center"/>
          </w:tcPr>
          <w:p>
            <w:pPr>
              <w:pStyle w:val="TableContents"/>
              <w:bidi w:val="0"/>
              <w:spacing w:before="0" w:after="283"/>
              <w:jc w:val="center"/>
              <w:rPr/>
            </w:pPr>
            <w:r>
              <w:rPr/>
              <w:t>29,018</w:t>
            </w:r>
          </w:p>
        </w:tc>
        <w:tc>
          <w:tcPr>
            <w:tcW w:w="4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center"/>
              <w:rPr/>
            </w:pPr>
            <w:r>
              <w:rPr/>
              <w:t>390,002</w:t>
            </w:r>
          </w:p>
        </w:tc>
        <w:tc>
          <w:tcPr>
            <w:tcW w:w="38"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58" w:type="dxa"/>
            <w:gridSpan w:val="5"/>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92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558"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0"/>
              <w:jc w:val="left"/>
              <w:rPr>
                <w:rFonts w:ascii="arial" w:hAnsi="arial"/>
                <w:b/>
                <w:sz w:val="16"/>
              </w:rPr>
            </w:pPr>
            <w:r>
              <w:rPr>
                <w:rFonts w:ascii="arial" w:hAnsi="arial"/>
                <w:b/>
                <w:sz w:val="16"/>
              </w:rPr>
              <w:t>Tammy L. Browning</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STIP</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138,561</w:t>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277,122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554,243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58" w:type="dxa"/>
            <w:gridSpan w:val="5"/>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92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558"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2/11/2025</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center"/>
              <w:rPr/>
            </w:pPr>
            <w:r>
              <w:rPr/>
              <w:t>7,048</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14,096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28,192</w:t>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177,469</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58" w:type="dxa"/>
            <w:gridSpan w:val="5"/>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92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558"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1820" w:type="dxa"/>
            <w:vMerge w:val="restart"/>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2/11/2025</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9,397</w:t>
            </w:r>
          </w:p>
        </w:tc>
        <w:tc>
          <w:tcPr>
            <w:tcW w:w="4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126,296</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vMerge w:val="continue"/>
            <w:tcBorders>
              <w:bottom w:val="single" w:sz="6" w:space="0" w:color="000000"/>
            </w:tcBorders>
            <w:tcMar>
              <w:bottom w:w="28" w:type="dxa"/>
            </w:tcMar>
            <w:vAlign w:val="center"/>
          </w:tcPr>
          <w:p>
            <w:pPr>
              <w:pStyle w:val="Normal"/>
              <w:bidi w:val="0"/>
              <w:jc w:val="left"/>
              <w:rPr/>
            </w:pPr>
            <w:r>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529" w:type="dxa"/>
            <w:tcBorders>
              <w:bottom w:val="single" w:sz="6" w:space="0" w:color="000000"/>
            </w:tcBorders>
            <w:tcMar>
              <w:bottom w:w="40" w:type="dxa"/>
            </w:tcMar>
            <w:vAlign w:val="center"/>
          </w:tcPr>
          <w:p>
            <w:pPr>
              <w:pStyle w:val="TableContents"/>
              <w:bidi w:val="0"/>
              <w:spacing w:before="0" w:after="283"/>
              <w:jc w:val="center"/>
              <w:rPr/>
            </w:pPr>
            <w:r>
              <w:rPr/>
              <w:t>8/15/2025</w:t>
            </w:r>
          </w:p>
        </w:tc>
        <w:tc>
          <w:tcPr>
            <w:tcW w:w="23"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000000"/>
            </w:tcBorders>
            <w:tcMar>
              <w:bottom w:w="40" w:type="dxa"/>
            </w:tcMar>
            <w:vAlign w:val="center"/>
          </w:tcPr>
          <w:p>
            <w:pPr>
              <w:pStyle w:val="TableContents"/>
              <w:bidi w:val="0"/>
              <w:spacing w:before="0" w:after="283"/>
              <w:jc w:val="left"/>
              <w:rPr/>
            </w:pPr>
            <w:r>
              <w:rPr/>
              <w:t> </w:t>
            </w:r>
          </w:p>
        </w:tc>
        <w:tc>
          <w:tcPr>
            <w:tcW w:w="1355" w:type="dxa"/>
            <w:tcBorders>
              <w:bottom w:val="single" w:sz="6" w:space="0" w:color="000000"/>
            </w:tcBorders>
            <w:tcMar>
              <w:bottom w:w="40" w:type="dxa"/>
            </w:tcMar>
            <w:vAlign w:val="center"/>
          </w:tcPr>
          <w:p>
            <w:pPr>
              <w:pStyle w:val="TableContents"/>
              <w:bidi w:val="0"/>
              <w:spacing w:before="0" w:after="283"/>
              <w:jc w:val="center"/>
              <w:rPr/>
            </w:pPr>
            <w:r>
              <w:rPr/>
              <w:t>35,638</w:t>
            </w:r>
          </w:p>
        </w:tc>
        <w:tc>
          <w:tcPr>
            <w:tcW w:w="41"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center"/>
              <w:rPr/>
            </w:pPr>
            <w:r>
              <w:rPr/>
              <w:t>500,001</w:t>
            </w:r>
          </w:p>
        </w:tc>
        <w:tc>
          <w:tcPr>
            <w:tcW w:w="38"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58" w:type="dxa"/>
            <w:gridSpan w:val="5"/>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92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558"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0"/>
              <w:jc w:val="left"/>
              <w:rPr>
                <w:rFonts w:ascii="arial" w:hAnsi="arial"/>
                <w:b/>
                <w:sz w:val="16"/>
              </w:rPr>
            </w:pPr>
            <w:r>
              <w:rPr>
                <w:rFonts w:ascii="arial" w:hAnsi="arial"/>
                <w:b/>
                <w:sz w:val="16"/>
              </w:rPr>
              <w:t>Vanessa P. Williams</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STIP</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194,315</w:t>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388,630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777,260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58" w:type="dxa"/>
            <w:gridSpan w:val="5"/>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92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558"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2/11/2025</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center"/>
              <w:rPr/>
            </w:pPr>
            <w:r>
              <w:rPr/>
              <w:t>14,509</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29,018</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58,036</w:t>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365,337</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58" w:type="dxa"/>
            <w:gridSpan w:val="5"/>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92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558"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529" w:type="dxa"/>
            <w:tcBorders>
              <w:bottom w:val="single" w:sz="6" w:space="0" w:color="000000"/>
            </w:tcBorders>
            <w:tcMar>
              <w:bottom w:w="40" w:type="dxa"/>
            </w:tcMar>
            <w:vAlign w:val="center"/>
          </w:tcPr>
          <w:p>
            <w:pPr>
              <w:pStyle w:val="TableContents"/>
              <w:bidi w:val="0"/>
              <w:spacing w:before="0" w:after="283"/>
              <w:jc w:val="center"/>
              <w:rPr/>
            </w:pPr>
            <w:r>
              <w:rPr/>
              <w:t>2/11/2025</w:t>
            </w:r>
          </w:p>
        </w:tc>
        <w:tc>
          <w:tcPr>
            <w:tcW w:w="23"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000000"/>
            </w:tcBorders>
            <w:tcMar>
              <w:bottom w:w="40" w:type="dxa"/>
            </w:tcMar>
            <w:vAlign w:val="center"/>
          </w:tcPr>
          <w:p>
            <w:pPr>
              <w:pStyle w:val="TableContents"/>
              <w:bidi w:val="0"/>
              <w:spacing w:before="0" w:after="283"/>
              <w:jc w:val="left"/>
              <w:rPr/>
            </w:pPr>
            <w:r>
              <w:rPr/>
              <w:t> </w:t>
            </w:r>
          </w:p>
        </w:tc>
        <w:tc>
          <w:tcPr>
            <w:tcW w:w="1355" w:type="dxa"/>
            <w:tcBorders>
              <w:bottom w:val="single" w:sz="6" w:space="0" w:color="000000"/>
            </w:tcBorders>
            <w:tcMar>
              <w:bottom w:w="40" w:type="dxa"/>
            </w:tcMar>
            <w:vAlign w:val="center"/>
          </w:tcPr>
          <w:p>
            <w:pPr>
              <w:pStyle w:val="TableContents"/>
              <w:bidi w:val="0"/>
              <w:spacing w:before="0" w:after="283"/>
              <w:jc w:val="center"/>
              <w:rPr/>
            </w:pPr>
            <w:r>
              <w:rPr/>
              <w:t>19,345</w:t>
            </w:r>
          </w:p>
        </w:tc>
        <w:tc>
          <w:tcPr>
            <w:tcW w:w="41"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center"/>
              <w:rPr/>
            </w:pPr>
            <w:r>
              <w:rPr/>
              <w:t>259,997</w:t>
            </w:r>
          </w:p>
        </w:tc>
        <w:tc>
          <w:tcPr>
            <w:tcW w:w="38"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58" w:type="dxa"/>
            <w:gridSpan w:val="5"/>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92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558"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0"/>
              <w:jc w:val="left"/>
              <w:rPr>
                <w:rFonts w:ascii="arial" w:hAnsi="arial"/>
                <w:b/>
                <w:sz w:val="16"/>
              </w:rPr>
            </w:pPr>
            <w:r>
              <w:rPr>
                <w:rFonts w:ascii="arial" w:hAnsi="arial"/>
                <w:b/>
                <w:sz w:val="16"/>
              </w:rPr>
              <w:t>Nicola M. Soares</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STIP</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125,617</w:t>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251,234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502,468</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58" w:type="dxa"/>
            <w:gridSpan w:val="5"/>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92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558"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2/11/2025</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center"/>
              <w:rPr/>
            </w:pPr>
            <w:r>
              <w:rPr/>
              <w:t>6,864</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13,728</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27,456</w:t>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172,836</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58" w:type="dxa"/>
            <w:gridSpan w:val="5"/>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92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558"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529" w:type="dxa"/>
            <w:tcBorders>
              <w:bottom w:val="single" w:sz="6" w:space="0" w:color="7F7F7F"/>
            </w:tcBorders>
            <w:tcMar>
              <w:bottom w:w="80" w:type="dxa"/>
            </w:tcMar>
            <w:vAlign w:val="center"/>
          </w:tcPr>
          <w:p>
            <w:pPr>
              <w:pStyle w:val="TableContents"/>
              <w:bidi w:val="0"/>
              <w:spacing w:before="0" w:after="283"/>
              <w:jc w:val="center"/>
              <w:rPr/>
            </w:pPr>
            <w:r>
              <w:rPr/>
              <w:t>2/11/2025</w:t>
            </w:r>
          </w:p>
        </w:tc>
        <w:tc>
          <w:tcPr>
            <w:tcW w:w="2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4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4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4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5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4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25"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0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4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7F7F7F"/>
            </w:tcBorders>
            <w:tcMar>
              <w:bottom w:w="80" w:type="dxa"/>
            </w:tcMar>
            <w:vAlign w:val="center"/>
          </w:tcPr>
          <w:p>
            <w:pPr>
              <w:pStyle w:val="TableContents"/>
              <w:bidi w:val="0"/>
              <w:spacing w:before="0" w:after="283"/>
              <w:jc w:val="left"/>
              <w:rPr/>
            </w:pPr>
            <w:r>
              <w:rPr/>
              <w:t> </w:t>
            </w:r>
          </w:p>
        </w:tc>
        <w:tc>
          <w:tcPr>
            <w:tcW w:w="1355" w:type="dxa"/>
            <w:tcBorders>
              <w:bottom w:val="single" w:sz="6" w:space="0" w:color="7F7F7F"/>
            </w:tcBorders>
            <w:tcMar>
              <w:bottom w:w="80" w:type="dxa"/>
            </w:tcMar>
            <w:vAlign w:val="center"/>
          </w:tcPr>
          <w:p>
            <w:pPr>
              <w:pStyle w:val="TableContents"/>
              <w:bidi w:val="0"/>
              <w:spacing w:before="0" w:after="283"/>
              <w:jc w:val="center"/>
              <w:rPr/>
            </w:pPr>
            <w:r>
              <w:rPr/>
              <w:t>9,152</w:t>
            </w:r>
          </w:p>
        </w:tc>
        <w:tc>
          <w:tcPr>
            <w:tcW w:w="41"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center"/>
              <w:rPr/>
            </w:pPr>
            <w:r>
              <w:rPr/>
              <w:t>123,003</w:t>
            </w:r>
          </w:p>
        </w:tc>
        <w:tc>
          <w:tcPr>
            <w:tcW w:w="38"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58" w:type="dxa"/>
            <w:gridSpan w:val="5"/>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92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558"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0"/>
              <w:jc w:val="left"/>
              <w:rPr>
                <w:rFonts w:ascii="arial" w:hAnsi="arial"/>
                <w:b/>
                <w:i/>
                <w:sz w:val="16"/>
                <w:u w:val="single"/>
              </w:rPr>
            </w:pPr>
            <w:r>
              <w:rPr>
                <w:rFonts w:ascii="arial" w:hAnsi="arial"/>
                <w:b/>
                <w:i/>
                <w:sz w:val="16"/>
                <w:u w:val="single"/>
              </w:rPr>
              <w:t>Former Executives</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58" w:type="dxa"/>
            <w:gridSpan w:val="5"/>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929"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558"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1820" w:type="dxa"/>
            <w:vMerge w:val="restart"/>
            <w:tcBorders>
              <w:bottom w:val="single" w:sz="6" w:space="0" w:color="7F7F7F"/>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Peter W. Quigley</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STIP</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530,481</w:t>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1,060,962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2,121,923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vMerge w:val="continue"/>
            <w:tcBorders>
              <w:bottom w:val="single" w:sz="6" w:space="0" w:color="7F7F7F"/>
            </w:tcBorders>
            <w:tcMar>
              <w:bottom w:w="40"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2/11/2025</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center"/>
              <w:rPr/>
            </w:pPr>
            <w:r>
              <w:rPr/>
              <w:t>68,011</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136,022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272,044</w:t>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1,712,517</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vMerge w:val="continue"/>
            <w:tcBorders>
              <w:bottom w:val="single" w:sz="6" w:space="0" w:color="7F7F7F"/>
            </w:tcBorders>
            <w:tcMar>
              <w:bottom w:w="40" w:type="dxa"/>
            </w:tcMar>
            <w:vAlign w:val="center"/>
          </w:tcPr>
          <w:p>
            <w:pPr>
              <w:pStyle w:val="Normal"/>
              <w:bidi w:val="0"/>
              <w:jc w:val="left"/>
              <w:rPr/>
            </w:pPr>
            <w:r>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529" w:type="dxa"/>
            <w:tcBorders>
              <w:bottom w:val="single" w:sz="6" w:space="0" w:color="7F7F7F"/>
            </w:tcBorders>
            <w:tcMar>
              <w:bottom w:w="80" w:type="dxa"/>
            </w:tcMar>
            <w:vAlign w:val="center"/>
          </w:tcPr>
          <w:p>
            <w:pPr>
              <w:pStyle w:val="TableContents"/>
              <w:bidi w:val="0"/>
              <w:spacing w:before="0" w:after="283"/>
              <w:jc w:val="center"/>
              <w:rPr/>
            </w:pPr>
            <w:r>
              <w:rPr/>
              <w:t>2/11/2025</w:t>
            </w:r>
          </w:p>
        </w:tc>
        <w:tc>
          <w:tcPr>
            <w:tcW w:w="23"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4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4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4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5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4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25"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0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4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7F7F7F"/>
            </w:tcBorders>
            <w:tcMar>
              <w:bottom w:w="80" w:type="dxa"/>
            </w:tcMar>
            <w:vAlign w:val="center"/>
          </w:tcPr>
          <w:p>
            <w:pPr>
              <w:pStyle w:val="TableContents"/>
              <w:bidi w:val="0"/>
              <w:spacing w:before="0" w:after="283"/>
              <w:jc w:val="left"/>
              <w:rPr/>
            </w:pPr>
            <w:r>
              <w:rPr/>
              <w:t> </w:t>
            </w:r>
          </w:p>
        </w:tc>
        <w:tc>
          <w:tcPr>
            <w:tcW w:w="1355" w:type="dxa"/>
            <w:tcBorders>
              <w:bottom w:val="single" w:sz="6" w:space="0" w:color="7F7F7F"/>
            </w:tcBorders>
            <w:tcMar>
              <w:bottom w:w="80" w:type="dxa"/>
            </w:tcMar>
            <w:vAlign w:val="center"/>
          </w:tcPr>
          <w:p>
            <w:pPr>
              <w:pStyle w:val="TableContents"/>
              <w:bidi w:val="0"/>
              <w:spacing w:before="0" w:after="283"/>
              <w:jc w:val="center"/>
              <w:rPr/>
            </w:pPr>
            <w:r>
              <w:rPr/>
              <w:t>45,340</w:t>
            </w:r>
          </w:p>
        </w:tc>
        <w:tc>
          <w:tcPr>
            <w:tcW w:w="41"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center"/>
              <w:rPr/>
            </w:pPr>
            <w:r>
              <w:rPr/>
              <w:t>609,370</w:t>
            </w:r>
          </w:p>
        </w:tc>
        <w:tc>
          <w:tcPr>
            <w:tcW w:w="38" w:type="dxa"/>
            <w:tcBorders>
              <w:bottom w:val="single" w:sz="6" w:space="0" w:color="7F7F7F"/>
            </w:tcBorders>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305"/>
        <w:gridCol w:w="8345"/>
      </w:tblGrid>
      <w:tr>
        <w:trPr/>
        <w:tc>
          <w:tcPr>
            <w:tcW w:w="305" w:type="dxa"/>
            <w:tcBorders/>
            <w:vAlign w:val="center"/>
          </w:tcPr>
          <w:p>
            <w:pPr>
              <w:pStyle w:val="TableContents"/>
              <w:bidi w:val="0"/>
              <w:spacing w:before="0" w:after="283"/>
              <w:jc w:val="left"/>
              <w:rPr/>
            </w:pPr>
            <w:r>
              <w:rPr/>
              <w:t>(1)</w:t>
            </w:r>
          </w:p>
        </w:tc>
        <w:tc>
          <w:tcPr>
            <w:tcW w:w="8345" w:type="dxa"/>
            <w:tcBorders/>
            <w:vAlign w:val="center"/>
          </w:tcPr>
          <w:p>
            <w:pPr>
              <w:pStyle w:val="TableContents"/>
              <w:bidi w:val="0"/>
              <w:spacing w:before="0" w:after="0"/>
              <w:jc w:val="left"/>
              <w:rPr>
                <w:rFonts w:ascii="arial" w:hAnsi="arial"/>
                <w:sz w:val="14"/>
              </w:rPr>
            </w:pPr>
            <w:r>
              <w:rPr>
                <w:rFonts w:ascii="arial" w:hAnsi="arial"/>
                <w:sz w:val="14"/>
              </w:rPr>
              <w:t xml:space="preserve">The Company has not granted stock options since 2004, including 2025. Accordingly, this column has been eliminated from the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0"/>
              <w:jc w:val="left"/>
              <w:rPr>
                <w:rFonts w:ascii="arial" w:hAnsi="arial"/>
                <w:sz w:val="14"/>
              </w:rPr>
            </w:pPr>
            <w:r>
              <w:rPr>
                <w:rFonts w:ascii="arial" w:hAnsi="arial"/>
                <w:sz w:val="14"/>
              </w:rPr>
              <w:t xml:space="preserve">Long-term incentive grants to named executive officers, consisting of Restricted Stock Awards/Units and Performance Shares, were approved by the Committee at its February 11, 2025, meeting for all named executive officers and consent in lieu of a meeting for Mr. Layden and Ms. Browning.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(3)</w:t>
            </w:r>
          </w:p>
        </w:tc>
        <w:tc>
          <w:tcPr>
            <w:tcW w:w="9948" w:type="dxa"/>
            <w:tcBorders/>
            <w:vAlign w:val="center"/>
          </w:tcPr>
          <w:p>
            <w:pPr>
              <w:pStyle w:val="TableContents"/>
              <w:bidi w:val="0"/>
              <w:spacing w:before="0" w:after="0"/>
              <w:jc w:val="left"/>
              <w:rPr>
                <w:rFonts w:ascii="arial" w:hAnsi="arial"/>
                <w:sz w:val="14"/>
              </w:rPr>
            </w:pPr>
            <w:r>
              <w:rPr>
                <w:rFonts w:ascii="arial" w:hAnsi="arial"/>
                <w:sz w:val="14"/>
              </w:rPr>
              <w:t xml:space="preserve">Shown are the Threshold, Target, and Maximum payouts for which each executive was eligible under our STIP with respect to fiscal 2025 performance. Amounts earned with respect to these awards are included in the Summary Compensation Table as Non-Equity Incentive Plan compensation. Further details regarding actual 2025 STIP awards appear in the Compensation Discussion &amp; Analysis.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(4)</w:t>
            </w:r>
          </w:p>
        </w:tc>
        <w:tc>
          <w:tcPr>
            <w:tcW w:w="9950" w:type="dxa"/>
            <w:tcBorders/>
            <w:vAlign w:val="center"/>
          </w:tcPr>
          <w:p>
            <w:pPr>
              <w:pStyle w:val="TableContents"/>
              <w:bidi w:val="0"/>
              <w:spacing w:before="0" w:after="0"/>
              <w:jc w:val="left"/>
              <w:rPr>
                <w:rFonts w:ascii="arial" w:hAnsi="arial"/>
                <w:sz w:val="14"/>
              </w:rPr>
            </w:pPr>
            <w:r>
              <w:rPr>
                <w:rFonts w:ascii="arial" w:hAnsi="arial"/>
                <w:sz w:val="14"/>
              </w:rPr>
              <w:t xml:space="preserve">Performance Shares granted in 2025 are earned based upon achievement of two financial measures. These two measures are equally weighted. Achievement of a threshold level of performance on either measure results in 50% of the target shares for that measure being earned. Achievement of the target level of performance on either measure results in 100% of the target shares for that measure being earned. Achievement of the maximum level </w:t>
            </w:r>
          </w:p>
        </w:tc>
      </w:tr>
    </w:tbl>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64 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212"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85" descr=""/>
                          <pic:cNvPicPr>
                            <a:picLocks noChangeAspect="1" noChangeArrowheads="1"/>
                          </pic:cNvPicPr>
                        </pic:nvPicPr>
                        <pic:blipFill>
                          <a:blip r:embed="rId197"/>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2025 Executive Compensation Tables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performance on either measure results in 200% of the target shares for that measure being earned by the named executive officer. Achievement between these levels for each measure is interpolated on a straight-line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(5)</w:t>
            </w:r>
          </w:p>
        </w:tc>
        <w:tc>
          <w:tcPr>
            <w:tcW w:w="9953" w:type="dxa"/>
            <w:tcBorders/>
            <w:vAlign w:val="center"/>
          </w:tcPr>
          <w:p>
            <w:pPr>
              <w:pStyle w:val="TableContents"/>
              <w:bidi w:val="0"/>
              <w:spacing w:before="0" w:after="0"/>
              <w:jc w:val="left"/>
              <w:rPr>
                <w:rFonts w:ascii="arial" w:hAnsi="arial"/>
                <w:sz w:val="14"/>
              </w:rPr>
            </w:pPr>
            <w:r>
              <w:rPr>
                <w:rFonts w:ascii="arial" w:hAnsi="arial"/>
                <w:sz w:val="14"/>
              </w:rPr>
              <w:t xml:space="preserve">Restricted Stock Awards/Units granted on February 11, 2025 vest ratably on each of the first three anniversaries of the date of grant (33.3% per year). Restricted Stock Awards granted to Ms. Browning on August 15, 2025 will vest ratably on each of the first two anniversaries of the dates of grant (50% per year). Restricted Stock Award granted to Mr. Layden on September 15, 2025 will vest on the anniversary date of the grant over three years as follows: 15% in 2026, 35% in 2027, and 50% in 2028.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(6)</w:t>
            </w:r>
          </w:p>
        </w:tc>
        <w:tc>
          <w:tcPr>
            <w:tcW w:w="9961" w:type="dxa"/>
            <w:tcBorders/>
            <w:vAlign w:val="center"/>
          </w:tcPr>
          <w:p>
            <w:pPr>
              <w:pStyle w:val="TableContents"/>
              <w:bidi w:val="0"/>
              <w:spacing w:before="0" w:after="0"/>
              <w:jc w:val="left"/>
              <w:rPr>
                <w:rFonts w:ascii="arial" w:hAnsi="arial"/>
                <w:sz w:val="14"/>
              </w:rPr>
            </w:pPr>
            <w:r>
              <w:rPr>
                <w:rFonts w:ascii="arial" w:hAnsi="arial"/>
                <w:sz w:val="14"/>
              </w:rPr>
              <w:t xml:space="preserve">The grant date fair values reported for 2025 are determined by multiplying the number of shares granted by the Market Value (“MV”) on the grant date. MV for Restricted Stock is determined by the closing price on the date of grant. MV for Performance Shares is determined by the closing stock price on the date of grant, discounted because these shares are not eligible for dividends. The MV for the Restricted Stock granted to all named officers on February 11, 2025 is $13.44. The MV for Performance Shares granted to all named officers on February 11, 2025, is $12.59. The MV for the Restricted Stock granted to Ms. Browning on August 15, 2025, is $14.03. The MV for the Restricted Stock granted to Mr. Layden on September 15, 2025, is $13.78. </w:t>
            </w:r>
          </w:p>
        </w:tc>
      </w:tr>
    </w:tbl>
    <w:p>
      <w:pPr>
        <w:pStyle w:val="TextBody"/>
        <w:bidi w:val="0"/>
        <w:spacing w:before="360" w:after="0"/>
        <w:jc w:val="left"/>
        <w:rPr>
          <w:rFonts w:ascii="arial" w:hAnsi="arial"/>
          <w:b/>
          <w:sz w:val="24"/>
        </w:rPr>
      </w:pPr>
      <w:bookmarkStart w:id="92" w:name="toc37355_72"/>
      <w:bookmarkEnd w:id="92"/>
      <w:r>
        <w:rPr>
          <w:rFonts w:ascii="arial" w:hAnsi="arial"/>
          <w:b/>
          <w:sz w:val="24"/>
        </w:rPr>
        <w:t xml:space="preserve">Outstanding Equity Awards at Fiscal Year End 2025(1) </w:t>
      </w:r>
    </w:p>
    <w:p>
      <w:pPr>
        <w:pStyle w:val="TextBody"/>
        <w:bidi w:val="0"/>
        <w:spacing w:before="0" w:after="0"/>
        <w:jc w:val="left"/>
        <w:rPr/>
      </w:pPr>
      <w:r>
        <w:rPr/>
        <w:t> </w:t>
      </w:r>
    </w:p>
    <w:tbl>
      <w:tblPr>
        <w:tblW w:w="9263" w:type="dxa"/>
        <w:jc w:val="left"/>
        <w:tblInd w:w="0" w:type="dxa"/>
        <w:tblLayout w:type="fixed"/>
        <w:tblCellMar>
          <w:top w:w="0" w:type="dxa"/>
          <w:left w:w="0" w:type="dxa"/>
          <w:bottom w:w="0" w:type="dxa"/>
          <w:right w:w="0" w:type="dxa"/>
        </w:tblCellMar>
      </w:tblPr>
      <w:tblGrid>
        <w:gridCol w:w="1820"/>
        <w:gridCol w:w="23"/>
        <w:gridCol w:w="24"/>
        <w:gridCol w:w="62"/>
        <w:gridCol w:w="523"/>
        <w:gridCol w:w="26"/>
        <w:gridCol w:w="23"/>
        <w:gridCol w:w="31"/>
        <w:gridCol w:w="81"/>
        <w:gridCol w:w="1090"/>
        <w:gridCol w:w="33"/>
        <w:gridCol w:w="23"/>
        <w:gridCol w:w="26"/>
        <w:gridCol w:w="68"/>
        <w:gridCol w:w="1114"/>
        <w:gridCol w:w="27"/>
        <w:gridCol w:w="23"/>
        <w:gridCol w:w="61"/>
        <w:gridCol w:w="159"/>
        <w:gridCol w:w="1808"/>
        <w:gridCol w:w="62"/>
        <w:gridCol w:w="23"/>
        <w:gridCol w:w="52"/>
        <w:gridCol w:w="138"/>
        <w:gridCol w:w="1854"/>
        <w:gridCol w:w="89"/>
      </w:tblGrid>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pPr>
            <w:r>
              <w:rPr/>
              <w:t>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2" w:type="dxa"/>
            <w:gridSpan w:val="19"/>
            <w:tcBorders>
              <w:bottom w:val="single" w:sz="8" w:space="0" w:color="000000"/>
            </w:tcBorders>
            <w:tcMar>
              <w:bottom w:w="80" w:type="dxa"/>
            </w:tcMar>
            <w:vAlign w:val="center"/>
          </w:tcPr>
          <w:p>
            <w:pPr>
              <w:pStyle w:val="TableContents"/>
              <w:bidi w:val="0"/>
              <w:spacing w:before="0" w:after="283"/>
              <w:jc w:val="center"/>
              <w:rPr>
                <w:b/>
                <w:color w:val="00AE4F"/>
              </w:rPr>
            </w:pPr>
            <w:r>
              <w:rPr>
                <w:b/>
                <w:color w:val="00AE4F"/>
              </w:rPr>
              <w:t>Stock Awards</w:t>
            </w:r>
          </w:p>
        </w:tc>
      </w:tr>
      <w:tr>
        <w:trPr/>
        <w:tc>
          <w:tcPr>
            <w:tcW w:w="1820" w:type="dxa"/>
            <w:tcBorders>
              <w:bottom w:val="single" w:sz="8" w:space="0" w:color="000000"/>
            </w:tcBorders>
            <w:tcMar>
              <w:bottom w:w="40" w:type="dxa"/>
            </w:tcMar>
            <w:vAlign w:val="center"/>
          </w:tcPr>
          <w:p>
            <w:pPr>
              <w:pStyle w:val="TableContents"/>
              <w:bidi w:val="0"/>
              <w:spacing w:before="0" w:after="0"/>
              <w:jc w:val="left"/>
              <w:rPr>
                <w:rFonts w:ascii="arial" w:hAnsi="arial"/>
                <w:b/>
                <w:color w:val="00AE4F"/>
                <w:sz w:val="16"/>
              </w:rPr>
            </w:pPr>
            <w:r>
              <w:rPr>
                <w:rFonts w:ascii="arial" w:hAnsi="arial"/>
                <w:b/>
                <w:color w:val="00AE4F"/>
                <w:sz w:val="16"/>
              </w:rPr>
              <w:t>Name</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5"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Grant</w:t>
              <w:br/>
              <w:t>Year</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5" w:type="dxa"/>
            <w:gridSpan w:val="4"/>
            <w:tcBorders>
              <w:bottom w:val="single" w:sz="8" w:space="0" w:color="000000"/>
            </w:tcBorders>
            <w:tcMar>
              <w:bottom w:w="40" w:type="dxa"/>
            </w:tcMar>
            <w:vAlign w:val="center"/>
          </w:tcPr>
          <w:p>
            <w:pPr>
              <w:pStyle w:val="TableContents"/>
              <w:bidi w:val="0"/>
              <w:spacing w:before="0" w:after="0"/>
              <w:jc w:val="center"/>
              <w:rPr>
                <w:rFonts w:ascii="arial" w:hAnsi="arial"/>
                <w:b/>
                <w:color w:val="00AE4F"/>
                <w:sz w:val="16"/>
              </w:rPr>
            </w:pPr>
            <w:r>
              <w:rPr>
                <w:rFonts w:ascii="arial" w:hAnsi="arial"/>
                <w:b/>
                <w:color w:val="00AE4F"/>
                <w:sz w:val="16"/>
              </w:rPr>
              <w:t>Number of</w:t>
              <w:br/>
              <w:t>Shares or Units</w:t>
              <w:br/>
              <w:t>of Stock That</w:t>
              <w:br/>
              <w:t>Have Not</w:t>
              <w:br/>
              <w:t>Vested(2)(3)</w:t>
            </w:r>
          </w:p>
          <w:p>
            <w:pPr>
              <w:pStyle w:val="TableContents"/>
              <w:bidi w:val="0"/>
              <w:spacing w:before="0" w:after="20"/>
              <w:jc w:val="center"/>
              <w:rPr>
                <w:rFonts w:ascii="arial" w:hAnsi="arial"/>
                <w:b/>
                <w:color w:val="00AE4F"/>
                <w:sz w:val="16"/>
              </w:rPr>
            </w:pPr>
            <w:r>
              <w:rPr>
                <w:rFonts w:ascii="arial" w:hAnsi="arial"/>
                <w:b/>
                <w:color w:val="00AE4F"/>
                <w:sz w:val="16"/>
              </w:rPr>
              <w:t>(#)</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5" w:type="dxa"/>
            <w:gridSpan w:val="4"/>
            <w:tcBorders>
              <w:bottom w:val="single" w:sz="8" w:space="0" w:color="000000"/>
            </w:tcBorders>
            <w:tcMar>
              <w:bottom w:w="40" w:type="dxa"/>
            </w:tcMar>
            <w:vAlign w:val="center"/>
          </w:tcPr>
          <w:p>
            <w:pPr>
              <w:pStyle w:val="TableContents"/>
              <w:bidi w:val="0"/>
              <w:spacing w:before="0" w:after="0"/>
              <w:jc w:val="center"/>
              <w:rPr>
                <w:rFonts w:ascii="arial" w:hAnsi="arial"/>
                <w:b/>
                <w:color w:val="00AE4F"/>
                <w:sz w:val="16"/>
              </w:rPr>
            </w:pPr>
            <w:r>
              <w:rPr>
                <w:rFonts w:ascii="arial" w:hAnsi="arial"/>
                <w:b/>
                <w:color w:val="00AE4F"/>
                <w:sz w:val="16"/>
              </w:rPr>
              <w:t>Market Value of</w:t>
              <w:br/>
              <w:t>Shares or Units</w:t>
              <w:br/>
              <w:t>of Stock That</w:t>
              <w:br/>
              <w:t>Have Not</w:t>
              <w:br/>
              <w:t>Vested(4)</w:t>
            </w:r>
          </w:p>
          <w:p>
            <w:pPr>
              <w:pStyle w:val="TableContents"/>
              <w:bidi w:val="0"/>
              <w:spacing w:before="0" w:after="20"/>
              <w:jc w:val="center"/>
              <w:rPr>
                <w:rFonts w:ascii="arial" w:hAnsi="arial"/>
                <w:b/>
                <w:color w:val="00AE4F"/>
                <w:sz w:val="16"/>
              </w:rPr>
            </w:pPr>
            <w:r>
              <w:rPr>
                <w:rFonts w:ascii="arial" w:hAnsi="arial"/>
                <w:b/>
                <w:color w:val="00AE4F"/>
                <w:sz w:val="16"/>
              </w:rPr>
              <w:t>($)</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090" w:type="dxa"/>
            <w:gridSpan w:val="4"/>
            <w:tcBorders>
              <w:bottom w:val="single" w:sz="8" w:space="0" w:color="000000"/>
            </w:tcBorders>
            <w:tcMar>
              <w:bottom w:w="40" w:type="dxa"/>
            </w:tcMar>
            <w:vAlign w:val="center"/>
          </w:tcPr>
          <w:p>
            <w:pPr>
              <w:pStyle w:val="TableContents"/>
              <w:bidi w:val="0"/>
              <w:spacing w:before="0" w:after="0"/>
              <w:jc w:val="center"/>
              <w:rPr>
                <w:rFonts w:ascii="arial" w:hAnsi="arial"/>
                <w:b/>
                <w:color w:val="00AE4F"/>
                <w:sz w:val="16"/>
              </w:rPr>
            </w:pPr>
            <w:r>
              <w:rPr>
                <w:rFonts w:ascii="arial" w:hAnsi="arial"/>
                <w:b/>
                <w:color w:val="00AE4F"/>
                <w:sz w:val="16"/>
              </w:rPr>
              <w:t>Equity Incentive Plan</w:t>
              <w:br/>
              <w:t>Awards: Number of</w:t>
              <w:br/>
              <w:t>Unearned Shares, Units or</w:t>
              <w:br/>
              <w:t>Other Rights That Have</w:t>
              <w:br/>
              <w:t>Not Vested(5)</w:t>
            </w:r>
          </w:p>
          <w:p>
            <w:pPr>
              <w:pStyle w:val="TableContents"/>
              <w:bidi w:val="0"/>
              <w:spacing w:before="0" w:after="20"/>
              <w:jc w:val="center"/>
              <w:rPr>
                <w:rFonts w:ascii="arial" w:hAnsi="arial"/>
                <w:b/>
                <w:color w:val="00AE4F"/>
                <w:sz w:val="16"/>
              </w:rPr>
            </w:pPr>
            <w:r>
              <w:rPr>
                <w:rFonts w:ascii="arial" w:hAnsi="arial"/>
                <w:b/>
                <w:color w:val="00AE4F"/>
                <w:sz w:val="16"/>
              </w:rPr>
              <w:t>(#)</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33" w:type="dxa"/>
            <w:gridSpan w:val="4"/>
            <w:tcBorders>
              <w:bottom w:val="single" w:sz="8" w:space="0" w:color="000000"/>
            </w:tcBorders>
            <w:tcMar>
              <w:bottom w:w="40" w:type="dxa"/>
            </w:tcMar>
            <w:vAlign w:val="center"/>
          </w:tcPr>
          <w:p>
            <w:pPr>
              <w:pStyle w:val="TableContents"/>
              <w:bidi w:val="0"/>
              <w:spacing w:before="0" w:after="0"/>
              <w:jc w:val="center"/>
              <w:rPr>
                <w:rFonts w:ascii="arial" w:hAnsi="arial"/>
                <w:b/>
                <w:color w:val="00AE4F"/>
                <w:sz w:val="16"/>
              </w:rPr>
            </w:pPr>
            <w:r>
              <w:rPr>
                <w:rFonts w:ascii="arial" w:hAnsi="arial"/>
                <w:b/>
                <w:color w:val="00AE4F"/>
                <w:sz w:val="16"/>
              </w:rPr>
              <w:t>Equity Incentive Plan</w:t>
              <w:br/>
              <w:t>Awards: Market or Payout</w:t>
              <w:br/>
              <w:t>Value of Unearned Shares,</w:t>
              <w:br/>
              <w:t>Units or Other Rights That</w:t>
              <w:br/>
              <w:t>Have Not Vested(4)</w:t>
            </w:r>
          </w:p>
          <w:p>
            <w:pPr>
              <w:pStyle w:val="TableContents"/>
              <w:bidi w:val="0"/>
              <w:spacing w:before="0" w:after="20"/>
              <w:jc w:val="center"/>
              <w:rPr>
                <w:rFonts w:ascii="arial" w:hAnsi="arial"/>
                <w:b/>
                <w:color w:val="00AE4F"/>
                <w:sz w:val="16"/>
              </w:rPr>
            </w:pPr>
            <w:r>
              <w:rPr>
                <w:rFonts w:ascii="arial" w:hAnsi="arial"/>
                <w:b/>
                <w:color w:val="00AE4F"/>
                <w:sz w:val="16"/>
              </w:rPr>
              <w:t>($)</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58"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c>
          <w:tcPr>
            <w:tcW w:w="2113" w:type="dxa"/>
            <w:gridSpan w:val="5"/>
            <w:tcBorders/>
            <w:vAlign w:val="center"/>
          </w:tcPr>
          <w:p>
            <w:pPr>
              <w:pStyle w:val="TableContents"/>
              <w:bidi w:val="0"/>
              <w:spacing w:before="0" w:after="283"/>
              <w:jc w:val="left"/>
              <w:rPr>
                <w:sz w:val="4"/>
                <w:szCs w:val="4"/>
              </w:rPr>
            </w:pPr>
            <w:r>
              <w:rPr>
                <w:sz w:val="4"/>
                <w:szCs w:val="4"/>
              </w:rPr>
            </w:r>
          </w:p>
        </w:tc>
        <w:tc>
          <w:tcPr>
            <w:tcW w:w="2156"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0"/>
              <w:jc w:val="left"/>
              <w:rPr>
                <w:rFonts w:ascii="arial" w:hAnsi="arial"/>
                <w:b/>
                <w:sz w:val="16"/>
              </w:rPr>
            </w:pPr>
            <w:r>
              <w:rPr>
                <w:rFonts w:ascii="arial" w:hAnsi="arial"/>
                <w:b/>
                <w:sz w:val="16"/>
              </w:rPr>
              <w:t>Christopher D. Layden</w:t>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2025</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290,276</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2,499,276</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2024</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2023</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2022</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7F7F7F"/>
            </w:tcBorders>
            <w:tcMar>
              <w:bottom w:w="60" w:type="dxa"/>
            </w:tcMar>
            <w:vAlign w:val="center"/>
          </w:tcPr>
          <w:p>
            <w:pPr>
              <w:pStyle w:val="TableContents"/>
              <w:bidi w:val="0"/>
              <w:spacing w:before="0" w:after="283"/>
              <w:jc w:val="left"/>
              <w:rPr/>
            </w:pPr>
            <w:r>
              <w:rPr/>
              <w:t> </w:t>
            </w:r>
          </w:p>
        </w:tc>
        <w:tc>
          <w:tcPr>
            <w:tcW w:w="523" w:type="dxa"/>
            <w:tcBorders>
              <w:bottom w:val="single" w:sz="6" w:space="0" w:color="7F7F7F"/>
            </w:tcBorders>
            <w:tcMar>
              <w:bottom w:w="60" w:type="dxa"/>
            </w:tcMar>
            <w:vAlign w:val="center"/>
          </w:tcPr>
          <w:p>
            <w:pPr>
              <w:pStyle w:val="TableContents"/>
              <w:bidi w:val="0"/>
              <w:spacing w:before="0" w:after="283"/>
              <w:jc w:val="center"/>
              <w:rPr/>
            </w:pPr>
            <w:r>
              <w:rPr/>
              <w:t>2021</w:t>
            </w:r>
          </w:p>
        </w:tc>
        <w:tc>
          <w:tcPr>
            <w:tcW w:w="26" w:type="dxa"/>
            <w:tcBorders>
              <w:bottom w:val="single" w:sz="6" w:space="0" w:color="7F7F7F"/>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60" w:type="dxa"/>
            </w:tcMar>
            <w:vAlign w:val="center"/>
          </w:tcPr>
          <w:p>
            <w:pPr>
              <w:pStyle w:val="TableContents"/>
              <w:bidi w:val="0"/>
              <w:spacing w:before="0" w:after="283"/>
              <w:jc w:val="left"/>
              <w:rPr/>
            </w:pPr>
            <w:r>
              <w:rPr/>
              <w:t> </w:t>
            </w:r>
          </w:p>
        </w:tc>
        <w:tc>
          <w:tcPr>
            <w:tcW w:w="1090" w:type="dxa"/>
            <w:tcBorders>
              <w:bottom w:val="single" w:sz="6" w:space="0" w:color="7F7F7F"/>
            </w:tcBorders>
            <w:tcMar>
              <w:bottom w:w="60" w:type="dxa"/>
            </w:tcMar>
            <w:vAlign w:val="center"/>
          </w:tcPr>
          <w:p>
            <w:pPr>
              <w:pStyle w:val="TableContents"/>
              <w:bidi w:val="0"/>
              <w:spacing w:before="0" w:after="283"/>
              <w:jc w:val="center"/>
              <w:rPr/>
            </w:pPr>
            <w:r>
              <w:rPr/>
              <w:t>—</w:t>
            </w:r>
          </w:p>
        </w:tc>
        <w:tc>
          <w:tcPr>
            <w:tcW w:w="33" w:type="dxa"/>
            <w:tcBorders>
              <w:bottom w:val="single" w:sz="6" w:space="0" w:color="7F7F7F"/>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7F7F7F"/>
            </w:tcBorders>
            <w:tcMar>
              <w:bottom w:w="60" w:type="dxa"/>
            </w:tcMar>
            <w:vAlign w:val="center"/>
          </w:tcPr>
          <w:p>
            <w:pPr>
              <w:pStyle w:val="TableContents"/>
              <w:bidi w:val="0"/>
              <w:spacing w:before="0" w:after="283"/>
              <w:jc w:val="left"/>
              <w:rPr/>
            </w:pPr>
            <w:r>
              <w:rPr/>
              <w:t> </w:t>
            </w:r>
          </w:p>
        </w:tc>
        <w:tc>
          <w:tcPr>
            <w:tcW w:w="1114" w:type="dxa"/>
            <w:tcBorders>
              <w:bottom w:val="single" w:sz="6" w:space="0" w:color="7F7F7F"/>
            </w:tcBorders>
            <w:tcMar>
              <w:bottom w:w="60" w:type="dxa"/>
            </w:tcMar>
            <w:vAlign w:val="center"/>
          </w:tcPr>
          <w:p>
            <w:pPr>
              <w:pStyle w:val="TableContents"/>
              <w:bidi w:val="0"/>
              <w:spacing w:before="0" w:after="283"/>
              <w:jc w:val="center"/>
              <w:rPr/>
            </w:pPr>
            <w:r>
              <w:rPr/>
              <w:t>—</w:t>
            </w:r>
          </w:p>
        </w:tc>
        <w:tc>
          <w:tcPr>
            <w:tcW w:w="27" w:type="dxa"/>
            <w:tcBorders>
              <w:bottom w:val="single" w:sz="6" w:space="0" w:color="7F7F7F"/>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59" w:type="dxa"/>
            <w:tcBorders>
              <w:bottom w:val="single" w:sz="6" w:space="0" w:color="7F7F7F"/>
            </w:tcBorders>
            <w:tcMar>
              <w:bottom w:w="60" w:type="dxa"/>
            </w:tcMar>
            <w:vAlign w:val="center"/>
          </w:tcPr>
          <w:p>
            <w:pPr>
              <w:pStyle w:val="TableContents"/>
              <w:bidi w:val="0"/>
              <w:spacing w:before="0" w:after="283"/>
              <w:jc w:val="left"/>
              <w:rPr/>
            </w:pPr>
            <w:r>
              <w:rPr/>
              <w:t> </w:t>
            </w:r>
          </w:p>
        </w:tc>
        <w:tc>
          <w:tcPr>
            <w:tcW w:w="1808" w:type="dxa"/>
            <w:tcBorders>
              <w:bottom w:val="single" w:sz="6" w:space="0" w:color="7F7F7F"/>
            </w:tcBorders>
            <w:tcMar>
              <w:bottom w:w="60" w:type="dxa"/>
            </w:tcMar>
            <w:vAlign w:val="center"/>
          </w:tcPr>
          <w:p>
            <w:pPr>
              <w:pStyle w:val="TableContents"/>
              <w:bidi w:val="0"/>
              <w:spacing w:before="0" w:after="283"/>
              <w:jc w:val="center"/>
              <w:rPr/>
            </w:pPr>
            <w:r>
              <w:rPr/>
              <w:t>—</w:t>
            </w:r>
          </w:p>
        </w:tc>
        <w:tc>
          <w:tcPr>
            <w:tcW w:w="62" w:type="dxa"/>
            <w:tcBorders>
              <w:bottom w:val="single" w:sz="6" w:space="0" w:color="7F7F7F"/>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8" w:type="dxa"/>
            <w:tcBorders>
              <w:bottom w:val="single" w:sz="6" w:space="0" w:color="7F7F7F"/>
            </w:tcBorders>
            <w:tcMar>
              <w:bottom w:w="60" w:type="dxa"/>
            </w:tcMar>
            <w:vAlign w:val="center"/>
          </w:tcPr>
          <w:p>
            <w:pPr>
              <w:pStyle w:val="TableContents"/>
              <w:bidi w:val="0"/>
              <w:spacing w:before="0" w:after="283"/>
              <w:jc w:val="left"/>
              <w:rPr/>
            </w:pPr>
            <w:r>
              <w:rPr/>
              <w:t> </w:t>
            </w:r>
          </w:p>
        </w:tc>
        <w:tc>
          <w:tcPr>
            <w:tcW w:w="1854" w:type="dxa"/>
            <w:tcBorders>
              <w:bottom w:val="single" w:sz="6" w:space="0" w:color="7F7F7F"/>
            </w:tcBorders>
            <w:tcMar>
              <w:bottom w:w="60" w:type="dxa"/>
            </w:tcMar>
            <w:vAlign w:val="center"/>
          </w:tcPr>
          <w:p>
            <w:pPr>
              <w:pStyle w:val="TableContents"/>
              <w:bidi w:val="0"/>
              <w:spacing w:before="0" w:after="283"/>
              <w:jc w:val="center"/>
              <w:rPr/>
            </w:pPr>
            <w:r>
              <w:rPr/>
              <w:t>—</w:t>
            </w:r>
          </w:p>
        </w:tc>
        <w:tc>
          <w:tcPr>
            <w:tcW w:w="89" w:type="dxa"/>
            <w:tcBorders>
              <w:bottom w:val="single" w:sz="6" w:space="0" w:color="7F7F7F"/>
            </w:tcBorders>
            <w:tcMar>
              <w:bottom w:w="60"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0"/>
              <w:jc w:val="left"/>
              <w:rPr>
                <w:rFonts w:ascii="arial" w:hAnsi="arial"/>
                <w:b/>
                <w:sz w:val="16"/>
              </w:rPr>
            </w:pPr>
            <w:r>
              <w:rPr>
                <w:rFonts w:ascii="arial" w:hAnsi="arial"/>
                <w:b/>
                <w:sz w:val="16"/>
              </w:rPr>
              <w:t>Troy R. Anderson</w:t>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2025</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36,799</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316,839</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29,020</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249,862</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58"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c>
          <w:tcPr>
            <w:tcW w:w="2113" w:type="dxa"/>
            <w:gridSpan w:val="5"/>
            <w:tcBorders/>
            <w:vAlign w:val="center"/>
          </w:tcPr>
          <w:p>
            <w:pPr>
              <w:pStyle w:val="TableContents"/>
              <w:bidi w:val="0"/>
              <w:spacing w:before="0" w:after="283"/>
              <w:jc w:val="left"/>
              <w:rPr>
                <w:sz w:val="4"/>
                <w:szCs w:val="4"/>
              </w:rPr>
            </w:pPr>
            <w:r>
              <w:rPr>
                <w:sz w:val="4"/>
                <w:szCs w:val="4"/>
              </w:rPr>
            </w:r>
          </w:p>
        </w:tc>
        <w:tc>
          <w:tcPr>
            <w:tcW w:w="2156"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2024</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86,122</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741,510</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2023</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2022</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2021</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top w:val="single" w:sz="6" w:space="0" w:color="7F7F7F"/>
            </w:tcBorders>
            <w:tcMar>
              <w:top w:w="28" w:type="dxa"/>
            </w:tcMar>
            <w:vAlign w:val="center"/>
          </w:tcPr>
          <w:p>
            <w:pPr>
              <w:pStyle w:val="TableContents"/>
              <w:bidi w:val="0"/>
              <w:spacing w:before="0" w:after="0"/>
              <w:jc w:val="left"/>
              <w:rPr>
                <w:rFonts w:ascii="arial" w:hAnsi="arial"/>
                <w:b/>
                <w:sz w:val="16"/>
              </w:rPr>
            </w:pPr>
            <w:r>
              <w:rPr>
                <w:rFonts w:ascii="arial" w:hAnsi="arial"/>
                <w:b/>
                <w:sz w:val="16"/>
              </w:rPr>
              <w:t>Tammy L. Browning</w:t>
            </w:r>
          </w:p>
        </w:tc>
        <w:tc>
          <w:tcPr>
            <w:tcW w:w="2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4"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62" w:type="dxa"/>
            <w:tcBorders>
              <w:top w:val="single" w:sz="6" w:space="0" w:color="7F7F7F"/>
            </w:tcBorders>
            <w:tcMar>
              <w:top w:w="28" w:type="dxa"/>
            </w:tcMar>
            <w:vAlign w:val="center"/>
          </w:tcPr>
          <w:p>
            <w:pPr>
              <w:pStyle w:val="TableContents"/>
              <w:bidi w:val="0"/>
              <w:spacing w:before="0" w:after="283"/>
              <w:jc w:val="left"/>
              <w:rPr/>
            </w:pPr>
            <w:r>
              <w:rPr/>
              <w:t> </w:t>
            </w:r>
          </w:p>
        </w:tc>
        <w:tc>
          <w:tcPr>
            <w:tcW w:w="523" w:type="dxa"/>
            <w:tcBorders>
              <w:top w:val="single" w:sz="6" w:space="0" w:color="7F7F7F"/>
            </w:tcBorders>
            <w:tcMar>
              <w:top w:w="28" w:type="dxa"/>
            </w:tcMar>
            <w:vAlign w:val="center"/>
          </w:tcPr>
          <w:p>
            <w:pPr>
              <w:pStyle w:val="TableContents"/>
              <w:bidi w:val="0"/>
              <w:spacing w:before="0" w:after="283"/>
              <w:jc w:val="center"/>
              <w:rPr/>
            </w:pPr>
            <w:r>
              <w:rPr/>
              <w:t>2025</w:t>
            </w:r>
          </w:p>
        </w:tc>
        <w:tc>
          <w:tcPr>
            <w:tcW w:w="26"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31"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81" w:type="dxa"/>
            <w:tcBorders>
              <w:top w:val="single" w:sz="6" w:space="0" w:color="7F7F7F"/>
            </w:tcBorders>
            <w:tcMar>
              <w:top w:w="28" w:type="dxa"/>
            </w:tcMar>
            <w:vAlign w:val="center"/>
          </w:tcPr>
          <w:p>
            <w:pPr>
              <w:pStyle w:val="TableContents"/>
              <w:bidi w:val="0"/>
              <w:spacing w:before="0" w:after="283"/>
              <w:jc w:val="left"/>
              <w:rPr/>
            </w:pPr>
            <w:r>
              <w:rPr/>
              <w:t> </w:t>
            </w:r>
          </w:p>
        </w:tc>
        <w:tc>
          <w:tcPr>
            <w:tcW w:w="1090" w:type="dxa"/>
            <w:tcBorders>
              <w:top w:val="single" w:sz="6" w:space="0" w:color="7F7F7F"/>
            </w:tcBorders>
            <w:tcMar>
              <w:top w:w="28" w:type="dxa"/>
            </w:tcMar>
            <w:vAlign w:val="center"/>
          </w:tcPr>
          <w:p>
            <w:pPr>
              <w:pStyle w:val="TableContents"/>
              <w:bidi w:val="0"/>
              <w:spacing w:before="0" w:after="283"/>
              <w:jc w:val="center"/>
              <w:rPr/>
            </w:pPr>
            <w:r>
              <w:rPr/>
              <w:t>47,555</w:t>
            </w:r>
          </w:p>
        </w:tc>
        <w:tc>
          <w:tcPr>
            <w:tcW w:w="3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6"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68" w:type="dxa"/>
            <w:tcBorders>
              <w:top w:val="single" w:sz="6" w:space="0" w:color="7F7F7F"/>
            </w:tcBorders>
            <w:tcMar>
              <w:top w:w="28" w:type="dxa"/>
            </w:tcMar>
            <w:vAlign w:val="center"/>
          </w:tcPr>
          <w:p>
            <w:pPr>
              <w:pStyle w:val="TableContents"/>
              <w:bidi w:val="0"/>
              <w:spacing w:before="0" w:after="283"/>
              <w:jc w:val="left"/>
              <w:rPr/>
            </w:pPr>
            <w:r>
              <w:rPr/>
              <w:t> </w:t>
            </w:r>
          </w:p>
        </w:tc>
        <w:tc>
          <w:tcPr>
            <w:tcW w:w="1114" w:type="dxa"/>
            <w:tcBorders>
              <w:top w:val="single" w:sz="6" w:space="0" w:color="7F7F7F"/>
            </w:tcBorders>
            <w:tcMar>
              <w:top w:w="28" w:type="dxa"/>
            </w:tcMar>
            <w:vAlign w:val="center"/>
          </w:tcPr>
          <w:p>
            <w:pPr>
              <w:pStyle w:val="TableContents"/>
              <w:bidi w:val="0"/>
              <w:spacing w:before="0" w:after="283"/>
              <w:jc w:val="center"/>
              <w:rPr/>
            </w:pPr>
            <w:r>
              <w:rPr/>
              <w:t>409,449</w:t>
            </w:r>
          </w:p>
        </w:tc>
        <w:tc>
          <w:tcPr>
            <w:tcW w:w="27"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61"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159" w:type="dxa"/>
            <w:tcBorders>
              <w:top w:val="single" w:sz="6" w:space="0" w:color="7F7F7F"/>
            </w:tcBorders>
            <w:tcMar>
              <w:top w:w="28" w:type="dxa"/>
            </w:tcMar>
            <w:vAlign w:val="center"/>
          </w:tcPr>
          <w:p>
            <w:pPr>
              <w:pStyle w:val="TableContents"/>
              <w:bidi w:val="0"/>
              <w:spacing w:before="0" w:after="283"/>
              <w:jc w:val="left"/>
              <w:rPr/>
            </w:pPr>
            <w:r>
              <w:rPr/>
              <w:t> </w:t>
            </w:r>
          </w:p>
        </w:tc>
        <w:tc>
          <w:tcPr>
            <w:tcW w:w="1808" w:type="dxa"/>
            <w:tcBorders>
              <w:top w:val="single" w:sz="6" w:space="0" w:color="7F7F7F"/>
            </w:tcBorders>
            <w:tcMar>
              <w:top w:w="28" w:type="dxa"/>
            </w:tcMar>
            <w:vAlign w:val="center"/>
          </w:tcPr>
          <w:p>
            <w:pPr>
              <w:pStyle w:val="TableContents"/>
              <w:bidi w:val="0"/>
              <w:spacing w:before="0" w:after="283"/>
              <w:jc w:val="center"/>
              <w:rPr/>
            </w:pPr>
            <w:r>
              <w:rPr/>
              <w:t>9,398</w:t>
            </w:r>
          </w:p>
        </w:tc>
        <w:tc>
          <w:tcPr>
            <w:tcW w:w="62"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52"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138" w:type="dxa"/>
            <w:tcBorders>
              <w:top w:val="single" w:sz="6" w:space="0" w:color="7F7F7F"/>
            </w:tcBorders>
            <w:tcMar>
              <w:top w:w="28" w:type="dxa"/>
            </w:tcMar>
            <w:vAlign w:val="center"/>
          </w:tcPr>
          <w:p>
            <w:pPr>
              <w:pStyle w:val="TableContents"/>
              <w:bidi w:val="0"/>
              <w:spacing w:before="0" w:after="283"/>
              <w:jc w:val="left"/>
              <w:rPr/>
            </w:pPr>
            <w:r>
              <w:rPr/>
              <w:t> </w:t>
            </w:r>
          </w:p>
        </w:tc>
        <w:tc>
          <w:tcPr>
            <w:tcW w:w="1854" w:type="dxa"/>
            <w:tcBorders>
              <w:top w:val="single" w:sz="6" w:space="0" w:color="7F7F7F"/>
            </w:tcBorders>
            <w:tcMar>
              <w:top w:w="28" w:type="dxa"/>
            </w:tcMar>
            <w:vAlign w:val="center"/>
          </w:tcPr>
          <w:p>
            <w:pPr>
              <w:pStyle w:val="TableContents"/>
              <w:bidi w:val="0"/>
              <w:spacing w:before="0" w:after="283"/>
              <w:jc w:val="center"/>
              <w:rPr/>
            </w:pPr>
            <w:r>
              <w:rPr/>
              <w:t>80,917</w:t>
            </w:r>
          </w:p>
        </w:tc>
        <w:tc>
          <w:tcPr>
            <w:tcW w:w="89"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58"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c>
          <w:tcPr>
            <w:tcW w:w="2113" w:type="dxa"/>
            <w:gridSpan w:val="5"/>
            <w:tcBorders/>
            <w:vAlign w:val="center"/>
          </w:tcPr>
          <w:p>
            <w:pPr>
              <w:pStyle w:val="TableContents"/>
              <w:bidi w:val="0"/>
              <w:spacing w:before="0" w:after="283"/>
              <w:jc w:val="left"/>
              <w:rPr>
                <w:sz w:val="4"/>
                <w:szCs w:val="4"/>
              </w:rPr>
            </w:pPr>
            <w:r>
              <w:rPr>
                <w:sz w:val="4"/>
                <w:szCs w:val="4"/>
              </w:rPr>
            </w:r>
          </w:p>
        </w:tc>
        <w:tc>
          <w:tcPr>
            <w:tcW w:w="2156"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2024</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17,438</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150,141</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2,892</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24,900</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2023</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9,235</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79,513</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2022</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755</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6,501</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2021</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top w:val="single" w:sz="6" w:space="0" w:color="7F7F7F"/>
            </w:tcBorders>
            <w:tcMar>
              <w:top w:w="28" w:type="dxa"/>
            </w:tcMar>
            <w:vAlign w:val="center"/>
          </w:tcPr>
          <w:p>
            <w:pPr>
              <w:pStyle w:val="TableContents"/>
              <w:bidi w:val="0"/>
              <w:spacing w:before="0" w:after="0"/>
              <w:jc w:val="left"/>
              <w:rPr>
                <w:rFonts w:ascii="arial" w:hAnsi="arial"/>
                <w:b/>
                <w:sz w:val="16"/>
              </w:rPr>
            </w:pPr>
            <w:r>
              <w:rPr>
                <w:rFonts w:ascii="arial" w:hAnsi="arial"/>
                <w:b/>
                <w:sz w:val="16"/>
              </w:rPr>
              <w:t>Vanessa P. Williams</w:t>
            </w:r>
          </w:p>
        </w:tc>
        <w:tc>
          <w:tcPr>
            <w:tcW w:w="2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4"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62" w:type="dxa"/>
            <w:tcBorders>
              <w:top w:val="single" w:sz="6" w:space="0" w:color="7F7F7F"/>
            </w:tcBorders>
            <w:tcMar>
              <w:top w:w="28" w:type="dxa"/>
            </w:tcMar>
            <w:vAlign w:val="center"/>
          </w:tcPr>
          <w:p>
            <w:pPr>
              <w:pStyle w:val="TableContents"/>
              <w:bidi w:val="0"/>
              <w:spacing w:before="0" w:after="283"/>
              <w:jc w:val="left"/>
              <w:rPr/>
            </w:pPr>
            <w:r>
              <w:rPr/>
              <w:t> </w:t>
            </w:r>
          </w:p>
        </w:tc>
        <w:tc>
          <w:tcPr>
            <w:tcW w:w="523" w:type="dxa"/>
            <w:tcBorders>
              <w:top w:val="single" w:sz="6" w:space="0" w:color="7F7F7F"/>
            </w:tcBorders>
            <w:tcMar>
              <w:top w:w="28" w:type="dxa"/>
            </w:tcMar>
            <w:vAlign w:val="center"/>
          </w:tcPr>
          <w:p>
            <w:pPr>
              <w:pStyle w:val="TableContents"/>
              <w:bidi w:val="0"/>
              <w:spacing w:before="0" w:after="283"/>
              <w:jc w:val="center"/>
              <w:rPr/>
            </w:pPr>
            <w:r>
              <w:rPr/>
              <w:t>2025</w:t>
            </w:r>
          </w:p>
        </w:tc>
        <w:tc>
          <w:tcPr>
            <w:tcW w:w="26"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31"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81" w:type="dxa"/>
            <w:tcBorders>
              <w:top w:val="single" w:sz="6" w:space="0" w:color="7F7F7F"/>
            </w:tcBorders>
            <w:tcMar>
              <w:top w:w="28" w:type="dxa"/>
            </w:tcMar>
            <w:vAlign w:val="center"/>
          </w:tcPr>
          <w:p>
            <w:pPr>
              <w:pStyle w:val="TableContents"/>
              <w:bidi w:val="0"/>
              <w:spacing w:before="0" w:after="283"/>
              <w:jc w:val="left"/>
              <w:rPr/>
            </w:pPr>
            <w:r>
              <w:rPr/>
              <w:t> </w:t>
            </w:r>
          </w:p>
        </w:tc>
        <w:tc>
          <w:tcPr>
            <w:tcW w:w="1090" w:type="dxa"/>
            <w:tcBorders>
              <w:top w:val="single" w:sz="6" w:space="0" w:color="7F7F7F"/>
            </w:tcBorders>
            <w:tcMar>
              <w:top w:w="28" w:type="dxa"/>
            </w:tcMar>
            <w:vAlign w:val="center"/>
          </w:tcPr>
          <w:p>
            <w:pPr>
              <w:pStyle w:val="TableContents"/>
              <w:bidi w:val="0"/>
              <w:spacing w:before="0" w:after="283"/>
              <w:jc w:val="center"/>
              <w:rPr/>
            </w:pPr>
            <w:r>
              <w:rPr/>
              <w:t>24,533</w:t>
            </w:r>
          </w:p>
        </w:tc>
        <w:tc>
          <w:tcPr>
            <w:tcW w:w="3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6"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68" w:type="dxa"/>
            <w:tcBorders>
              <w:top w:val="single" w:sz="6" w:space="0" w:color="7F7F7F"/>
            </w:tcBorders>
            <w:tcMar>
              <w:top w:w="28" w:type="dxa"/>
            </w:tcMar>
            <w:vAlign w:val="center"/>
          </w:tcPr>
          <w:p>
            <w:pPr>
              <w:pStyle w:val="TableContents"/>
              <w:bidi w:val="0"/>
              <w:spacing w:before="0" w:after="283"/>
              <w:jc w:val="left"/>
              <w:rPr/>
            </w:pPr>
            <w:r>
              <w:rPr/>
              <w:t> </w:t>
            </w:r>
          </w:p>
        </w:tc>
        <w:tc>
          <w:tcPr>
            <w:tcW w:w="1114" w:type="dxa"/>
            <w:tcBorders>
              <w:top w:val="single" w:sz="6" w:space="0" w:color="7F7F7F"/>
            </w:tcBorders>
            <w:tcMar>
              <w:top w:w="28" w:type="dxa"/>
            </w:tcMar>
            <w:vAlign w:val="center"/>
          </w:tcPr>
          <w:p>
            <w:pPr>
              <w:pStyle w:val="TableContents"/>
              <w:bidi w:val="0"/>
              <w:spacing w:before="0" w:after="283"/>
              <w:jc w:val="center"/>
              <w:rPr/>
            </w:pPr>
            <w:r>
              <w:rPr/>
              <w:t>211,229</w:t>
            </w:r>
          </w:p>
        </w:tc>
        <w:tc>
          <w:tcPr>
            <w:tcW w:w="27"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61"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159" w:type="dxa"/>
            <w:tcBorders>
              <w:top w:val="single" w:sz="6" w:space="0" w:color="7F7F7F"/>
            </w:tcBorders>
            <w:tcMar>
              <w:top w:w="28" w:type="dxa"/>
            </w:tcMar>
            <w:vAlign w:val="center"/>
          </w:tcPr>
          <w:p>
            <w:pPr>
              <w:pStyle w:val="TableContents"/>
              <w:bidi w:val="0"/>
              <w:spacing w:before="0" w:after="283"/>
              <w:jc w:val="left"/>
              <w:rPr/>
            </w:pPr>
            <w:r>
              <w:rPr/>
              <w:t> </w:t>
            </w:r>
          </w:p>
        </w:tc>
        <w:tc>
          <w:tcPr>
            <w:tcW w:w="1808" w:type="dxa"/>
            <w:tcBorders>
              <w:top w:val="single" w:sz="6" w:space="0" w:color="7F7F7F"/>
            </w:tcBorders>
            <w:tcMar>
              <w:top w:w="28" w:type="dxa"/>
            </w:tcMar>
            <w:vAlign w:val="center"/>
          </w:tcPr>
          <w:p>
            <w:pPr>
              <w:pStyle w:val="TableContents"/>
              <w:bidi w:val="0"/>
              <w:spacing w:before="0" w:after="283"/>
              <w:jc w:val="center"/>
              <w:rPr/>
            </w:pPr>
            <w:r>
              <w:rPr/>
              <w:t>19,346</w:t>
            </w:r>
          </w:p>
        </w:tc>
        <w:tc>
          <w:tcPr>
            <w:tcW w:w="62"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52"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138" w:type="dxa"/>
            <w:tcBorders>
              <w:top w:val="single" w:sz="6" w:space="0" w:color="7F7F7F"/>
            </w:tcBorders>
            <w:tcMar>
              <w:top w:w="28" w:type="dxa"/>
            </w:tcMar>
            <w:vAlign w:val="center"/>
          </w:tcPr>
          <w:p>
            <w:pPr>
              <w:pStyle w:val="TableContents"/>
              <w:bidi w:val="0"/>
              <w:spacing w:before="0" w:after="283"/>
              <w:jc w:val="left"/>
              <w:rPr/>
            </w:pPr>
            <w:r>
              <w:rPr/>
              <w:t> </w:t>
            </w:r>
          </w:p>
        </w:tc>
        <w:tc>
          <w:tcPr>
            <w:tcW w:w="1854" w:type="dxa"/>
            <w:tcBorders>
              <w:top w:val="single" w:sz="6" w:space="0" w:color="7F7F7F"/>
            </w:tcBorders>
            <w:tcMar>
              <w:top w:w="28" w:type="dxa"/>
            </w:tcMar>
            <w:vAlign w:val="center"/>
          </w:tcPr>
          <w:p>
            <w:pPr>
              <w:pStyle w:val="TableContents"/>
              <w:bidi w:val="0"/>
              <w:spacing w:before="0" w:after="283"/>
              <w:jc w:val="center"/>
              <w:rPr/>
            </w:pPr>
            <w:r>
              <w:rPr/>
              <w:t>166,569</w:t>
            </w:r>
          </w:p>
        </w:tc>
        <w:tc>
          <w:tcPr>
            <w:tcW w:w="89"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58"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c>
          <w:tcPr>
            <w:tcW w:w="2113" w:type="dxa"/>
            <w:gridSpan w:val="5"/>
            <w:tcBorders/>
            <w:vAlign w:val="center"/>
          </w:tcPr>
          <w:p>
            <w:pPr>
              <w:pStyle w:val="TableContents"/>
              <w:bidi w:val="0"/>
              <w:spacing w:before="0" w:after="283"/>
              <w:jc w:val="left"/>
              <w:rPr>
                <w:sz w:val="4"/>
                <w:szCs w:val="4"/>
              </w:rPr>
            </w:pPr>
            <w:r>
              <w:rPr>
                <w:sz w:val="4"/>
                <w:szCs w:val="4"/>
              </w:rPr>
            </w:r>
          </w:p>
        </w:tc>
        <w:tc>
          <w:tcPr>
            <w:tcW w:w="2156"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2024</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14,994</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129,098</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5,708</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49,146</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2023</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12,711</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109,442</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2022</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1,190</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10,246</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2021</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top w:val="single" w:sz="6" w:space="0" w:color="7F7F7F"/>
            </w:tcBorders>
            <w:tcMar>
              <w:top w:w="28" w:type="dxa"/>
            </w:tcMar>
            <w:vAlign w:val="center"/>
          </w:tcPr>
          <w:p>
            <w:pPr>
              <w:pStyle w:val="TableContents"/>
              <w:bidi w:val="0"/>
              <w:spacing w:before="0" w:after="0"/>
              <w:jc w:val="left"/>
              <w:rPr>
                <w:rFonts w:ascii="arial" w:hAnsi="arial"/>
                <w:b/>
                <w:sz w:val="16"/>
              </w:rPr>
            </w:pPr>
            <w:r>
              <w:rPr>
                <w:rFonts w:ascii="arial" w:hAnsi="arial"/>
                <w:b/>
                <w:sz w:val="16"/>
              </w:rPr>
              <w:t>Nicola M. Soares</w:t>
            </w:r>
          </w:p>
        </w:tc>
        <w:tc>
          <w:tcPr>
            <w:tcW w:w="2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4"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62" w:type="dxa"/>
            <w:tcBorders>
              <w:top w:val="single" w:sz="6" w:space="0" w:color="7F7F7F"/>
            </w:tcBorders>
            <w:tcMar>
              <w:top w:w="28" w:type="dxa"/>
            </w:tcMar>
            <w:vAlign w:val="center"/>
          </w:tcPr>
          <w:p>
            <w:pPr>
              <w:pStyle w:val="TableContents"/>
              <w:bidi w:val="0"/>
              <w:spacing w:before="0" w:after="283"/>
              <w:jc w:val="left"/>
              <w:rPr/>
            </w:pPr>
            <w:r>
              <w:rPr/>
              <w:t> </w:t>
            </w:r>
          </w:p>
        </w:tc>
        <w:tc>
          <w:tcPr>
            <w:tcW w:w="523" w:type="dxa"/>
            <w:tcBorders>
              <w:top w:val="single" w:sz="6" w:space="0" w:color="7F7F7F"/>
            </w:tcBorders>
            <w:tcMar>
              <w:top w:w="28" w:type="dxa"/>
            </w:tcMar>
            <w:vAlign w:val="center"/>
          </w:tcPr>
          <w:p>
            <w:pPr>
              <w:pStyle w:val="TableContents"/>
              <w:bidi w:val="0"/>
              <w:spacing w:before="0" w:after="283"/>
              <w:jc w:val="center"/>
              <w:rPr/>
            </w:pPr>
            <w:r>
              <w:rPr/>
              <w:t>2025</w:t>
            </w:r>
          </w:p>
        </w:tc>
        <w:tc>
          <w:tcPr>
            <w:tcW w:w="26"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31"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81" w:type="dxa"/>
            <w:tcBorders>
              <w:top w:val="single" w:sz="6" w:space="0" w:color="7F7F7F"/>
            </w:tcBorders>
            <w:tcMar>
              <w:top w:w="28" w:type="dxa"/>
            </w:tcMar>
            <w:vAlign w:val="center"/>
          </w:tcPr>
          <w:p>
            <w:pPr>
              <w:pStyle w:val="TableContents"/>
              <w:bidi w:val="0"/>
              <w:spacing w:before="0" w:after="283"/>
              <w:jc w:val="left"/>
              <w:rPr/>
            </w:pPr>
            <w:r>
              <w:rPr/>
              <w:t> </w:t>
            </w:r>
          </w:p>
        </w:tc>
        <w:tc>
          <w:tcPr>
            <w:tcW w:w="1090" w:type="dxa"/>
            <w:tcBorders>
              <w:top w:val="single" w:sz="6" w:space="0" w:color="7F7F7F"/>
            </w:tcBorders>
            <w:tcMar>
              <w:top w:w="28" w:type="dxa"/>
            </w:tcMar>
            <w:vAlign w:val="center"/>
          </w:tcPr>
          <w:p>
            <w:pPr>
              <w:pStyle w:val="TableContents"/>
              <w:bidi w:val="0"/>
              <w:spacing w:before="0" w:after="283"/>
              <w:jc w:val="center"/>
              <w:rPr/>
            </w:pPr>
            <w:r>
              <w:rPr/>
              <w:t>11,606</w:t>
            </w:r>
          </w:p>
        </w:tc>
        <w:tc>
          <w:tcPr>
            <w:tcW w:w="3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6"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68" w:type="dxa"/>
            <w:tcBorders>
              <w:top w:val="single" w:sz="6" w:space="0" w:color="7F7F7F"/>
            </w:tcBorders>
            <w:tcMar>
              <w:top w:w="28" w:type="dxa"/>
            </w:tcMar>
            <w:vAlign w:val="center"/>
          </w:tcPr>
          <w:p>
            <w:pPr>
              <w:pStyle w:val="TableContents"/>
              <w:bidi w:val="0"/>
              <w:spacing w:before="0" w:after="283"/>
              <w:jc w:val="left"/>
              <w:rPr/>
            </w:pPr>
            <w:r>
              <w:rPr/>
              <w:t> </w:t>
            </w:r>
          </w:p>
        </w:tc>
        <w:tc>
          <w:tcPr>
            <w:tcW w:w="1114" w:type="dxa"/>
            <w:tcBorders>
              <w:top w:val="single" w:sz="6" w:space="0" w:color="7F7F7F"/>
            </w:tcBorders>
            <w:tcMar>
              <w:top w:w="28" w:type="dxa"/>
            </w:tcMar>
            <w:vAlign w:val="center"/>
          </w:tcPr>
          <w:p>
            <w:pPr>
              <w:pStyle w:val="TableContents"/>
              <w:bidi w:val="0"/>
              <w:spacing w:before="0" w:after="283"/>
              <w:jc w:val="center"/>
              <w:rPr/>
            </w:pPr>
            <w:r>
              <w:rPr/>
              <w:t>99,928</w:t>
            </w:r>
          </w:p>
        </w:tc>
        <w:tc>
          <w:tcPr>
            <w:tcW w:w="27"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61"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159" w:type="dxa"/>
            <w:tcBorders>
              <w:top w:val="single" w:sz="6" w:space="0" w:color="7F7F7F"/>
            </w:tcBorders>
            <w:tcMar>
              <w:top w:w="28" w:type="dxa"/>
            </w:tcMar>
            <w:vAlign w:val="center"/>
          </w:tcPr>
          <w:p>
            <w:pPr>
              <w:pStyle w:val="TableContents"/>
              <w:bidi w:val="0"/>
              <w:spacing w:before="0" w:after="283"/>
              <w:jc w:val="left"/>
              <w:rPr/>
            </w:pPr>
            <w:r>
              <w:rPr/>
              <w:t> </w:t>
            </w:r>
          </w:p>
        </w:tc>
        <w:tc>
          <w:tcPr>
            <w:tcW w:w="1808" w:type="dxa"/>
            <w:tcBorders>
              <w:top w:val="single" w:sz="6" w:space="0" w:color="7F7F7F"/>
            </w:tcBorders>
            <w:tcMar>
              <w:top w:w="28" w:type="dxa"/>
            </w:tcMar>
            <w:vAlign w:val="center"/>
          </w:tcPr>
          <w:p>
            <w:pPr>
              <w:pStyle w:val="TableContents"/>
              <w:bidi w:val="0"/>
              <w:spacing w:before="0" w:after="283"/>
              <w:jc w:val="center"/>
              <w:rPr/>
            </w:pPr>
            <w:r>
              <w:rPr/>
              <w:t>9,152</w:t>
            </w:r>
          </w:p>
        </w:tc>
        <w:tc>
          <w:tcPr>
            <w:tcW w:w="62"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52"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138" w:type="dxa"/>
            <w:tcBorders>
              <w:top w:val="single" w:sz="6" w:space="0" w:color="7F7F7F"/>
            </w:tcBorders>
            <w:tcMar>
              <w:top w:w="28" w:type="dxa"/>
            </w:tcMar>
            <w:vAlign w:val="center"/>
          </w:tcPr>
          <w:p>
            <w:pPr>
              <w:pStyle w:val="TableContents"/>
              <w:bidi w:val="0"/>
              <w:spacing w:before="0" w:after="283"/>
              <w:jc w:val="left"/>
              <w:rPr/>
            </w:pPr>
            <w:r>
              <w:rPr/>
              <w:t> </w:t>
            </w:r>
          </w:p>
        </w:tc>
        <w:tc>
          <w:tcPr>
            <w:tcW w:w="1854" w:type="dxa"/>
            <w:tcBorders>
              <w:top w:val="single" w:sz="6" w:space="0" w:color="7F7F7F"/>
            </w:tcBorders>
            <w:tcMar>
              <w:top w:w="28" w:type="dxa"/>
            </w:tcMar>
            <w:vAlign w:val="center"/>
          </w:tcPr>
          <w:p>
            <w:pPr>
              <w:pStyle w:val="TableContents"/>
              <w:bidi w:val="0"/>
              <w:spacing w:before="0" w:after="283"/>
              <w:jc w:val="center"/>
              <w:rPr/>
            </w:pPr>
            <w:r>
              <w:rPr/>
              <w:t>78,799</w:t>
            </w:r>
          </w:p>
        </w:tc>
        <w:tc>
          <w:tcPr>
            <w:tcW w:w="89"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58"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c>
          <w:tcPr>
            <w:tcW w:w="2113" w:type="dxa"/>
            <w:gridSpan w:val="5"/>
            <w:tcBorders/>
            <w:vAlign w:val="center"/>
          </w:tcPr>
          <w:p>
            <w:pPr>
              <w:pStyle w:val="TableContents"/>
              <w:bidi w:val="0"/>
              <w:spacing w:before="0" w:after="283"/>
              <w:jc w:val="left"/>
              <w:rPr>
                <w:sz w:val="4"/>
                <w:szCs w:val="4"/>
              </w:rPr>
            </w:pPr>
            <w:r>
              <w:rPr>
                <w:sz w:val="4"/>
                <w:szCs w:val="4"/>
              </w:rPr>
            </w:r>
          </w:p>
        </w:tc>
        <w:tc>
          <w:tcPr>
            <w:tcW w:w="2156"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2024</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17,119</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147,395</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2,774</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23,884</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2023</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8,429</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72,574</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2022</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715</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6,156</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2021</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top w:val="single" w:sz="6" w:space="0" w:color="7F7F7F"/>
            </w:tcBorders>
            <w:tcMar>
              <w:top w:w="28" w:type="dxa"/>
            </w:tcMar>
            <w:vAlign w:val="center"/>
          </w:tcPr>
          <w:p>
            <w:pPr>
              <w:pStyle w:val="TableContents"/>
              <w:bidi w:val="0"/>
              <w:spacing w:before="0" w:after="0"/>
              <w:jc w:val="left"/>
              <w:rPr>
                <w:rFonts w:ascii="arial" w:hAnsi="arial"/>
                <w:b/>
                <w:i/>
                <w:sz w:val="16"/>
                <w:u w:val="single"/>
              </w:rPr>
            </w:pPr>
            <w:r>
              <w:rPr>
                <w:rFonts w:ascii="arial" w:hAnsi="arial"/>
                <w:b/>
                <w:i/>
                <w:sz w:val="16"/>
                <w:u w:val="single"/>
              </w:rPr>
              <w:t>Former Executive</w:t>
            </w:r>
          </w:p>
        </w:tc>
        <w:tc>
          <w:tcPr>
            <w:tcW w:w="2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52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6"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1090"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3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1114"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7"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1808"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62"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1854"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c>
          <w:tcPr>
            <w:tcW w:w="89" w:type="dxa"/>
            <w:tcBorders>
              <w:top w:val="single" w:sz="6" w:space="0" w:color="7F7F7F"/>
            </w:tcBorders>
            <w:tcMar>
              <w:top w:w="28"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58"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c>
          <w:tcPr>
            <w:tcW w:w="2113" w:type="dxa"/>
            <w:gridSpan w:val="5"/>
            <w:tcBorders/>
            <w:vAlign w:val="center"/>
          </w:tcPr>
          <w:p>
            <w:pPr>
              <w:pStyle w:val="TableContents"/>
              <w:bidi w:val="0"/>
              <w:spacing w:before="0" w:after="283"/>
              <w:jc w:val="left"/>
              <w:rPr>
                <w:sz w:val="4"/>
                <w:szCs w:val="4"/>
              </w:rPr>
            </w:pPr>
            <w:r>
              <w:rPr>
                <w:sz w:val="4"/>
                <w:szCs w:val="4"/>
              </w:rPr>
            </w:r>
          </w:p>
        </w:tc>
        <w:tc>
          <w:tcPr>
            <w:tcW w:w="2156"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0"/>
              <w:jc w:val="left"/>
              <w:rPr>
                <w:rFonts w:ascii="arial" w:hAnsi="arial"/>
                <w:b/>
                <w:sz w:val="16"/>
              </w:rPr>
            </w:pPr>
            <w:r>
              <w:rPr>
                <w:rFonts w:ascii="arial" w:hAnsi="arial"/>
                <w:b/>
                <w:sz w:val="16"/>
              </w:rPr>
              <w:t>Peter W. Quigley</w:t>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2025</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69,658</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599,755</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90,682</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780,772</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58"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c>
          <w:tcPr>
            <w:tcW w:w="2113" w:type="dxa"/>
            <w:gridSpan w:val="5"/>
            <w:tcBorders/>
            <w:vAlign w:val="center"/>
          </w:tcPr>
          <w:p>
            <w:pPr>
              <w:pStyle w:val="TableContents"/>
              <w:bidi w:val="0"/>
              <w:spacing w:before="0" w:after="283"/>
              <w:jc w:val="left"/>
              <w:rPr>
                <w:sz w:val="4"/>
                <w:szCs w:val="4"/>
              </w:rPr>
            </w:pPr>
            <w:r>
              <w:rPr>
                <w:sz w:val="4"/>
                <w:szCs w:val="4"/>
              </w:rPr>
            </w:r>
          </w:p>
        </w:tc>
        <w:tc>
          <w:tcPr>
            <w:tcW w:w="2156"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2024</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61,988</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533,717</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27,034</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232,763</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2023</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73,547</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633,240</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center"/>
              <w:rPr/>
            </w:pPr>
            <w:r>
              <w:rPr/>
              <w:t>2022</w:t>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center"/>
              <w:rPr/>
            </w:pPr>
            <w:r>
              <w:rPr/>
              <w:t>5,307</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center"/>
              <w:rPr/>
            </w:pPr>
            <w:r>
              <w:rPr/>
              <w:t>45,693</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center"/>
              <w:rPr/>
            </w:pPr>
            <w:r>
              <w:rPr/>
              <w:t>—</w:t>
            </w:r>
          </w:p>
        </w:tc>
        <w:tc>
          <w:tcPr>
            <w:tcW w:w="89" w:type="dxa"/>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7F7F7F"/>
            </w:tcBorders>
            <w:tcMar>
              <w:bottom w:w="60" w:type="dxa"/>
            </w:tcMar>
            <w:vAlign w:val="center"/>
          </w:tcPr>
          <w:p>
            <w:pPr>
              <w:pStyle w:val="TableContents"/>
              <w:bidi w:val="0"/>
              <w:spacing w:before="0" w:after="283"/>
              <w:jc w:val="left"/>
              <w:rPr/>
            </w:pPr>
            <w:r>
              <w:rPr/>
              <w:t> </w:t>
            </w:r>
          </w:p>
        </w:tc>
        <w:tc>
          <w:tcPr>
            <w:tcW w:w="523" w:type="dxa"/>
            <w:tcBorders>
              <w:bottom w:val="single" w:sz="6" w:space="0" w:color="7F7F7F"/>
            </w:tcBorders>
            <w:tcMar>
              <w:bottom w:w="60" w:type="dxa"/>
            </w:tcMar>
            <w:vAlign w:val="center"/>
          </w:tcPr>
          <w:p>
            <w:pPr>
              <w:pStyle w:val="TableContents"/>
              <w:bidi w:val="0"/>
              <w:spacing w:before="0" w:after="283"/>
              <w:jc w:val="center"/>
              <w:rPr/>
            </w:pPr>
            <w:r>
              <w:rPr/>
              <w:t>2021</w:t>
            </w:r>
          </w:p>
        </w:tc>
        <w:tc>
          <w:tcPr>
            <w:tcW w:w="26" w:type="dxa"/>
            <w:tcBorders>
              <w:bottom w:val="single" w:sz="6" w:space="0" w:color="7F7F7F"/>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7F7F7F"/>
            </w:tcBorders>
            <w:tcMar>
              <w:bottom w:w="60" w:type="dxa"/>
            </w:tcMar>
            <w:vAlign w:val="center"/>
          </w:tcPr>
          <w:p>
            <w:pPr>
              <w:pStyle w:val="TableContents"/>
              <w:bidi w:val="0"/>
              <w:spacing w:before="0" w:after="283"/>
              <w:jc w:val="left"/>
              <w:rPr/>
            </w:pPr>
            <w:r>
              <w:rPr/>
              <w:t> </w:t>
            </w:r>
          </w:p>
        </w:tc>
        <w:tc>
          <w:tcPr>
            <w:tcW w:w="1090" w:type="dxa"/>
            <w:tcBorders>
              <w:bottom w:val="single" w:sz="6" w:space="0" w:color="7F7F7F"/>
            </w:tcBorders>
            <w:tcMar>
              <w:bottom w:w="60" w:type="dxa"/>
            </w:tcMar>
            <w:vAlign w:val="center"/>
          </w:tcPr>
          <w:p>
            <w:pPr>
              <w:pStyle w:val="TableContents"/>
              <w:bidi w:val="0"/>
              <w:spacing w:before="0" w:after="283"/>
              <w:jc w:val="center"/>
              <w:rPr/>
            </w:pPr>
            <w:r>
              <w:rPr/>
              <w:t>—</w:t>
            </w:r>
          </w:p>
        </w:tc>
        <w:tc>
          <w:tcPr>
            <w:tcW w:w="33" w:type="dxa"/>
            <w:tcBorders>
              <w:bottom w:val="single" w:sz="6" w:space="0" w:color="7F7F7F"/>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7F7F7F"/>
            </w:tcBorders>
            <w:tcMar>
              <w:bottom w:w="60" w:type="dxa"/>
            </w:tcMar>
            <w:vAlign w:val="center"/>
          </w:tcPr>
          <w:p>
            <w:pPr>
              <w:pStyle w:val="TableContents"/>
              <w:bidi w:val="0"/>
              <w:spacing w:before="0" w:after="283"/>
              <w:jc w:val="left"/>
              <w:rPr/>
            </w:pPr>
            <w:r>
              <w:rPr/>
              <w:t> </w:t>
            </w:r>
          </w:p>
        </w:tc>
        <w:tc>
          <w:tcPr>
            <w:tcW w:w="1114" w:type="dxa"/>
            <w:tcBorders>
              <w:bottom w:val="single" w:sz="6" w:space="0" w:color="7F7F7F"/>
            </w:tcBorders>
            <w:tcMar>
              <w:bottom w:w="60" w:type="dxa"/>
            </w:tcMar>
            <w:vAlign w:val="center"/>
          </w:tcPr>
          <w:p>
            <w:pPr>
              <w:pStyle w:val="TableContents"/>
              <w:bidi w:val="0"/>
              <w:spacing w:before="0" w:after="283"/>
              <w:jc w:val="center"/>
              <w:rPr/>
            </w:pPr>
            <w:r>
              <w:rPr/>
              <w:t>—</w:t>
            </w:r>
          </w:p>
        </w:tc>
        <w:tc>
          <w:tcPr>
            <w:tcW w:w="27" w:type="dxa"/>
            <w:tcBorders>
              <w:bottom w:val="single" w:sz="6" w:space="0" w:color="7F7F7F"/>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59" w:type="dxa"/>
            <w:tcBorders>
              <w:bottom w:val="single" w:sz="6" w:space="0" w:color="7F7F7F"/>
            </w:tcBorders>
            <w:tcMar>
              <w:bottom w:w="60" w:type="dxa"/>
            </w:tcMar>
            <w:vAlign w:val="center"/>
          </w:tcPr>
          <w:p>
            <w:pPr>
              <w:pStyle w:val="TableContents"/>
              <w:bidi w:val="0"/>
              <w:spacing w:before="0" w:after="283"/>
              <w:jc w:val="left"/>
              <w:rPr/>
            </w:pPr>
            <w:r>
              <w:rPr/>
              <w:t> </w:t>
            </w:r>
          </w:p>
        </w:tc>
        <w:tc>
          <w:tcPr>
            <w:tcW w:w="1808" w:type="dxa"/>
            <w:tcBorders>
              <w:bottom w:val="single" w:sz="6" w:space="0" w:color="7F7F7F"/>
            </w:tcBorders>
            <w:tcMar>
              <w:bottom w:w="60" w:type="dxa"/>
            </w:tcMar>
            <w:vAlign w:val="center"/>
          </w:tcPr>
          <w:p>
            <w:pPr>
              <w:pStyle w:val="TableContents"/>
              <w:bidi w:val="0"/>
              <w:spacing w:before="0" w:after="283"/>
              <w:jc w:val="center"/>
              <w:rPr/>
            </w:pPr>
            <w:r>
              <w:rPr/>
              <w:t>—</w:t>
            </w:r>
          </w:p>
        </w:tc>
        <w:tc>
          <w:tcPr>
            <w:tcW w:w="62" w:type="dxa"/>
            <w:tcBorders>
              <w:bottom w:val="single" w:sz="6" w:space="0" w:color="7F7F7F"/>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38" w:type="dxa"/>
            <w:tcBorders>
              <w:bottom w:val="single" w:sz="6" w:space="0" w:color="7F7F7F"/>
            </w:tcBorders>
            <w:tcMar>
              <w:bottom w:w="60" w:type="dxa"/>
            </w:tcMar>
            <w:vAlign w:val="center"/>
          </w:tcPr>
          <w:p>
            <w:pPr>
              <w:pStyle w:val="TableContents"/>
              <w:bidi w:val="0"/>
              <w:spacing w:before="0" w:after="283"/>
              <w:jc w:val="left"/>
              <w:rPr/>
            </w:pPr>
            <w:r>
              <w:rPr/>
              <w:t> </w:t>
            </w:r>
          </w:p>
        </w:tc>
        <w:tc>
          <w:tcPr>
            <w:tcW w:w="1854" w:type="dxa"/>
            <w:tcBorders>
              <w:bottom w:val="single" w:sz="6" w:space="0" w:color="7F7F7F"/>
            </w:tcBorders>
            <w:tcMar>
              <w:bottom w:w="60" w:type="dxa"/>
            </w:tcMar>
            <w:vAlign w:val="center"/>
          </w:tcPr>
          <w:p>
            <w:pPr>
              <w:pStyle w:val="TableContents"/>
              <w:bidi w:val="0"/>
              <w:spacing w:before="0" w:after="283"/>
              <w:jc w:val="center"/>
              <w:rPr/>
            </w:pPr>
            <w:r>
              <w:rPr/>
              <w:t>—</w:t>
            </w:r>
          </w:p>
        </w:tc>
        <w:tc>
          <w:tcPr>
            <w:tcW w:w="89" w:type="dxa"/>
            <w:tcBorders>
              <w:bottom w:val="single" w:sz="6" w:space="0" w:color="7F7F7F"/>
            </w:tcBorders>
            <w:tcMar>
              <w:bottom w:w="6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0"/>
              <w:jc w:val="left"/>
              <w:rPr>
                <w:rFonts w:ascii="arial" w:hAnsi="arial"/>
                <w:sz w:val="14"/>
              </w:rPr>
            </w:pPr>
            <w:r>
              <w:rPr>
                <w:rFonts w:ascii="arial" w:hAnsi="arial"/>
                <w:sz w:val="14"/>
              </w:rPr>
              <w:t xml:space="preserve">The Company did not grant stock options during the 2025 fiscal year. All previously outstanding granted stock options for the named executive officers expired during the 2014 fiscal year. As a result, there are no outstanding options to report and, accordingly, these columns have been eliminated from the table. </w:t>
            </w:r>
          </w:p>
        </w:tc>
      </w:tr>
    </w:tbl>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213"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86" descr=""/>
                          <pic:cNvPicPr>
                            <a:picLocks noChangeAspect="1" noChangeArrowheads="1"/>
                          </pic:cNvPicPr>
                        </pic:nvPicPr>
                        <pic:blipFill>
                          <a:blip r:embed="rId198"/>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2025 Executive Compensation Tables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(2)</w:t>
            </w:r>
          </w:p>
        </w:tc>
        <w:tc>
          <w:tcPr>
            <w:tcW w:w="9960" w:type="dxa"/>
            <w:tcBorders/>
            <w:vAlign w:val="center"/>
          </w:tcPr>
          <w:p>
            <w:pPr>
              <w:pStyle w:val="TableContents"/>
              <w:bidi w:val="0"/>
              <w:spacing w:before="0" w:after="0"/>
              <w:jc w:val="left"/>
              <w:rPr>
                <w:rFonts w:ascii="arial" w:hAnsi="arial"/>
                <w:sz w:val="14"/>
              </w:rPr>
            </w:pPr>
            <w:r>
              <w:rPr>
                <w:rFonts w:ascii="arial" w:hAnsi="arial"/>
                <w:sz w:val="14"/>
              </w:rPr>
              <w:t xml:space="preserve">All outstanding Restricted Stock Awards/Units granted before 2023 vest ratably over four years. Restricted Stock Awards/Units granted in 2023 and after vest ratably over three years, with the exception of Mr. Quigley’s and Ms. Soares October 15, 2024, awards which have a two-year cliff vest, Mr. Anderson’s October 15, 2024, award which has a two-year ratable vest, Ms. Browning’s August 15, 2025 award which has a two-year ratable vest, and Mr. Layden’s September 15, 2025 award which vests 15% on the first anniversary, 35% on the second anniversary and 50% on the third anniversary. The number of outstanding shares has been determined as of December 28, 2025, the last day of the Company’s fiscal year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(3)</w:t>
            </w:r>
          </w:p>
        </w:tc>
        <w:tc>
          <w:tcPr>
            <w:tcW w:w="9956" w:type="dxa"/>
            <w:tcBorders/>
            <w:vAlign w:val="center"/>
          </w:tcPr>
          <w:p>
            <w:pPr>
              <w:pStyle w:val="TableContents"/>
              <w:bidi w:val="0"/>
              <w:spacing w:before="0" w:after="0"/>
              <w:jc w:val="left"/>
              <w:rPr>
                <w:rFonts w:ascii="arial" w:hAnsi="arial"/>
                <w:sz w:val="14"/>
              </w:rPr>
            </w:pPr>
            <w:r>
              <w:rPr>
                <w:rFonts w:ascii="arial" w:hAnsi="arial"/>
                <w:sz w:val="14"/>
              </w:rPr>
              <w:t xml:space="preserve">Performance results for the first, second and third year of the 2023-2025 LTI are reflected in these totals, which is detailed above in the “2023-2025 Long-Term Incentive Performance Results” section. Performance results for the first and second year of the 2024-2026 LTI are reflected in these totals, which is detailed above in the “2024-2026 Long-Term Incentive Performance Results” section. Performance results for the first year of the 2025-2027 LTI are reflected in these totals, which is detailed above in the “2025-2027 Long-Term Incentive Performance Results” section.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(4)</w:t>
            </w:r>
          </w:p>
        </w:tc>
        <w:tc>
          <w:tcPr>
            <w:tcW w:w="9903" w:type="dxa"/>
            <w:tcBorders/>
            <w:vAlign w:val="center"/>
          </w:tcPr>
          <w:p>
            <w:pPr>
              <w:pStyle w:val="TableContents"/>
              <w:bidi w:val="0"/>
              <w:spacing w:before="0" w:after="0"/>
              <w:jc w:val="left"/>
              <w:rPr>
                <w:rFonts w:ascii="arial" w:hAnsi="arial"/>
                <w:sz w:val="14"/>
              </w:rPr>
            </w:pPr>
            <w:r>
              <w:rPr>
                <w:rFonts w:ascii="arial" w:hAnsi="arial"/>
                <w:sz w:val="14"/>
              </w:rPr>
              <w:t xml:space="preserve">The market value is determined based on the closing market price of our common shares on the last trading day of the 2025 fiscal year, December 26, 2025 ($8.61).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(5)</w:t>
            </w:r>
          </w:p>
        </w:tc>
        <w:tc>
          <w:tcPr>
            <w:tcW w:w="9945" w:type="dxa"/>
            <w:tcBorders/>
            <w:vAlign w:val="center"/>
          </w:tcPr>
          <w:p>
            <w:pPr>
              <w:pStyle w:val="TableContents"/>
              <w:bidi w:val="0"/>
              <w:spacing w:before="0" w:after="0"/>
              <w:jc w:val="left"/>
              <w:rPr>
                <w:rFonts w:ascii="arial" w:hAnsi="arial"/>
                <w:sz w:val="14"/>
              </w:rPr>
            </w:pPr>
            <w:r>
              <w:rPr>
                <w:rFonts w:ascii="arial" w:hAnsi="arial"/>
                <w:sz w:val="14"/>
              </w:rPr>
              <w:t xml:space="preserve">Performance Shares granted in 2023, 2024, and 2025 are earned based upon achievement of selected financial measures over three one-year periods. If the minimum or threshold performance is not attained, the performance shares will be forfeited. The table includes the 2024 Performance Shares year three and the 2025 Performance Shares years two and three, at target. </w:t>
            </w:r>
          </w:p>
        </w:tc>
      </w:tr>
    </w:tbl>
    <w:p>
      <w:pPr>
        <w:pStyle w:val="TextBody"/>
        <w:bidi w:val="0"/>
        <w:spacing w:before="360" w:after="0"/>
        <w:jc w:val="left"/>
        <w:rPr>
          <w:rFonts w:ascii="arial" w:hAnsi="arial"/>
          <w:b/>
          <w:sz w:val="24"/>
        </w:rPr>
      </w:pPr>
      <w:bookmarkStart w:id="93" w:name="toc37355_73"/>
      <w:bookmarkEnd w:id="93"/>
      <w:r>
        <w:rPr>
          <w:rFonts w:ascii="arial" w:hAnsi="arial"/>
          <w:b/>
          <w:sz w:val="24"/>
        </w:rPr>
        <w:t xml:space="preserve">Option Exercises and Stock Vested 2025 </w:t>
      </w:r>
    </w:p>
    <w:p>
      <w:pPr>
        <w:pStyle w:val="TextBody"/>
        <w:bidi w:val="0"/>
        <w:spacing w:before="0" w:after="0"/>
        <w:jc w:val="left"/>
        <w:rPr/>
      </w:pPr>
      <w:r>
        <w:rPr/>
        <w:t> </w:t>
      </w:r>
    </w:p>
    <w:tbl>
      <w:tblPr>
        <w:tblW w:w="6001" w:type="dxa"/>
        <w:jc w:val="left"/>
        <w:tblInd w:w="0" w:type="dxa"/>
        <w:tblLayout w:type="fixed"/>
        <w:tblCellMar>
          <w:top w:w="0" w:type="dxa"/>
          <w:left w:w="0" w:type="dxa"/>
          <w:bottom w:w="0" w:type="dxa"/>
          <w:right w:w="0" w:type="dxa"/>
        </w:tblCellMar>
      </w:tblPr>
      <w:tblGrid>
        <w:gridCol w:w="1820"/>
        <w:gridCol w:w="23"/>
        <w:gridCol w:w="56"/>
        <w:gridCol w:w="147"/>
        <w:gridCol w:w="642"/>
        <w:gridCol w:w="150"/>
        <w:gridCol w:w="34"/>
        <w:gridCol w:w="54"/>
        <w:gridCol w:w="141"/>
        <w:gridCol w:w="612"/>
        <w:gridCol w:w="143"/>
        <w:gridCol w:w="23"/>
        <w:gridCol w:w="27"/>
        <w:gridCol w:w="72"/>
        <w:gridCol w:w="822"/>
        <w:gridCol w:w="74"/>
        <w:gridCol w:w="23"/>
        <w:gridCol w:w="23"/>
        <w:gridCol w:w="60"/>
        <w:gridCol w:w="980"/>
        <w:gridCol w:w="75"/>
      </w:tblGrid>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20" w:type="dxa"/>
            <w:vMerge w:val="restart"/>
            <w:tcBorders>
              <w:bottom w:val="single" w:sz="8" w:space="0" w:color="33302B"/>
            </w:tcBorders>
            <w:tcMar>
              <w:bottom w:w="80" w:type="dxa"/>
            </w:tcMar>
            <w:vAlign w:val="center"/>
          </w:tcPr>
          <w:p>
            <w:pPr>
              <w:pStyle w:val="TableContents"/>
              <w:bidi w:val="0"/>
              <w:spacing w:before="0" w:after="283"/>
              <w:jc w:val="left"/>
              <w:rPr>
                <w:b/>
                <w:color w:val="00AE4F"/>
              </w:rPr>
            </w:pPr>
            <w:r>
              <w:rPr>
                <w:b/>
                <w:color w:val="00AE4F"/>
              </w:rPr>
              <w:t>Name</w:t>
            </w:r>
          </w:p>
        </w:tc>
        <w:tc>
          <w:tcPr>
            <w:tcW w:w="23" w:type="dxa"/>
            <w:tcBorders>
              <w:bottom w:val="single" w:sz="8" w:space="0" w:color="33302B"/>
            </w:tcBorders>
            <w:tcMar>
              <w:bottom w:w="28" w:type="dxa"/>
            </w:tcMar>
            <w:vAlign w:val="center"/>
          </w:tcPr>
          <w:p>
            <w:pPr>
              <w:pStyle w:val="TableContents"/>
              <w:bidi w:val="0"/>
              <w:spacing w:before="0" w:after="283"/>
              <w:jc w:val="left"/>
              <w:rPr>
                <w:sz w:val="4"/>
                <w:szCs w:val="4"/>
              </w:rPr>
            </w:pPr>
            <w:r>
              <w:rPr>
                <w:sz w:val="4"/>
                <w:szCs w:val="4"/>
              </w:rPr>
            </w:r>
          </w:p>
        </w:tc>
        <w:tc>
          <w:tcPr>
            <w:tcW w:w="1979" w:type="dxa"/>
            <w:gridSpan w:val="9"/>
            <w:tcBorders>
              <w:bottom w:val="single" w:sz="8" w:space="0" w:color="33302B"/>
            </w:tcBorders>
            <w:tcMar>
              <w:bottom w:w="80" w:type="dxa"/>
            </w:tcMar>
            <w:vAlign w:val="center"/>
          </w:tcPr>
          <w:p>
            <w:pPr>
              <w:pStyle w:val="TableContents"/>
              <w:bidi w:val="0"/>
              <w:spacing w:before="0" w:after="283"/>
              <w:jc w:val="center"/>
              <w:rPr>
                <w:b/>
                <w:color w:val="00AE4F"/>
              </w:rPr>
            </w:pPr>
            <w:r>
              <w:rPr>
                <w:b/>
                <w:color w:val="00AE4F"/>
              </w:rPr>
              <w:t>Option Awards</w:t>
            </w:r>
          </w:p>
        </w:tc>
        <w:tc>
          <w:tcPr>
            <w:tcW w:w="23" w:type="dxa"/>
            <w:tcBorders>
              <w:bottom w:val="single" w:sz="8" w:space="0" w:color="33302B"/>
            </w:tcBorders>
            <w:tcMar>
              <w:bottom w:w="28" w:type="dxa"/>
            </w:tcMar>
            <w:vAlign w:val="center"/>
          </w:tcPr>
          <w:p>
            <w:pPr>
              <w:pStyle w:val="TableContents"/>
              <w:bidi w:val="0"/>
              <w:spacing w:before="0" w:after="283"/>
              <w:jc w:val="left"/>
              <w:rPr>
                <w:sz w:val="4"/>
                <w:szCs w:val="4"/>
              </w:rPr>
            </w:pPr>
            <w:r>
              <w:rPr>
                <w:sz w:val="4"/>
                <w:szCs w:val="4"/>
              </w:rPr>
            </w:r>
          </w:p>
        </w:tc>
        <w:tc>
          <w:tcPr>
            <w:tcW w:w="2156" w:type="dxa"/>
            <w:gridSpan w:val="9"/>
            <w:tcBorders>
              <w:bottom w:val="single" w:sz="8" w:space="0" w:color="33302B"/>
            </w:tcBorders>
            <w:tcMar>
              <w:bottom w:w="80" w:type="dxa"/>
            </w:tcMar>
            <w:vAlign w:val="center"/>
          </w:tcPr>
          <w:p>
            <w:pPr>
              <w:pStyle w:val="TableContents"/>
              <w:bidi w:val="0"/>
              <w:spacing w:before="0" w:after="283"/>
              <w:jc w:val="center"/>
              <w:rPr>
                <w:b/>
                <w:color w:val="00AE4F"/>
              </w:rPr>
            </w:pPr>
            <w:r>
              <w:rPr>
                <w:b/>
                <w:color w:val="00AE4F"/>
              </w:rPr>
              <w:t>Stock Awards</w:t>
            </w:r>
          </w:p>
        </w:tc>
      </w:tr>
      <w:tr>
        <w:trPr/>
        <w:tc>
          <w:tcPr>
            <w:tcW w:w="1820" w:type="dxa"/>
            <w:vMerge w:val="continue"/>
            <w:tcBorders>
              <w:bottom w:val="single" w:sz="8" w:space="0" w:color="33302B"/>
            </w:tcBorders>
            <w:tcMar>
              <w:bottom w:w="80" w:type="dxa"/>
            </w:tcMar>
            <w:vAlign w:val="center"/>
          </w:tcPr>
          <w:p>
            <w:pPr>
              <w:pStyle w:val="Normal"/>
              <w:bidi w:val="0"/>
              <w:jc w:val="left"/>
              <w:rPr/>
            </w:pPr>
            <w:r>
              <w:rPr/>
            </w:r>
          </w:p>
        </w:tc>
        <w:tc>
          <w:tcPr>
            <w:tcW w:w="23" w:type="dxa"/>
            <w:tcBorders>
              <w:bottom w:val="single" w:sz="8" w:space="0" w:color="33302B"/>
            </w:tcBorders>
            <w:tcMar>
              <w:bottom w:w="28" w:type="dxa"/>
            </w:tcMar>
            <w:vAlign w:val="center"/>
          </w:tcPr>
          <w:p>
            <w:pPr>
              <w:pStyle w:val="TableContents"/>
              <w:bidi w:val="0"/>
              <w:spacing w:before="0" w:after="283"/>
              <w:jc w:val="left"/>
              <w:rPr>
                <w:sz w:val="4"/>
                <w:szCs w:val="4"/>
              </w:rPr>
            </w:pPr>
            <w:r>
              <w:rPr>
                <w:sz w:val="4"/>
                <w:szCs w:val="4"/>
              </w:rPr>
            </w:r>
          </w:p>
        </w:tc>
        <w:tc>
          <w:tcPr>
            <w:tcW w:w="995" w:type="dxa"/>
            <w:gridSpan w:val="4"/>
            <w:tcBorders>
              <w:bottom w:val="single" w:sz="8" w:space="0" w:color="33302B"/>
            </w:tcBorders>
            <w:tcMar>
              <w:bottom w:w="80" w:type="dxa"/>
            </w:tcMar>
            <w:vAlign w:val="center"/>
          </w:tcPr>
          <w:p>
            <w:pPr>
              <w:pStyle w:val="TableContents"/>
              <w:bidi w:val="0"/>
              <w:spacing w:before="0" w:after="0"/>
              <w:jc w:val="center"/>
              <w:rPr>
                <w:rFonts w:ascii="arial" w:hAnsi="arial"/>
                <w:b/>
                <w:color w:val="00AE4F"/>
                <w:sz w:val="16"/>
              </w:rPr>
            </w:pPr>
            <w:r>
              <w:rPr>
                <w:rFonts w:ascii="arial" w:hAnsi="arial"/>
                <w:b/>
                <w:color w:val="00AE4F"/>
                <w:sz w:val="16"/>
              </w:rPr>
              <w:t>Number of</w:t>
              <w:br/>
              <w:t>Shares</w:t>
              <w:br/>
              <w:t>Acquired on</w:t>
              <w:br/>
              <w:t>Exercise</w:t>
            </w:r>
          </w:p>
          <w:p>
            <w:pPr>
              <w:pStyle w:val="TableContents"/>
              <w:bidi w:val="0"/>
              <w:spacing w:before="0" w:after="20"/>
              <w:jc w:val="center"/>
              <w:rPr>
                <w:rFonts w:ascii="arial" w:hAnsi="arial"/>
                <w:b/>
                <w:color w:val="00AE4F"/>
                <w:sz w:val="16"/>
              </w:rPr>
            </w:pPr>
            <w:r>
              <w:rPr>
                <w:rFonts w:ascii="arial" w:hAnsi="arial"/>
                <w:b/>
                <w:color w:val="00AE4F"/>
                <w:sz w:val="16"/>
              </w:rPr>
              <w:t>(#)</w:t>
            </w:r>
          </w:p>
        </w:tc>
        <w:tc>
          <w:tcPr>
            <w:tcW w:w="34" w:type="dxa"/>
            <w:tcBorders>
              <w:bottom w:val="single" w:sz="8" w:space="0" w:color="33302B"/>
            </w:tcBorders>
            <w:tcMar>
              <w:bottom w:w="28" w:type="dxa"/>
            </w:tcMar>
            <w:vAlign w:val="center"/>
          </w:tcPr>
          <w:p>
            <w:pPr>
              <w:pStyle w:val="TableContents"/>
              <w:bidi w:val="0"/>
              <w:spacing w:before="0" w:after="283"/>
              <w:jc w:val="left"/>
              <w:rPr>
                <w:sz w:val="4"/>
                <w:szCs w:val="4"/>
              </w:rPr>
            </w:pPr>
            <w:r>
              <w:rPr>
                <w:sz w:val="4"/>
                <w:szCs w:val="4"/>
              </w:rPr>
            </w:r>
          </w:p>
        </w:tc>
        <w:tc>
          <w:tcPr>
            <w:tcW w:w="950" w:type="dxa"/>
            <w:gridSpan w:val="4"/>
            <w:tcBorders>
              <w:bottom w:val="single" w:sz="8" w:space="0" w:color="33302B"/>
            </w:tcBorders>
            <w:tcMar>
              <w:bottom w:w="80" w:type="dxa"/>
            </w:tcMar>
            <w:vAlign w:val="center"/>
          </w:tcPr>
          <w:p>
            <w:pPr>
              <w:pStyle w:val="TableContents"/>
              <w:bidi w:val="0"/>
              <w:spacing w:before="0" w:after="0"/>
              <w:jc w:val="center"/>
              <w:rPr>
                <w:rFonts w:ascii="arial" w:hAnsi="arial"/>
                <w:b/>
                <w:color w:val="00AE4F"/>
                <w:sz w:val="16"/>
              </w:rPr>
            </w:pPr>
            <w:r>
              <w:rPr>
                <w:rFonts w:ascii="arial" w:hAnsi="arial"/>
                <w:b/>
                <w:color w:val="00AE4F"/>
                <w:sz w:val="16"/>
              </w:rPr>
              <w:t>Value</w:t>
              <w:br/>
              <w:t>Realized on</w:t>
              <w:br/>
              <w:t>Exercise</w:t>
            </w:r>
          </w:p>
          <w:p>
            <w:pPr>
              <w:pStyle w:val="TableContents"/>
              <w:bidi w:val="0"/>
              <w:spacing w:before="0" w:after="20"/>
              <w:jc w:val="center"/>
              <w:rPr>
                <w:rFonts w:ascii="arial" w:hAnsi="arial"/>
                <w:b/>
                <w:color w:val="00AE4F"/>
                <w:sz w:val="16"/>
              </w:rPr>
            </w:pPr>
            <w:r>
              <w:rPr>
                <w:rFonts w:ascii="arial" w:hAnsi="arial"/>
                <w:b/>
                <w:color w:val="00AE4F"/>
                <w:sz w:val="16"/>
              </w:rPr>
              <w:t>($)</w:t>
            </w:r>
          </w:p>
        </w:tc>
        <w:tc>
          <w:tcPr>
            <w:tcW w:w="23" w:type="dxa"/>
            <w:tcBorders>
              <w:bottom w:val="single" w:sz="8" w:space="0" w:color="33302B"/>
            </w:tcBorders>
            <w:tcMar>
              <w:bottom w:w="28" w:type="dxa"/>
            </w:tcMar>
            <w:vAlign w:val="center"/>
          </w:tcPr>
          <w:p>
            <w:pPr>
              <w:pStyle w:val="TableContents"/>
              <w:bidi w:val="0"/>
              <w:spacing w:before="0" w:after="283"/>
              <w:jc w:val="left"/>
              <w:rPr>
                <w:sz w:val="4"/>
                <w:szCs w:val="4"/>
              </w:rPr>
            </w:pPr>
            <w:r>
              <w:rPr>
                <w:sz w:val="4"/>
                <w:szCs w:val="4"/>
              </w:rPr>
            </w:r>
          </w:p>
        </w:tc>
        <w:tc>
          <w:tcPr>
            <w:tcW w:w="995" w:type="dxa"/>
            <w:gridSpan w:val="4"/>
            <w:tcBorders>
              <w:bottom w:val="single" w:sz="8" w:space="0" w:color="33302B"/>
            </w:tcBorders>
            <w:tcMar>
              <w:bottom w:w="80" w:type="dxa"/>
            </w:tcMar>
            <w:vAlign w:val="center"/>
          </w:tcPr>
          <w:p>
            <w:pPr>
              <w:pStyle w:val="TableContents"/>
              <w:bidi w:val="0"/>
              <w:spacing w:before="0" w:after="0"/>
              <w:jc w:val="center"/>
              <w:rPr>
                <w:rFonts w:ascii="arial" w:hAnsi="arial"/>
                <w:b/>
                <w:color w:val="00AE4F"/>
                <w:sz w:val="16"/>
              </w:rPr>
            </w:pPr>
            <w:r>
              <w:rPr>
                <w:rFonts w:ascii="arial" w:hAnsi="arial"/>
                <w:b/>
                <w:color w:val="00AE4F"/>
                <w:sz w:val="16"/>
              </w:rPr>
              <w:t>Number of</w:t>
              <w:br/>
              <w:t>Shares</w:t>
              <w:br/>
              <w:t>Acquired on</w:t>
              <w:br/>
              <w:t>Vesting</w:t>
            </w:r>
          </w:p>
          <w:p>
            <w:pPr>
              <w:pStyle w:val="TableContents"/>
              <w:bidi w:val="0"/>
              <w:spacing w:before="0" w:after="20"/>
              <w:jc w:val="center"/>
              <w:rPr>
                <w:rFonts w:ascii="arial" w:hAnsi="arial"/>
                <w:b/>
                <w:color w:val="00AE4F"/>
                <w:sz w:val="16"/>
              </w:rPr>
            </w:pPr>
            <w:r>
              <w:rPr>
                <w:rFonts w:ascii="arial" w:hAnsi="arial"/>
                <w:b/>
                <w:color w:val="00AE4F"/>
                <w:sz w:val="16"/>
              </w:rPr>
              <w:t>(#)</w:t>
            </w:r>
          </w:p>
        </w:tc>
        <w:tc>
          <w:tcPr>
            <w:tcW w:w="23" w:type="dxa"/>
            <w:tcBorders>
              <w:bottom w:val="single" w:sz="8" w:space="0" w:color="33302B"/>
            </w:tcBorders>
            <w:tcMar>
              <w:bottom w:w="28" w:type="dxa"/>
            </w:tcMar>
            <w:vAlign w:val="center"/>
          </w:tcPr>
          <w:p>
            <w:pPr>
              <w:pStyle w:val="TableContents"/>
              <w:bidi w:val="0"/>
              <w:spacing w:before="0" w:after="283"/>
              <w:jc w:val="left"/>
              <w:rPr>
                <w:sz w:val="4"/>
                <w:szCs w:val="4"/>
              </w:rPr>
            </w:pPr>
            <w:r>
              <w:rPr>
                <w:sz w:val="4"/>
                <w:szCs w:val="4"/>
              </w:rPr>
            </w:r>
          </w:p>
        </w:tc>
        <w:tc>
          <w:tcPr>
            <w:tcW w:w="1138" w:type="dxa"/>
            <w:gridSpan w:val="4"/>
            <w:tcBorders>
              <w:bottom w:val="single" w:sz="8" w:space="0" w:color="33302B"/>
            </w:tcBorders>
            <w:tcMar>
              <w:bottom w:w="80" w:type="dxa"/>
            </w:tcMar>
            <w:vAlign w:val="center"/>
          </w:tcPr>
          <w:p>
            <w:pPr>
              <w:pStyle w:val="TableContents"/>
              <w:bidi w:val="0"/>
              <w:spacing w:before="0" w:after="0"/>
              <w:jc w:val="center"/>
              <w:rPr>
                <w:rFonts w:ascii="arial" w:hAnsi="arial"/>
                <w:b/>
                <w:color w:val="00AE4F"/>
                <w:sz w:val="16"/>
              </w:rPr>
            </w:pPr>
            <w:r>
              <w:rPr>
                <w:rFonts w:ascii="arial" w:hAnsi="arial"/>
                <w:b/>
                <w:color w:val="00AE4F"/>
                <w:sz w:val="16"/>
              </w:rPr>
              <w:t>Value</w:t>
              <w:br/>
              <w:t>Realized on</w:t>
              <w:br/>
              <w:t>Vesting(1)</w:t>
            </w:r>
          </w:p>
          <w:p>
            <w:pPr>
              <w:pStyle w:val="TableContents"/>
              <w:bidi w:val="0"/>
              <w:spacing w:before="0" w:after="20"/>
              <w:jc w:val="center"/>
              <w:rPr>
                <w:rFonts w:ascii="arial" w:hAnsi="arial"/>
                <w:b/>
                <w:color w:val="00AE4F"/>
                <w:sz w:val="16"/>
              </w:rPr>
            </w:pPr>
            <w:r>
              <w:rPr>
                <w:rFonts w:ascii="arial" w:hAnsi="arial"/>
                <w:b/>
                <w:color w:val="00AE4F"/>
                <w:sz w:val="16"/>
              </w:rPr>
              <w:t>($)</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984" w:type="dxa"/>
            <w:gridSpan w:val="5"/>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1161"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Christopher D. Layden</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7F7F7F"/>
            </w:tcBorders>
            <w:tcMar>
              <w:bottom w:w="80" w:type="dxa"/>
            </w:tcMar>
            <w:vAlign w:val="center"/>
          </w:tcPr>
          <w:p>
            <w:pPr>
              <w:pStyle w:val="TableContents"/>
              <w:bidi w:val="0"/>
              <w:spacing w:before="0" w:after="283"/>
              <w:jc w:val="left"/>
              <w:rPr/>
            </w:pPr>
            <w:r>
              <w:rPr/>
              <w:t> </w:t>
            </w:r>
          </w:p>
        </w:tc>
        <w:tc>
          <w:tcPr>
            <w:tcW w:w="642" w:type="dxa"/>
            <w:tcBorders>
              <w:bottom w:val="single" w:sz="6" w:space="0" w:color="7F7F7F"/>
            </w:tcBorders>
            <w:tcMar>
              <w:bottom w:w="80" w:type="dxa"/>
            </w:tcMar>
            <w:vAlign w:val="center"/>
          </w:tcPr>
          <w:p>
            <w:pPr>
              <w:pStyle w:val="TableContents"/>
              <w:bidi w:val="0"/>
              <w:spacing w:before="0" w:after="283"/>
              <w:jc w:val="center"/>
              <w:rPr/>
            </w:pPr>
            <w:r>
              <w:rPr/>
              <w:t>— </w:t>
            </w:r>
          </w:p>
        </w:tc>
        <w:tc>
          <w:tcPr>
            <w:tcW w:w="150" w:type="dxa"/>
            <w:tcBorders>
              <w:bottom w:val="single" w:sz="6" w:space="0" w:color="7F7F7F"/>
            </w:tcBorders>
            <w:tcMar>
              <w:bottom w:w="80" w:type="dxa"/>
            </w:tcMar>
            <w:vAlign w:val="center"/>
          </w:tcPr>
          <w:p>
            <w:pPr>
              <w:pStyle w:val="TableContents"/>
              <w:bidi w:val="0"/>
              <w:spacing w:before="0" w:after="283"/>
              <w:jc w:val="left"/>
              <w:rPr/>
            </w:pPr>
            <w:r>
              <w:rPr/>
              <w:t> </w:t>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single" w:sz="6" w:space="0" w:color="7F7F7F"/>
            </w:tcBorders>
            <w:tcMar>
              <w:bottom w:w="80" w:type="dxa"/>
            </w:tcMar>
            <w:vAlign w:val="center"/>
          </w:tcPr>
          <w:p>
            <w:pPr>
              <w:pStyle w:val="TableContents"/>
              <w:bidi w:val="0"/>
              <w:spacing w:before="0" w:after="283"/>
              <w:jc w:val="left"/>
              <w:rPr/>
            </w:pPr>
            <w:r>
              <w:rPr/>
              <w:t> </w:t>
            </w:r>
          </w:p>
        </w:tc>
        <w:tc>
          <w:tcPr>
            <w:tcW w:w="612" w:type="dxa"/>
            <w:tcBorders>
              <w:bottom w:val="single" w:sz="6" w:space="0" w:color="7F7F7F"/>
            </w:tcBorders>
            <w:tcMar>
              <w:bottom w:w="80" w:type="dxa"/>
            </w:tcMar>
            <w:vAlign w:val="center"/>
          </w:tcPr>
          <w:p>
            <w:pPr>
              <w:pStyle w:val="TableContents"/>
              <w:bidi w:val="0"/>
              <w:spacing w:before="0" w:after="283"/>
              <w:jc w:val="center"/>
              <w:rPr/>
            </w:pPr>
            <w:r>
              <w:rPr/>
              <w:t>— </w:t>
            </w:r>
          </w:p>
        </w:tc>
        <w:tc>
          <w:tcPr>
            <w:tcW w:w="143"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7F7F7F"/>
            </w:tcBorders>
            <w:tcMar>
              <w:bottom w:w="80" w:type="dxa"/>
            </w:tcMar>
            <w:vAlign w:val="center"/>
          </w:tcPr>
          <w:p>
            <w:pPr>
              <w:pStyle w:val="TableContents"/>
              <w:bidi w:val="0"/>
              <w:spacing w:before="0" w:after="283"/>
              <w:jc w:val="left"/>
              <w:rPr/>
            </w:pPr>
            <w:r>
              <w:rPr/>
              <w:t> </w:t>
            </w:r>
          </w:p>
        </w:tc>
        <w:tc>
          <w:tcPr>
            <w:tcW w:w="822" w:type="dxa"/>
            <w:tcBorders>
              <w:bottom w:val="single" w:sz="6" w:space="0" w:color="7F7F7F"/>
            </w:tcBorders>
            <w:tcMar>
              <w:bottom w:w="80" w:type="dxa"/>
            </w:tcMar>
            <w:vAlign w:val="center"/>
          </w:tcPr>
          <w:p>
            <w:pPr>
              <w:pStyle w:val="TableContents"/>
              <w:bidi w:val="0"/>
              <w:spacing w:before="0" w:after="283"/>
              <w:jc w:val="center"/>
              <w:rPr/>
            </w:pPr>
            <w:r>
              <w:rPr/>
              <w:t>—</w:t>
            </w:r>
          </w:p>
        </w:tc>
        <w:tc>
          <w:tcPr>
            <w:tcW w:w="74"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center"/>
              <w:rPr/>
            </w:pPr>
            <w:r>
              <w:rPr/>
              <w:t>—</w:t>
            </w:r>
          </w:p>
        </w:tc>
        <w:tc>
          <w:tcPr>
            <w:tcW w:w="75" w:type="dxa"/>
            <w:tcBorders>
              <w:bottom w:val="single" w:sz="6" w:space="0" w:color="7F7F7F"/>
            </w:tcBorders>
            <w:tcMar>
              <w:bottom w:w="80" w:type="dxa"/>
            </w:tcM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984" w:type="dxa"/>
            <w:gridSpan w:val="5"/>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1161"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Troy R. Anderson</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7F7F7F"/>
            </w:tcBorders>
            <w:tcMar>
              <w:bottom w:w="80" w:type="dxa"/>
            </w:tcMar>
            <w:vAlign w:val="center"/>
          </w:tcPr>
          <w:p>
            <w:pPr>
              <w:pStyle w:val="TableContents"/>
              <w:bidi w:val="0"/>
              <w:spacing w:before="0" w:after="283"/>
              <w:jc w:val="left"/>
              <w:rPr/>
            </w:pPr>
            <w:r>
              <w:rPr/>
              <w:t> </w:t>
            </w:r>
          </w:p>
        </w:tc>
        <w:tc>
          <w:tcPr>
            <w:tcW w:w="642" w:type="dxa"/>
            <w:tcBorders>
              <w:bottom w:val="single" w:sz="6" w:space="0" w:color="7F7F7F"/>
            </w:tcBorders>
            <w:tcMar>
              <w:bottom w:w="80" w:type="dxa"/>
            </w:tcMar>
            <w:vAlign w:val="center"/>
          </w:tcPr>
          <w:p>
            <w:pPr>
              <w:pStyle w:val="TableContents"/>
              <w:bidi w:val="0"/>
              <w:spacing w:before="0" w:after="283"/>
              <w:jc w:val="center"/>
              <w:rPr/>
            </w:pPr>
            <w:r>
              <w:rPr/>
              <w:t>— </w:t>
            </w:r>
          </w:p>
        </w:tc>
        <w:tc>
          <w:tcPr>
            <w:tcW w:w="150" w:type="dxa"/>
            <w:tcBorders>
              <w:bottom w:val="single" w:sz="6" w:space="0" w:color="7F7F7F"/>
            </w:tcBorders>
            <w:tcMar>
              <w:bottom w:w="80" w:type="dxa"/>
            </w:tcMar>
            <w:vAlign w:val="center"/>
          </w:tcPr>
          <w:p>
            <w:pPr>
              <w:pStyle w:val="TableContents"/>
              <w:bidi w:val="0"/>
              <w:spacing w:before="0" w:after="283"/>
              <w:jc w:val="left"/>
              <w:rPr/>
            </w:pPr>
            <w:r>
              <w:rPr/>
              <w:t> </w:t>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single" w:sz="6" w:space="0" w:color="7F7F7F"/>
            </w:tcBorders>
            <w:tcMar>
              <w:bottom w:w="80" w:type="dxa"/>
            </w:tcMar>
            <w:vAlign w:val="center"/>
          </w:tcPr>
          <w:p>
            <w:pPr>
              <w:pStyle w:val="TableContents"/>
              <w:bidi w:val="0"/>
              <w:spacing w:before="0" w:after="283"/>
              <w:jc w:val="left"/>
              <w:rPr/>
            </w:pPr>
            <w:r>
              <w:rPr/>
              <w:t> </w:t>
            </w:r>
          </w:p>
        </w:tc>
        <w:tc>
          <w:tcPr>
            <w:tcW w:w="612" w:type="dxa"/>
            <w:tcBorders>
              <w:bottom w:val="single" w:sz="6" w:space="0" w:color="7F7F7F"/>
            </w:tcBorders>
            <w:tcMar>
              <w:bottom w:w="80" w:type="dxa"/>
            </w:tcMar>
            <w:vAlign w:val="center"/>
          </w:tcPr>
          <w:p>
            <w:pPr>
              <w:pStyle w:val="TableContents"/>
              <w:bidi w:val="0"/>
              <w:spacing w:before="0" w:after="283"/>
              <w:jc w:val="center"/>
              <w:rPr/>
            </w:pPr>
            <w:r>
              <w:rPr/>
              <w:t>— </w:t>
            </w:r>
          </w:p>
        </w:tc>
        <w:tc>
          <w:tcPr>
            <w:tcW w:w="143"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7F7F7F"/>
            </w:tcBorders>
            <w:tcMar>
              <w:bottom w:w="80" w:type="dxa"/>
            </w:tcMar>
            <w:vAlign w:val="center"/>
          </w:tcPr>
          <w:p>
            <w:pPr>
              <w:pStyle w:val="TableContents"/>
              <w:bidi w:val="0"/>
              <w:spacing w:before="0" w:after="283"/>
              <w:jc w:val="left"/>
              <w:rPr/>
            </w:pPr>
            <w:r>
              <w:rPr/>
              <w:t> </w:t>
            </w:r>
          </w:p>
        </w:tc>
        <w:tc>
          <w:tcPr>
            <w:tcW w:w="822" w:type="dxa"/>
            <w:tcBorders>
              <w:bottom w:val="single" w:sz="6" w:space="0" w:color="7F7F7F"/>
            </w:tcBorders>
            <w:tcMar>
              <w:bottom w:w="80" w:type="dxa"/>
            </w:tcMar>
            <w:vAlign w:val="center"/>
          </w:tcPr>
          <w:p>
            <w:pPr>
              <w:pStyle w:val="TableContents"/>
              <w:bidi w:val="0"/>
              <w:spacing w:before="0" w:after="283"/>
              <w:jc w:val="center"/>
              <w:rPr/>
            </w:pPr>
            <w:r>
              <w:rPr/>
              <w:t>86,122</w:t>
            </w:r>
          </w:p>
        </w:tc>
        <w:tc>
          <w:tcPr>
            <w:tcW w:w="74"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center"/>
              <w:rPr/>
            </w:pPr>
            <w:r>
              <w:rPr/>
              <w:t>1,067,913</w:t>
            </w:r>
          </w:p>
        </w:tc>
        <w:tc>
          <w:tcPr>
            <w:tcW w:w="75" w:type="dxa"/>
            <w:tcBorders>
              <w:bottom w:val="single" w:sz="6" w:space="0" w:color="7F7F7F"/>
            </w:tcBorders>
            <w:tcMar>
              <w:bottom w:w="80" w:type="dxa"/>
            </w:tcM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984" w:type="dxa"/>
            <w:gridSpan w:val="5"/>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1161"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Tammy L. Browning</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7F7F7F"/>
            </w:tcBorders>
            <w:tcMar>
              <w:bottom w:w="80" w:type="dxa"/>
            </w:tcMar>
            <w:vAlign w:val="center"/>
          </w:tcPr>
          <w:p>
            <w:pPr>
              <w:pStyle w:val="TableContents"/>
              <w:bidi w:val="0"/>
              <w:spacing w:before="0" w:after="283"/>
              <w:jc w:val="left"/>
              <w:rPr/>
            </w:pPr>
            <w:r>
              <w:rPr/>
              <w:t> </w:t>
            </w:r>
          </w:p>
        </w:tc>
        <w:tc>
          <w:tcPr>
            <w:tcW w:w="642" w:type="dxa"/>
            <w:tcBorders>
              <w:bottom w:val="single" w:sz="6" w:space="0" w:color="7F7F7F"/>
            </w:tcBorders>
            <w:tcMar>
              <w:bottom w:w="80" w:type="dxa"/>
            </w:tcMar>
            <w:vAlign w:val="center"/>
          </w:tcPr>
          <w:p>
            <w:pPr>
              <w:pStyle w:val="TableContents"/>
              <w:bidi w:val="0"/>
              <w:spacing w:before="0" w:after="283"/>
              <w:jc w:val="center"/>
              <w:rPr/>
            </w:pPr>
            <w:r>
              <w:rPr/>
              <w:t>— </w:t>
            </w:r>
          </w:p>
        </w:tc>
        <w:tc>
          <w:tcPr>
            <w:tcW w:w="150" w:type="dxa"/>
            <w:tcBorders>
              <w:bottom w:val="single" w:sz="6" w:space="0" w:color="7F7F7F"/>
            </w:tcBorders>
            <w:tcMar>
              <w:bottom w:w="80" w:type="dxa"/>
            </w:tcMar>
            <w:vAlign w:val="center"/>
          </w:tcPr>
          <w:p>
            <w:pPr>
              <w:pStyle w:val="TableContents"/>
              <w:bidi w:val="0"/>
              <w:spacing w:before="0" w:after="283"/>
              <w:jc w:val="left"/>
              <w:rPr/>
            </w:pPr>
            <w:r>
              <w:rPr/>
              <w:t> </w:t>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single" w:sz="6" w:space="0" w:color="7F7F7F"/>
            </w:tcBorders>
            <w:tcMar>
              <w:bottom w:w="80" w:type="dxa"/>
            </w:tcMar>
            <w:vAlign w:val="center"/>
          </w:tcPr>
          <w:p>
            <w:pPr>
              <w:pStyle w:val="TableContents"/>
              <w:bidi w:val="0"/>
              <w:spacing w:before="0" w:after="283"/>
              <w:jc w:val="left"/>
              <w:rPr/>
            </w:pPr>
            <w:r>
              <w:rPr/>
              <w:t> </w:t>
            </w:r>
          </w:p>
        </w:tc>
        <w:tc>
          <w:tcPr>
            <w:tcW w:w="612" w:type="dxa"/>
            <w:tcBorders>
              <w:bottom w:val="single" w:sz="6" w:space="0" w:color="7F7F7F"/>
            </w:tcBorders>
            <w:tcMar>
              <w:bottom w:w="80" w:type="dxa"/>
            </w:tcMar>
            <w:vAlign w:val="center"/>
          </w:tcPr>
          <w:p>
            <w:pPr>
              <w:pStyle w:val="TableContents"/>
              <w:bidi w:val="0"/>
              <w:spacing w:before="0" w:after="283"/>
              <w:jc w:val="center"/>
              <w:rPr/>
            </w:pPr>
            <w:r>
              <w:rPr/>
              <w:t>— </w:t>
            </w:r>
          </w:p>
        </w:tc>
        <w:tc>
          <w:tcPr>
            <w:tcW w:w="143"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7F7F7F"/>
            </w:tcBorders>
            <w:tcMar>
              <w:bottom w:w="80" w:type="dxa"/>
            </w:tcMar>
            <w:vAlign w:val="center"/>
          </w:tcPr>
          <w:p>
            <w:pPr>
              <w:pStyle w:val="TableContents"/>
              <w:bidi w:val="0"/>
              <w:spacing w:before="0" w:after="283"/>
              <w:jc w:val="left"/>
              <w:rPr/>
            </w:pPr>
            <w:r>
              <w:rPr/>
              <w:t> </w:t>
            </w:r>
          </w:p>
        </w:tc>
        <w:tc>
          <w:tcPr>
            <w:tcW w:w="822" w:type="dxa"/>
            <w:tcBorders>
              <w:bottom w:val="single" w:sz="6" w:space="0" w:color="7F7F7F"/>
            </w:tcBorders>
            <w:tcMar>
              <w:bottom w:w="80" w:type="dxa"/>
            </w:tcMar>
            <w:vAlign w:val="center"/>
          </w:tcPr>
          <w:p>
            <w:pPr>
              <w:pStyle w:val="TableContents"/>
              <w:bidi w:val="0"/>
              <w:spacing w:before="0" w:after="283"/>
              <w:jc w:val="center"/>
              <w:rPr/>
            </w:pPr>
            <w:r>
              <w:rPr/>
              <w:t>13,035</w:t>
            </w:r>
          </w:p>
        </w:tc>
        <w:tc>
          <w:tcPr>
            <w:tcW w:w="74"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center"/>
              <w:rPr/>
            </w:pPr>
            <w:r>
              <w:rPr/>
              <w:t>177,929</w:t>
            </w:r>
          </w:p>
        </w:tc>
        <w:tc>
          <w:tcPr>
            <w:tcW w:w="75" w:type="dxa"/>
            <w:tcBorders>
              <w:bottom w:val="single" w:sz="6" w:space="0" w:color="7F7F7F"/>
            </w:tcBorders>
            <w:tcMar>
              <w:bottom w:w="80" w:type="dxa"/>
            </w:tcM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984" w:type="dxa"/>
            <w:gridSpan w:val="5"/>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1161"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Vanessa P. Williams</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7F7F7F"/>
            </w:tcBorders>
            <w:tcMar>
              <w:bottom w:w="80" w:type="dxa"/>
            </w:tcMar>
            <w:vAlign w:val="center"/>
          </w:tcPr>
          <w:p>
            <w:pPr>
              <w:pStyle w:val="TableContents"/>
              <w:bidi w:val="0"/>
              <w:spacing w:before="0" w:after="283"/>
              <w:jc w:val="left"/>
              <w:rPr/>
            </w:pPr>
            <w:r>
              <w:rPr/>
              <w:t> </w:t>
            </w:r>
          </w:p>
        </w:tc>
        <w:tc>
          <w:tcPr>
            <w:tcW w:w="642" w:type="dxa"/>
            <w:tcBorders>
              <w:bottom w:val="single" w:sz="6" w:space="0" w:color="7F7F7F"/>
            </w:tcBorders>
            <w:tcMar>
              <w:bottom w:w="80" w:type="dxa"/>
            </w:tcMar>
            <w:vAlign w:val="center"/>
          </w:tcPr>
          <w:p>
            <w:pPr>
              <w:pStyle w:val="TableContents"/>
              <w:bidi w:val="0"/>
              <w:spacing w:before="0" w:after="283"/>
              <w:jc w:val="center"/>
              <w:rPr/>
            </w:pPr>
            <w:r>
              <w:rPr/>
              <w:t>— </w:t>
            </w:r>
          </w:p>
        </w:tc>
        <w:tc>
          <w:tcPr>
            <w:tcW w:w="150" w:type="dxa"/>
            <w:tcBorders>
              <w:bottom w:val="single" w:sz="6" w:space="0" w:color="7F7F7F"/>
            </w:tcBorders>
            <w:tcMar>
              <w:bottom w:w="80" w:type="dxa"/>
            </w:tcMar>
            <w:vAlign w:val="center"/>
          </w:tcPr>
          <w:p>
            <w:pPr>
              <w:pStyle w:val="TableContents"/>
              <w:bidi w:val="0"/>
              <w:spacing w:before="0" w:after="283"/>
              <w:jc w:val="left"/>
              <w:rPr/>
            </w:pPr>
            <w:r>
              <w:rPr/>
              <w:t> </w:t>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single" w:sz="6" w:space="0" w:color="7F7F7F"/>
            </w:tcBorders>
            <w:tcMar>
              <w:bottom w:w="80" w:type="dxa"/>
            </w:tcMar>
            <w:vAlign w:val="center"/>
          </w:tcPr>
          <w:p>
            <w:pPr>
              <w:pStyle w:val="TableContents"/>
              <w:bidi w:val="0"/>
              <w:spacing w:before="0" w:after="283"/>
              <w:jc w:val="left"/>
              <w:rPr/>
            </w:pPr>
            <w:r>
              <w:rPr/>
              <w:t> </w:t>
            </w:r>
          </w:p>
        </w:tc>
        <w:tc>
          <w:tcPr>
            <w:tcW w:w="612" w:type="dxa"/>
            <w:tcBorders>
              <w:bottom w:val="single" w:sz="6" w:space="0" w:color="7F7F7F"/>
            </w:tcBorders>
            <w:tcMar>
              <w:bottom w:w="80" w:type="dxa"/>
            </w:tcMar>
            <w:vAlign w:val="center"/>
          </w:tcPr>
          <w:p>
            <w:pPr>
              <w:pStyle w:val="TableContents"/>
              <w:bidi w:val="0"/>
              <w:spacing w:before="0" w:after="283"/>
              <w:jc w:val="center"/>
              <w:rPr/>
            </w:pPr>
            <w:r>
              <w:rPr/>
              <w:t>— </w:t>
            </w:r>
          </w:p>
        </w:tc>
        <w:tc>
          <w:tcPr>
            <w:tcW w:w="143"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7F7F7F"/>
            </w:tcBorders>
            <w:tcMar>
              <w:bottom w:w="80" w:type="dxa"/>
            </w:tcMar>
            <w:vAlign w:val="center"/>
          </w:tcPr>
          <w:p>
            <w:pPr>
              <w:pStyle w:val="TableContents"/>
              <w:bidi w:val="0"/>
              <w:spacing w:before="0" w:after="283"/>
              <w:jc w:val="left"/>
              <w:rPr/>
            </w:pPr>
            <w:r>
              <w:rPr/>
              <w:t> </w:t>
            </w:r>
          </w:p>
        </w:tc>
        <w:tc>
          <w:tcPr>
            <w:tcW w:w="822" w:type="dxa"/>
            <w:tcBorders>
              <w:bottom w:val="single" w:sz="6" w:space="0" w:color="7F7F7F"/>
            </w:tcBorders>
            <w:tcMar>
              <w:bottom w:w="80" w:type="dxa"/>
            </w:tcMar>
            <w:vAlign w:val="center"/>
          </w:tcPr>
          <w:p>
            <w:pPr>
              <w:pStyle w:val="TableContents"/>
              <w:bidi w:val="0"/>
              <w:spacing w:before="0" w:after="283"/>
              <w:jc w:val="center"/>
              <w:rPr/>
            </w:pPr>
            <w:r>
              <w:rPr/>
              <w:t>20,809</w:t>
            </w:r>
          </w:p>
        </w:tc>
        <w:tc>
          <w:tcPr>
            <w:tcW w:w="74"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center"/>
              <w:rPr/>
            </w:pPr>
            <w:r>
              <w:rPr/>
              <w:t>284,741</w:t>
            </w:r>
          </w:p>
        </w:tc>
        <w:tc>
          <w:tcPr>
            <w:tcW w:w="75" w:type="dxa"/>
            <w:tcBorders>
              <w:bottom w:val="single" w:sz="6" w:space="0" w:color="7F7F7F"/>
            </w:tcBorders>
            <w:tcMar>
              <w:bottom w:w="80" w:type="dxa"/>
            </w:tcM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984" w:type="dxa"/>
            <w:gridSpan w:val="5"/>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1161"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Nicola M. Soares</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42"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50"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single" w:sz="6" w:space="0" w:color="7F7F7F"/>
            </w:tcBorders>
            <w:tcMar>
              <w:bottom w:w="80" w:type="dxa"/>
            </w:tcMar>
            <w:vAlign w:val="center"/>
          </w:tcPr>
          <w:p>
            <w:pPr>
              <w:pStyle w:val="TableContents"/>
              <w:bidi w:val="0"/>
              <w:spacing w:before="0" w:after="283"/>
              <w:jc w:val="left"/>
              <w:rPr/>
            </w:pPr>
            <w:r>
              <w:rPr/>
              <w:t> </w:t>
            </w:r>
          </w:p>
        </w:tc>
        <w:tc>
          <w:tcPr>
            <w:tcW w:w="612" w:type="dxa"/>
            <w:tcBorders>
              <w:bottom w:val="single" w:sz="6" w:space="0" w:color="7F7F7F"/>
            </w:tcBorders>
            <w:tcMar>
              <w:bottom w:w="80" w:type="dxa"/>
            </w:tcMar>
            <w:vAlign w:val="center"/>
          </w:tcPr>
          <w:p>
            <w:pPr>
              <w:pStyle w:val="TableContents"/>
              <w:bidi w:val="0"/>
              <w:spacing w:before="0" w:after="283"/>
              <w:jc w:val="center"/>
              <w:rPr/>
            </w:pPr>
            <w:r>
              <w:rPr/>
              <w:t>— </w:t>
            </w:r>
          </w:p>
        </w:tc>
        <w:tc>
          <w:tcPr>
            <w:tcW w:w="143"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7F7F7F"/>
            </w:tcBorders>
            <w:tcMar>
              <w:bottom w:w="80" w:type="dxa"/>
            </w:tcMar>
            <w:vAlign w:val="center"/>
          </w:tcPr>
          <w:p>
            <w:pPr>
              <w:pStyle w:val="TableContents"/>
              <w:bidi w:val="0"/>
              <w:spacing w:before="0" w:after="283"/>
              <w:jc w:val="left"/>
              <w:rPr/>
            </w:pPr>
            <w:r>
              <w:rPr/>
              <w:t> </w:t>
            </w:r>
          </w:p>
        </w:tc>
        <w:tc>
          <w:tcPr>
            <w:tcW w:w="822" w:type="dxa"/>
            <w:tcBorders>
              <w:bottom w:val="single" w:sz="6" w:space="0" w:color="7F7F7F"/>
            </w:tcBorders>
            <w:tcMar>
              <w:bottom w:w="80" w:type="dxa"/>
            </w:tcMar>
            <w:vAlign w:val="center"/>
          </w:tcPr>
          <w:p>
            <w:pPr>
              <w:pStyle w:val="TableContents"/>
              <w:bidi w:val="0"/>
              <w:spacing w:before="0" w:after="283"/>
              <w:jc w:val="center"/>
              <w:rPr/>
            </w:pPr>
            <w:r>
              <w:rPr/>
              <w:t>12,271</w:t>
            </w:r>
          </w:p>
        </w:tc>
        <w:tc>
          <w:tcPr>
            <w:tcW w:w="74"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center"/>
              <w:rPr/>
            </w:pPr>
            <w:r>
              <w:rPr/>
              <w:t>167,552</w:t>
            </w:r>
          </w:p>
        </w:tc>
        <w:tc>
          <w:tcPr>
            <w:tcW w:w="75" w:type="dxa"/>
            <w:tcBorders>
              <w:bottom w:val="single" w:sz="6" w:space="0" w:color="7F7F7F"/>
            </w:tcBorders>
            <w:tcMar>
              <w:bottom w:w="80" w:type="dxa"/>
            </w:tcM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984" w:type="dxa"/>
            <w:gridSpan w:val="5"/>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1161"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0"/>
              <w:jc w:val="left"/>
              <w:rPr>
                <w:rFonts w:ascii="arial" w:hAnsi="arial"/>
                <w:i/>
                <w:sz w:val="16"/>
                <w:u w:val="single"/>
              </w:rPr>
            </w:pPr>
            <w:r>
              <w:rPr>
                <w:rFonts w:ascii="arial" w:hAnsi="arial"/>
                <w:i/>
                <w:sz w:val="16"/>
                <w:u w:val="single"/>
              </w:rPr>
              <w:t>Former Executive</w:t>
            </w:r>
          </w:p>
        </w:tc>
        <w:tc>
          <w:tcPr>
            <w:tcW w:w="23" w:type="dxa"/>
            <w:tcBorders/>
            <w:vAlign w:val="center"/>
          </w:tcPr>
          <w:p>
            <w:pPr>
              <w:pStyle w:val="TableContents"/>
              <w:bidi w:val="0"/>
              <w:spacing w:before="0" w:after="283"/>
              <w:jc w:val="left"/>
              <w:rPr>
                <w:sz w:val="4"/>
                <w:szCs w:val="4"/>
              </w:rPr>
            </w:pPr>
            <w:r>
              <w:rPr>
                <w:sz w:val="4"/>
                <w:szCs w:val="4"/>
              </w:rPr>
            </w:r>
          </w:p>
        </w:tc>
        <w:tc>
          <w:tcPr>
            <w:tcW w:w="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984" w:type="dxa"/>
            <w:gridSpan w:val="5"/>
            <w:tcBorders/>
            <w:vAlign w:val="center"/>
          </w:tcPr>
          <w:p>
            <w:pPr>
              <w:pStyle w:val="TableContents"/>
              <w:bidi w:val="0"/>
              <w:spacing w:before="0" w:after="283"/>
              <w:jc w:val="left"/>
              <w:rPr>
                <w:sz w:val="4"/>
                <w:szCs w:val="4"/>
              </w:rPr>
            </w:pPr>
            <w:r>
              <w:rPr>
                <w:sz w:val="4"/>
                <w:szCs w:val="4"/>
              </w:rPr>
            </w:r>
          </w:p>
        </w:tc>
        <w:tc>
          <w:tcPr>
            <w:tcW w:w="1018" w:type="dxa"/>
            <w:gridSpan w:val="5"/>
            <w:tcBorders/>
            <w:vAlign w:val="center"/>
          </w:tcPr>
          <w:p>
            <w:pPr>
              <w:pStyle w:val="TableContents"/>
              <w:bidi w:val="0"/>
              <w:spacing w:before="0" w:after="283"/>
              <w:jc w:val="left"/>
              <w:rPr>
                <w:sz w:val="4"/>
                <w:szCs w:val="4"/>
              </w:rPr>
            </w:pPr>
            <w:r>
              <w:rPr>
                <w:sz w:val="4"/>
                <w:szCs w:val="4"/>
              </w:rPr>
            </w:r>
          </w:p>
        </w:tc>
        <w:tc>
          <w:tcPr>
            <w:tcW w:w="1161"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i/>
                <w:sz w:val="16"/>
              </w:rPr>
            </w:pPr>
            <w:r>
              <w:rPr>
                <w:rFonts w:ascii="arial" w:hAnsi="arial"/>
                <w:i/>
                <w:sz w:val="16"/>
              </w:rPr>
              <w:t>Peter W. Quigley</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7" w:type="dxa"/>
            <w:tcBorders>
              <w:bottom w:val="single" w:sz="6" w:space="0" w:color="7F7F7F"/>
            </w:tcBorders>
            <w:tcMar>
              <w:bottom w:w="80" w:type="dxa"/>
            </w:tcMar>
            <w:vAlign w:val="center"/>
          </w:tcPr>
          <w:p>
            <w:pPr>
              <w:pStyle w:val="TableContents"/>
              <w:bidi w:val="0"/>
              <w:spacing w:before="0" w:after="283"/>
              <w:jc w:val="left"/>
              <w:rPr/>
            </w:pPr>
            <w:r>
              <w:rPr/>
              <w:t> </w:t>
            </w:r>
          </w:p>
        </w:tc>
        <w:tc>
          <w:tcPr>
            <w:tcW w:w="642" w:type="dxa"/>
            <w:tcBorders>
              <w:bottom w:val="single" w:sz="6" w:space="0" w:color="7F7F7F"/>
            </w:tcBorders>
            <w:tcMar>
              <w:bottom w:w="80" w:type="dxa"/>
            </w:tcMar>
            <w:vAlign w:val="center"/>
          </w:tcPr>
          <w:p>
            <w:pPr>
              <w:pStyle w:val="TableContents"/>
              <w:bidi w:val="0"/>
              <w:spacing w:before="0" w:after="283"/>
              <w:jc w:val="center"/>
              <w:rPr/>
            </w:pPr>
            <w:r>
              <w:rPr/>
              <w:t>— </w:t>
            </w:r>
          </w:p>
        </w:tc>
        <w:tc>
          <w:tcPr>
            <w:tcW w:w="150" w:type="dxa"/>
            <w:tcBorders>
              <w:bottom w:val="single" w:sz="6" w:space="0" w:color="7F7F7F"/>
            </w:tcBorders>
            <w:tcMar>
              <w:bottom w:w="80" w:type="dxa"/>
            </w:tcMar>
            <w:vAlign w:val="center"/>
          </w:tcPr>
          <w:p>
            <w:pPr>
              <w:pStyle w:val="TableContents"/>
              <w:bidi w:val="0"/>
              <w:spacing w:before="0" w:after="283"/>
              <w:jc w:val="left"/>
              <w:rPr/>
            </w:pPr>
            <w:r>
              <w:rPr/>
              <w:t> </w:t>
            </w:r>
          </w:p>
        </w:tc>
        <w:tc>
          <w:tcPr>
            <w:tcW w:w="3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single" w:sz="6" w:space="0" w:color="7F7F7F"/>
            </w:tcBorders>
            <w:tcMar>
              <w:bottom w:w="80" w:type="dxa"/>
            </w:tcMar>
            <w:vAlign w:val="center"/>
          </w:tcPr>
          <w:p>
            <w:pPr>
              <w:pStyle w:val="TableContents"/>
              <w:bidi w:val="0"/>
              <w:spacing w:before="0" w:after="283"/>
              <w:jc w:val="left"/>
              <w:rPr/>
            </w:pPr>
            <w:r>
              <w:rPr/>
              <w:t> </w:t>
            </w:r>
          </w:p>
        </w:tc>
        <w:tc>
          <w:tcPr>
            <w:tcW w:w="612" w:type="dxa"/>
            <w:tcBorders>
              <w:bottom w:val="single" w:sz="6" w:space="0" w:color="7F7F7F"/>
            </w:tcBorders>
            <w:tcMar>
              <w:bottom w:w="80" w:type="dxa"/>
            </w:tcMar>
            <w:vAlign w:val="center"/>
          </w:tcPr>
          <w:p>
            <w:pPr>
              <w:pStyle w:val="TableContents"/>
              <w:bidi w:val="0"/>
              <w:spacing w:before="0" w:after="283"/>
              <w:jc w:val="center"/>
              <w:rPr/>
            </w:pPr>
            <w:r>
              <w:rPr/>
              <w:t>— </w:t>
            </w:r>
          </w:p>
        </w:tc>
        <w:tc>
          <w:tcPr>
            <w:tcW w:w="143"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7F7F7F"/>
            </w:tcBorders>
            <w:tcMar>
              <w:bottom w:w="80" w:type="dxa"/>
            </w:tcMar>
            <w:vAlign w:val="center"/>
          </w:tcPr>
          <w:p>
            <w:pPr>
              <w:pStyle w:val="TableContents"/>
              <w:bidi w:val="0"/>
              <w:spacing w:before="0" w:after="283"/>
              <w:jc w:val="left"/>
              <w:rPr/>
            </w:pPr>
            <w:r>
              <w:rPr/>
              <w:t> </w:t>
            </w:r>
          </w:p>
        </w:tc>
        <w:tc>
          <w:tcPr>
            <w:tcW w:w="822" w:type="dxa"/>
            <w:tcBorders>
              <w:bottom w:val="single" w:sz="6" w:space="0" w:color="7F7F7F"/>
            </w:tcBorders>
            <w:tcMar>
              <w:bottom w:w="80" w:type="dxa"/>
            </w:tcMar>
            <w:vAlign w:val="center"/>
          </w:tcPr>
          <w:p>
            <w:pPr>
              <w:pStyle w:val="TableContents"/>
              <w:bidi w:val="0"/>
              <w:spacing w:before="0" w:after="283"/>
              <w:jc w:val="center"/>
              <w:rPr/>
            </w:pPr>
            <w:r>
              <w:rPr/>
              <w:t>84,205</w:t>
            </w:r>
          </w:p>
        </w:tc>
        <w:tc>
          <w:tcPr>
            <w:tcW w:w="74"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center"/>
              <w:rPr/>
            </w:pPr>
            <w:r>
              <w:rPr/>
              <w:t>1,148,906</w:t>
            </w:r>
          </w:p>
        </w:tc>
        <w:tc>
          <w:tcPr>
            <w:tcW w:w="75" w:type="dxa"/>
            <w:tcBorders>
              <w:bottom w:val="single" w:sz="6" w:space="0" w:color="7F7F7F"/>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305"/>
        <w:gridCol w:w="7820"/>
      </w:tblGrid>
      <w:tr>
        <w:trPr/>
        <w:tc>
          <w:tcPr>
            <w:tcW w:w="305" w:type="dxa"/>
            <w:tcBorders/>
            <w:vAlign w:val="center"/>
          </w:tcPr>
          <w:p>
            <w:pPr>
              <w:pStyle w:val="TableContents"/>
              <w:bidi w:val="0"/>
              <w:spacing w:before="0" w:after="283"/>
              <w:jc w:val="left"/>
              <w:rPr/>
            </w:pPr>
            <w:r>
              <w:rPr/>
              <w:t>(1)</w:t>
            </w:r>
          </w:p>
        </w:tc>
        <w:tc>
          <w:tcPr>
            <w:tcW w:w="7820" w:type="dxa"/>
            <w:tcBorders/>
            <w:vAlign w:val="center"/>
          </w:tcPr>
          <w:p>
            <w:pPr>
              <w:pStyle w:val="TableContents"/>
              <w:bidi w:val="0"/>
              <w:spacing w:before="0" w:after="0"/>
              <w:jc w:val="left"/>
              <w:rPr>
                <w:rFonts w:ascii="arial" w:hAnsi="arial"/>
                <w:sz w:val="14"/>
              </w:rPr>
            </w:pPr>
            <w:r>
              <w:rPr>
                <w:rFonts w:ascii="arial" w:hAnsi="arial"/>
                <w:sz w:val="14"/>
              </w:rPr>
              <w:t xml:space="preserve">Value Realized on Vesting is calculated by multiplying the shares vested times the stock closing price on the day of vesting. </w:t>
            </w:r>
          </w:p>
        </w:tc>
      </w:tr>
    </w:tbl>
    <w:p>
      <w:pPr>
        <w:pStyle w:val="TextBody"/>
        <w:bidi w:val="0"/>
        <w:spacing w:before="360" w:after="0"/>
        <w:jc w:val="left"/>
        <w:rPr>
          <w:rFonts w:ascii="arial" w:hAnsi="arial"/>
          <w:b/>
          <w:sz w:val="24"/>
        </w:rPr>
      </w:pPr>
      <w:bookmarkStart w:id="94" w:name="toc37355_74"/>
      <w:bookmarkEnd w:id="94"/>
      <w:r>
        <w:rPr>
          <w:rFonts w:ascii="arial" w:hAnsi="arial"/>
          <w:b/>
          <w:sz w:val="24"/>
        </w:rPr>
        <w:t xml:space="preserve">Nonqualified Deferred Compensation 2025 </w:t>
      </w:r>
    </w:p>
    <w:p>
      <w:pPr>
        <w:pStyle w:val="TextBody"/>
        <w:bidi w:val="0"/>
        <w:spacing w:before="0" w:after="0"/>
        <w:jc w:val="left"/>
        <w:rPr/>
      </w:pPr>
      <w:r>
        <w:rPr/>
        <w:t> </w:t>
      </w:r>
    </w:p>
    <w:tbl>
      <w:tblPr>
        <w:tblW w:w="9967" w:type="dxa"/>
        <w:jc w:val="left"/>
        <w:tblInd w:w="0" w:type="dxa"/>
        <w:tblLayout w:type="fixed"/>
        <w:tblCellMar>
          <w:top w:w="0" w:type="dxa"/>
          <w:left w:w="0" w:type="dxa"/>
          <w:bottom w:w="0" w:type="dxa"/>
          <w:right w:w="0" w:type="dxa"/>
        </w:tblCellMar>
      </w:tblPr>
      <w:tblGrid>
        <w:gridCol w:w="1820"/>
        <w:gridCol w:w="23"/>
        <w:gridCol w:w="41"/>
        <w:gridCol w:w="108"/>
        <w:gridCol w:w="1442"/>
        <w:gridCol w:w="109"/>
        <w:gridCol w:w="23"/>
        <w:gridCol w:w="47"/>
        <w:gridCol w:w="123"/>
        <w:gridCol w:w="1404"/>
        <w:gridCol w:w="126"/>
        <w:gridCol w:w="23"/>
        <w:gridCol w:w="41"/>
        <w:gridCol w:w="109"/>
        <w:gridCol w:w="1454"/>
        <w:gridCol w:w="111"/>
        <w:gridCol w:w="23"/>
        <w:gridCol w:w="91"/>
        <w:gridCol w:w="238"/>
        <w:gridCol w:w="1037"/>
        <w:gridCol w:w="242"/>
        <w:gridCol w:w="23"/>
        <w:gridCol w:w="26"/>
        <w:gridCol w:w="69"/>
        <w:gridCol w:w="1128"/>
        <w:gridCol w:w="86"/>
      </w:tblGrid>
      <w:tr>
        <w:trPr/>
        <w:tc>
          <w:tcPr>
            <w:tcW w:w="1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8" w:space="0" w:color="000000"/>
            </w:tcBorders>
            <w:tcMar>
              <w:bottom w:w="40" w:type="dxa"/>
            </w:tcMar>
            <w:vAlign w:val="center"/>
          </w:tcPr>
          <w:p>
            <w:pPr>
              <w:pStyle w:val="TableContents"/>
              <w:bidi w:val="0"/>
              <w:spacing w:before="0" w:after="0"/>
              <w:jc w:val="left"/>
              <w:rPr>
                <w:rFonts w:ascii="arial" w:hAnsi="arial"/>
                <w:b/>
                <w:color w:val="00AE4F"/>
                <w:sz w:val="16"/>
              </w:rPr>
            </w:pPr>
            <w:r>
              <w:rPr>
                <w:rFonts w:ascii="arial" w:hAnsi="arial"/>
                <w:b/>
                <w:color w:val="00AE4F"/>
                <w:sz w:val="16"/>
              </w:rPr>
              <w:t>Name</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00"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Executive</w:t>
              <w:br/>
              <w:t>Contributions in</w:t>
              <w:br/>
              <w:t>Last Fiscal</w:t>
              <w:br/>
              <w:t>Year(1)</w:t>
              <w:br/>
              <w:t>($)</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00"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Registrant</w:t>
              <w:br/>
              <w:t>Contributions in</w:t>
              <w:br/>
              <w:t>Last Fiscal</w:t>
              <w:br/>
              <w:t>Year(2)</w:t>
              <w:br/>
              <w:t>($)</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Aggregate</w:t>
              <w:br/>
              <w:t>Earnings in Last</w:t>
              <w:br/>
              <w:t>Fiscal Year(3)</w:t>
              <w:br/>
              <w:t>($)</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08"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Aggregate</w:t>
              <w:br/>
              <w:t>Withdrawals/</w:t>
              <w:br/>
              <w:t>Distributions(4)</w:t>
              <w:br/>
              <w:t>($)</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09" w:type="dxa"/>
            <w:gridSpan w:val="4"/>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Aggregate</w:t>
              <w:br/>
              <w:t>Balance at</w:t>
              <w:br/>
              <w:t>Last Fiscal</w:t>
              <w:br/>
              <w:t>Year End(5)</w:t>
              <w:br/>
              <w:t>($)</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c>
          <w:tcPr>
            <w:tcW w:w="1631" w:type="dxa"/>
            <w:gridSpan w:val="5"/>
            <w:tcBorders/>
            <w:vAlign w:val="center"/>
          </w:tcPr>
          <w:p>
            <w:pPr>
              <w:pStyle w:val="TableContents"/>
              <w:bidi w:val="0"/>
              <w:spacing w:before="0" w:after="283"/>
              <w:jc w:val="left"/>
              <w:rPr>
                <w:sz w:val="4"/>
                <w:szCs w:val="4"/>
              </w:rPr>
            </w:pPr>
            <w:r>
              <w:rPr>
                <w:sz w:val="4"/>
                <w:szCs w:val="4"/>
              </w:rPr>
            </w:r>
          </w:p>
        </w:tc>
        <w:tc>
          <w:tcPr>
            <w:tcW w:w="1332"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Christopher D. Layden</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7F7F7F"/>
            </w:tcBorders>
            <w:tcMar>
              <w:bottom w:w="80" w:type="dxa"/>
            </w:tcMar>
            <w:vAlign w:val="center"/>
          </w:tcPr>
          <w:p>
            <w:pPr>
              <w:pStyle w:val="TableContents"/>
              <w:bidi w:val="0"/>
              <w:spacing w:before="0" w:after="283"/>
              <w:jc w:val="left"/>
              <w:rPr/>
            </w:pPr>
            <w:r>
              <w:rPr/>
              <w:t> </w:t>
            </w:r>
          </w:p>
        </w:tc>
        <w:tc>
          <w:tcPr>
            <w:tcW w:w="1442" w:type="dxa"/>
            <w:tcBorders>
              <w:bottom w:val="single" w:sz="6" w:space="0" w:color="7F7F7F"/>
            </w:tcBorders>
            <w:tcMar>
              <w:bottom w:w="80" w:type="dxa"/>
            </w:tcMar>
            <w:vAlign w:val="center"/>
          </w:tcPr>
          <w:p>
            <w:pPr>
              <w:pStyle w:val="TableContents"/>
              <w:bidi w:val="0"/>
              <w:spacing w:before="0" w:after="283"/>
              <w:jc w:val="center"/>
              <w:rPr/>
            </w:pPr>
            <w:r>
              <w:rPr/>
              <w:t>—</w:t>
            </w:r>
          </w:p>
        </w:tc>
        <w:tc>
          <w:tcPr>
            <w:tcW w:w="109"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6" w:space="0" w:color="7F7F7F"/>
            </w:tcBorders>
            <w:tcMar>
              <w:bottom w:w="80" w:type="dxa"/>
            </w:tcMar>
            <w:vAlign w:val="center"/>
          </w:tcPr>
          <w:p>
            <w:pPr>
              <w:pStyle w:val="TableContents"/>
              <w:bidi w:val="0"/>
              <w:spacing w:before="0" w:after="283"/>
              <w:jc w:val="left"/>
              <w:rPr/>
            </w:pPr>
            <w:r>
              <w:rPr/>
              <w:t> </w:t>
            </w:r>
          </w:p>
        </w:tc>
        <w:tc>
          <w:tcPr>
            <w:tcW w:w="1404" w:type="dxa"/>
            <w:tcBorders>
              <w:bottom w:val="single" w:sz="6" w:space="0" w:color="7F7F7F"/>
            </w:tcBorders>
            <w:tcMar>
              <w:bottom w:w="80" w:type="dxa"/>
            </w:tcMar>
            <w:vAlign w:val="center"/>
          </w:tcPr>
          <w:p>
            <w:pPr>
              <w:pStyle w:val="TableContents"/>
              <w:bidi w:val="0"/>
              <w:spacing w:before="0" w:after="283"/>
              <w:jc w:val="center"/>
              <w:rPr/>
            </w:pPr>
            <w:r>
              <w:rPr/>
              <w:t>—</w:t>
            </w:r>
          </w:p>
        </w:tc>
        <w:tc>
          <w:tcPr>
            <w:tcW w:w="126"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7F7F7F"/>
            </w:tcBorders>
            <w:tcMar>
              <w:bottom w:w="80" w:type="dxa"/>
            </w:tcMar>
            <w:vAlign w:val="center"/>
          </w:tcPr>
          <w:p>
            <w:pPr>
              <w:pStyle w:val="TableContents"/>
              <w:bidi w:val="0"/>
              <w:spacing w:before="0" w:after="283"/>
              <w:jc w:val="left"/>
              <w:rPr/>
            </w:pPr>
            <w:r>
              <w:rPr/>
              <w:t> </w:t>
            </w:r>
          </w:p>
        </w:tc>
        <w:tc>
          <w:tcPr>
            <w:tcW w:w="1454" w:type="dxa"/>
            <w:tcBorders>
              <w:bottom w:val="single" w:sz="6" w:space="0" w:color="7F7F7F"/>
            </w:tcBorders>
            <w:tcMar>
              <w:bottom w:w="80" w:type="dxa"/>
            </w:tcMar>
            <w:vAlign w:val="center"/>
          </w:tcPr>
          <w:p>
            <w:pPr>
              <w:pStyle w:val="TableContents"/>
              <w:bidi w:val="0"/>
              <w:spacing w:before="0" w:after="283"/>
              <w:jc w:val="center"/>
              <w:rPr/>
            </w:pPr>
            <w:r>
              <w:rPr/>
              <w:t>—</w:t>
            </w:r>
          </w:p>
        </w:tc>
        <w:tc>
          <w:tcPr>
            <w:tcW w:w="111"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8" w:type="dxa"/>
            <w:tcBorders>
              <w:bottom w:val="single" w:sz="6" w:space="0" w:color="7F7F7F"/>
            </w:tcBorders>
            <w:tcMar>
              <w:bottom w:w="80" w:type="dxa"/>
            </w:tcMar>
            <w:vAlign w:val="center"/>
          </w:tcPr>
          <w:p>
            <w:pPr>
              <w:pStyle w:val="TableContents"/>
              <w:bidi w:val="0"/>
              <w:spacing w:before="0" w:after="283"/>
              <w:jc w:val="left"/>
              <w:rPr/>
            </w:pPr>
            <w:r>
              <w:rPr/>
              <w:t> </w:t>
            </w:r>
          </w:p>
        </w:tc>
        <w:tc>
          <w:tcPr>
            <w:tcW w:w="1037" w:type="dxa"/>
            <w:tcBorders>
              <w:bottom w:val="single" w:sz="6" w:space="0" w:color="7F7F7F"/>
            </w:tcBorders>
            <w:tcMar>
              <w:bottom w:w="80" w:type="dxa"/>
            </w:tcMar>
            <w:vAlign w:val="center"/>
          </w:tcPr>
          <w:p>
            <w:pPr>
              <w:pStyle w:val="TableContents"/>
              <w:bidi w:val="0"/>
              <w:spacing w:before="0" w:after="283"/>
              <w:jc w:val="center"/>
              <w:rPr/>
            </w:pPr>
            <w:r>
              <w:rPr/>
              <w:t>—</w:t>
            </w:r>
          </w:p>
        </w:tc>
        <w:tc>
          <w:tcPr>
            <w:tcW w:w="242"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7F7F7F"/>
            </w:tcBorders>
            <w:tcMar>
              <w:bottom w:w="80" w:type="dxa"/>
            </w:tcMar>
            <w:vAlign w:val="center"/>
          </w:tcPr>
          <w:p>
            <w:pPr>
              <w:pStyle w:val="TableContents"/>
              <w:bidi w:val="0"/>
              <w:spacing w:before="0" w:after="283"/>
              <w:jc w:val="left"/>
              <w:rPr/>
            </w:pPr>
            <w:r>
              <w:rPr/>
              <w:t> </w:t>
            </w:r>
          </w:p>
        </w:tc>
        <w:tc>
          <w:tcPr>
            <w:tcW w:w="1128" w:type="dxa"/>
            <w:tcBorders>
              <w:bottom w:val="single" w:sz="6" w:space="0" w:color="7F7F7F"/>
            </w:tcBorders>
            <w:tcMar>
              <w:bottom w:w="80" w:type="dxa"/>
            </w:tcMar>
            <w:vAlign w:val="center"/>
          </w:tcPr>
          <w:p>
            <w:pPr>
              <w:pStyle w:val="TableContents"/>
              <w:bidi w:val="0"/>
              <w:spacing w:before="0" w:after="283"/>
              <w:jc w:val="center"/>
              <w:rPr/>
            </w:pPr>
            <w:r>
              <w:rPr/>
              <w:t>—</w:t>
            </w:r>
          </w:p>
        </w:tc>
        <w:tc>
          <w:tcPr>
            <w:tcW w:w="86" w:type="dxa"/>
            <w:tcBorders>
              <w:bottom w:val="single" w:sz="6" w:space="0" w:color="7F7F7F"/>
            </w:tcBorders>
            <w:tcMar>
              <w:bottom w:w="80" w:type="dxa"/>
            </w:tcM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c>
          <w:tcPr>
            <w:tcW w:w="1631" w:type="dxa"/>
            <w:gridSpan w:val="5"/>
            <w:tcBorders/>
            <w:vAlign w:val="center"/>
          </w:tcPr>
          <w:p>
            <w:pPr>
              <w:pStyle w:val="TableContents"/>
              <w:bidi w:val="0"/>
              <w:spacing w:before="0" w:after="283"/>
              <w:jc w:val="left"/>
              <w:rPr>
                <w:sz w:val="4"/>
                <w:szCs w:val="4"/>
              </w:rPr>
            </w:pPr>
            <w:r>
              <w:rPr>
                <w:sz w:val="4"/>
                <w:szCs w:val="4"/>
              </w:rPr>
            </w:r>
          </w:p>
        </w:tc>
        <w:tc>
          <w:tcPr>
            <w:tcW w:w="1332"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Troy R. Anderson</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7F7F7F"/>
            </w:tcBorders>
            <w:tcMar>
              <w:bottom w:w="80" w:type="dxa"/>
            </w:tcMar>
            <w:vAlign w:val="center"/>
          </w:tcPr>
          <w:p>
            <w:pPr>
              <w:pStyle w:val="TableContents"/>
              <w:bidi w:val="0"/>
              <w:spacing w:before="0" w:after="283"/>
              <w:jc w:val="left"/>
              <w:rPr/>
            </w:pPr>
            <w:r>
              <w:rPr/>
              <w:t> </w:t>
            </w:r>
          </w:p>
        </w:tc>
        <w:tc>
          <w:tcPr>
            <w:tcW w:w="1442" w:type="dxa"/>
            <w:tcBorders>
              <w:bottom w:val="single" w:sz="6" w:space="0" w:color="7F7F7F"/>
            </w:tcBorders>
            <w:tcMar>
              <w:bottom w:w="80" w:type="dxa"/>
            </w:tcMar>
            <w:vAlign w:val="center"/>
          </w:tcPr>
          <w:p>
            <w:pPr>
              <w:pStyle w:val="TableContents"/>
              <w:bidi w:val="0"/>
              <w:spacing w:before="0" w:after="283"/>
              <w:jc w:val="center"/>
              <w:rPr/>
            </w:pPr>
            <w:r>
              <w:rPr/>
              <w:t>65,000</w:t>
            </w:r>
          </w:p>
        </w:tc>
        <w:tc>
          <w:tcPr>
            <w:tcW w:w="109"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6" w:space="0" w:color="7F7F7F"/>
            </w:tcBorders>
            <w:tcMar>
              <w:bottom w:w="80" w:type="dxa"/>
            </w:tcMar>
            <w:vAlign w:val="center"/>
          </w:tcPr>
          <w:p>
            <w:pPr>
              <w:pStyle w:val="TableContents"/>
              <w:bidi w:val="0"/>
              <w:spacing w:before="0" w:after="283"/>
              <w:jc w:val="left"/>
              <w:rPr/>
            </w:pPr>
            <w:r>
              <w:rPr/>
              <w:t> </w:t>
            </w:r>
          </w:p>
        </w:tc>
        <w:tc>
          <w:tcPr>
            <w:tcW w:w="1404" w:type="dxa"/>
            <w:tcBorders>
              <w:bottom w:val="single" w:sz="6" w:space="0" w:color="7F7F7F"/>
            </w:tcBorders>
            <w:tcMar>
              <w:bottom w:w="80" w:type="dxa"/>
            </w:tcMar>
            <w:vAlign w:val="center"/>
          </w:tcPr>
          <w:p>
            <w:pPr>
              <w:pStyle w:val="TableContents"/>
              <w:bidi w:val="0"/>
              <w:spacing w:before="0" w:after="283"/>
              <w:jc w:val="center"/>
              <w:rPr/>
            </w:pPr>
            <w:r>
              <w:rPr/>
              <w:t>32,500</w:t>
            </w:r>
          </w:p>
        </w:tc>
        <w:tc>
          <w:tcPr>
            <w:tcW w:w="126"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7F7F7F"/>
            </w:tcBorders>
            <w:tcMar>
              <w:bottom w:w="80" w:type="dxa"/>
            </w:tcMar>
            <w:vAlign w:val="center"/>
          </w:tcPr>
          <w:p>
            <w:pPr>
              <w:pStyle w:val="TableContents"/>
              <w:bidi w:val="0"/>
              <w:spacing w:before="0" w:after="283"/>
              <w:jc w:val="left"/>
              <w:rPr/>
            </w:pPr>
            <w:r>
              <w:rPr/>
              <w:t> </w:t>
            </w:r>
          </w:p>
        </w:tc>
        <w:tc>
          <w:tcPr>
            <w:tcW w:w="1454" w:type="dxa"/>
            <w:tcBorders>
              <w:bottom w:val="single" w:sz="6" w:space="0" w:color="7F7F7F"/>
            </w:tcBorders>
            <w:tcMar>
              <w:bottom w:w="80" w:type="dxa"/>
            </w:tcMar>
            <w:vAlign w:val="center"/>
          </w:tcPr>
          <w:p>
            <w:pPr>
              <w:pStyle w:val="TableContents"/>
              <w:bidi w:val="0"/>
              <w:spacing w:before="0" w:after="283"/>
              <w:jc w:val="center"/>
              <w:rPr/>
            </w:pPr>
            <w:r>
              <w:rPr/>
              <w:t>12,280</w:t>
            </w:r>
          </w:p>
        </w:tc>
        <w:tc>
          <w:tcPr>
            <w:tcW w:w="111"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8" w:type="dxa"/>
            <w:tcBorders>
              <w:bottom w:val="single" w:sz="6" w:space="0" w:color="7F7F7F"/>
            </w:tcBorders>
            <w:tcMar>
              <w:bottom w:w="80" w:type="dxa"/>
            </w:tcMar>
            <w:vAlign w:val="center"/>
          </w:tcPr>
          <w:p>
            <w:pPr>
              <w:pStyle w:val="TableContents"/>
              <w:bidi w:val="0"/>
              <w:spacing w:before="0" w:after="283"/>
              <w:jc w:val="left"/>
              <w:rPr/>
            </w:pPr>
            <w:r>
              <w:rPr/>
              <w:t> </w:t>
            </w:r>
          </w:p>
        </w:tc>
        <w:tc>
          <w:tcPr>
            <w:tcW w:w="1037" w:type="dxa"/>
            <w:tcBorders>
              <w:bottom w:val="single" w:sz="6" w:space="0" w:color="7F7F7F"/>
            </w:tcBorders>
            <w:tcMar>
              <w:bottom w:w="80" w:type="dxa"/>
            </w:tcMar>
            <w:vAlign w:val="center"/>
          </w:tcPr>
          <w:p>
            <w:pPr>
              <w:pStyle w:val="TableContents"/>
              <w:bidi w:val="0"/>
              <w:spacing w:before="0" w:after="283"/>
              <w:jc w:val="center"/>
              <w:rPr/>
            </w:pPr>
            <w:r>
              <w:rPr/>
              <w:t>—</w:t>
            </w:r>
          </w:p>
        </w:tc>
        <w:tc>
          <w:tcPr>
            <w:tcW w:w="242"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7F7F7F"/>
            </w:tcBorders>
            <w:tcMar>
              <w:bottom w:w="80" w:type="dxa"/>
            </w:tcMar>
            <w:vAlign w:val="center"/>
          </w:tcPr>
          <w:p>
            <w:pPr>
              <w:pStyle w:val="TableContents"/>
              <w:bidi w:val="0"/>
              <w:spacing w:before="0" w:after="283"/>
              <w:jc w:val="left"/>
              <w:rPr/>
            </w:pPr>
            <w:r>
              <w:rPr/>
              <w:t> </w:t>
            </w:r>
          </w:p>
        </w:tc>
        <w:tc>
          <w:tcPr>
            <w:tcW w:w="1128" w:type="dxa"/>
            <w:tcBorders>
              <w:bottom w:val="single" w:sz="6" w:space="0" w:color="7F7F7F"/>
            </w:tcBorders>
            <w:tcMar>
              <w:bottom w:w="80" w:type="dxa"/>
            </w:tcMar>
            <w:vAlign w:val="center"/>
          </w:tcPr>
          <w:p>
            <w:pPr>
              <w:pStyle w:val="TableContents"/>
              <w:bidi w:val="0"/>
              <w:spacing w:before="0" w:after="283"/>
              <w:jc w:val="center"/>
              <w:rPr/>
            </w:pPr>
            <w:r>
              <w:rPr/>
              <w:t>120,749</w:t>
            </w:r>
          </w:p>
        </w:tc>
        <w:tc>
          <w:tcPr>
            <w:tcW w:w="86" w:type="dxa"/>
            <w:tcBorders>
              <w:bottom w:val="single" w:sz="6" w:space="0" w:color="7F7F7F"/>
            </w:tcBorders>
            <w:tcMar>
              <w:bottom w:w="80" w:type="dxa"/>
            </w:tcM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c>
          <w:tcPr>
            <w:tcW w:w="1631" w:type="dxa"/>
            <w:gridSpan w:val="5"/>
            <w:tcBorders/>
            <w:vAlign w:val="center"/>
          </w:tcPr>
          <w:p>
            <w:pPr>
              <w:pStyle w:val="TableContents"/>
              <w:bidi w:val="0"/>
              <w:spacing w:before="0" w:after="283"/>
              <w:jc w:val="left"/>
              <w:rPr>
                <w:sz w:val="4"/>
                <w:szCs w:val="4"/>
              </w:rPr>
            </w:pPr>
            <w:r>
              <w:rPr>
                <w:sz w:val="4"/>
                <w:szCs w:val="4"/>
              </w:rPr>
            </w:r>
          </w:p>
        </w:tc>
        <w:tc>
          <w:tcPr>
            <w:tcW w:w="1332"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Tammy L. Browning</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7F7F7F"/>
            </w:tcBorders>
            <w:tcMar>
              <w:bottom w:w="80" w:type="dxa"/>
            </w:tcMar>
            <w:vAlign w:val="center"/>
          </w:tcPr>
          <w:p>
            <w:pPr>
              <w:pStyle w:val="TableContents"/>
              <w:bidi w:val="0"/>
              <w:spacing w:before="0" w:after="283"/>
              <w:jc w:val="left"/>
              <w:rPr/>
            </w:pPr>
            <w:r>
              <w:rPr/>
              <w:t> </w:t>
            </w:r>
          </w:p>
        </w:tc>
        <w:tc>
          <w:tcPr>
            <w:tcW w:w="1442" w:type="dxa"/>
            <w:tcBorders>
              <w:bottom w:val="single" w:sz="6" w:space="0" w:color="7F7F7F"/>
            </w:tcBorders>
            <w:tcMar>
              <w:bottom w:w="80" w:type="dxa"/>
            </w:tcMar>
            <w:vAlign w:val="center"/>
          </w:tcPr>
          <w:p>
            <w:pPr>
              <w:pStyle w:val="TableContents"/>
              <w:bidi w:val="0"/>
              <w:spacing w:before="0" w:after="283"/>
              <w:jc w:val="center"/>
              <w:rPr/>
            </w:pPr>
            <w:r>
              <w:rPr/>
              <w:t>61,187</w:t>
            </w:r>
          </w:p>
        </w:tc>
        <w:tc>
          <w:tcPr>
            <w:tcW w:w="109"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6" w:space="0" w:color="7F7F7F"/>
            </w:tcBorders>
            <w:tcMar>
              <w:bottom w:w="80" w:type="dxa"/>
            </w:tcMar>
            <w:vAlign w:val="center"/>
          </w:tcPr>
          <w:p>
            <w:pPr>
              <w:pStyle w:val="TableContents"/>
              <w:bidi w:val="0"/>
              <w:spacing w:before="0" w:after="283"/>
              <w:jc w:val="left"/>
              <w:rPr/>
            </w:pPr>
            <w:r>
              <w:rPr/>
              <w:t> </w:t>
            </w:r>
          </w:p>
        </w:tc>
        <w:tc>
          <w:tcPr>
            <w:tcW w:w="1404" w:type="dxa"/>
            <w:tcBorders>
              <w:bottom w:val="single" w:sz="6" w:space="0" w:color="7F7F7F"/>
            </w:tcBorders>
            <w:tcMar>
              <w:bottom w:w="80" w:type="dxa"/>
            </w:tcMar>
            <w:vAlign w:val="center"/>
          </w:tcPr>
          <w:p>
            <w:pPr>
              <w:pStyle w:val="TableContents"/>
              <w:bidi w:val="0"/>
              <w:spacing w:before="0" w:after="283"/>
              <w:jc w:val="center"/>
              <w:rPr/>
            </w:pPr>
            <w:r>
              <w:rPr/>
              <w:t>30,594</w:t>
            </w:r>
          </w:p>
        </w:tc>
        <w:tc>
          <w:tcPr>
            <w:tcW w:w="126"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7F7F7F"/>
            </w:tcBorders>
            <w:tcMar>
              <w:bottom w:w="80" w:type="dxa"/>
            </w:tcMar>
            <w:vAlign w:val="center"/>
          </w:tcPr>
          <w:p>
            <w:pPr>
              <w:pStyle w:val="TableContents"/>
              <w:bidi w:val="0"/>
              <w:spacing w:before="0" w:after="283"/>
              <w:jc w:val="left"/>
              <w:rPr/>
            </w:pPr>
            <w:r>
              <w:rPr/>
              <w:t> </w:t>
            </w:r>
          </w:p>
        </w:tc>
        <w:tc>
          <w:tcPr>
            <w:tcW w:w="1454" w:type="dxa"/>
            <w:tcBorders>
              <w:bottom w:val="single" w:sz="6" w:space="0" w:color="7F7F7F"/>
            </w:tcBorders>
            <w:tcMar>
              <w:bottom w:w="80" w:type="dxa"/>
            </w:tcMar>
            <w:vAlign w:val="center"/>
          </w:tcPr>
          <w:p>
            <w:pPr>
              <w:pStyle w:val="TableContents"/>
              <w:bidi w:val="0"/>
              <w:spacing w:before="0" w:after="283"/>
              <w:jc w:val="center"/>
              <w:rPr/>
            </w:pPr>
            <w:r>
              <w:rPr/>
              <w:t>78,798</w:t>
            </w:r>
          </w:p>
        </w:tc>
        <w:tc>
          <w:tcPr>
            <w:tcW w:w="111"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8" w:type="dxa"/>
            <w:tcBorders>
              <w:bottom w:val="single" w:sz="6" w:space="0" w:color="7F7F7F"/>
            </w:tcBorders>
            <w:tcMar>
              <w:bottom w:w="80" w:type="dxa"/>
            </w:tcMar>
            <w:vAlign w:val="center"/>
          </w:tcPr>
          <w:p>
            <w:pPr>
              <w:pStyle w:val="TableContents"/>
              <w:bidi w:val="0"/>
              <w:spacing w:before="0" w:after="283"/>
              <w:jc w:val="left"/>
              <w:rPr/>
            </w:pPr>
            <w:r>
              <w:rPr/>
              <w:t> </w:t>
            </w:r>
          </w:p>
        </w:tc>
        <w:tc>
          <w:tcPr>
            <w:tcW w:w="1037" w:type="dxa"/>
            <w:tcBorders>
              <w:bottom w:val="single" w:sz="6" w:space="0" w:color="7F7F7F"/>
            </w:tcBorders>
            <w:tcMar>
              <w:bottom w:w="80" w:type="dxa"/>
            </w:tcMar>
            <w:vAlign w:val="center"/>
          </w:tcPr>
          <w:p>
            <w:pPr>
              <w:pStyle w:val="TableContents"/>
              <w:bidi w:val="0"/>
              <w:spacing w:before="0" w:after="283"/>
              <w:jc w:val="center"/>
              <w:rPr/>
            </w:pPr>
            <w:r>
              <w:rPr/>
              <w:t>—</w:t>
            </w:r>
          </w:p>
        </w:tc>
        <w:tc>
          <w:tcPr>
            <w:tcW w:w="242"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7F7F7F"/>
            </w:tcBorders>
            <w:tcMar>
              <w:bottom w:w="80" w:type="dxa"/>
            </w:tcMar>
            <w:vAlign w:val="center"/>
          </w:tcPr>
          <w:p>
            <w:pPr>
              <w:pStyle w:val="TableContents"/>
              <w:bidi w:val="0"/>
              <w:spacing w:before="0" w:after="283"/>
              <w:jc w:val="left"/>
              <w:rPr/>
            </w:pPr>
            <w:r>
              <w:rPr/>
              <w:t> </w:t>
            </w:r>
          </w:p>
        </w:tc>
        <w:tc>
          <w:tcPr>
            <w:tcW w:w="1128" w:type="dxa"/>
            <w:tcBorders>
              <w:bottom w:val="single" w:sz="6" w:space="0" w:color="7F7F7F"/>
            </w:tcBorders>
            <w:tcMar>
              <w:bottom w:w="80" w:type="dxa"/>
            </w:tcMar>
            <w:vAlign w:val="center"/>
          </w:tcPr>
          <w:p>
            <w:pPr>
              <w:pStyle w:val="TableContents"/>
              <w:bidi w:val="0"/>
              <w:spacing w:before="0" w:after="283"/>
              <w:jc w:val="center"/>
              <w:rPr/>
            </w:pPr>
            <w:r>
              <w:rPr/>
              <w:t>678,277</w:t>
            </w:r>
          </w:p>
        </w:tc>
        <w:tc>
          <w:tcPr>
            <w:tcW w:w="86" w:type="dxa"/>
            <w:tcBorders>
              <w:bottom w:val="single" w:sz="6" w:space="0" w:color="7F7F7F"/>
            </w:tcBorders>
            <w:tcMar>
              <w:bottom w:w="80" w:type="dxa"/>
            </w:tcM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c>
          <w:tcPr>
            <w:tcW w:w="1631" w:type="dxa"/>
            <w:gridSpan w:val="5"/>
            <w:tcBorders/>
            <w:vAlign w:val="center"/>
          </w:tcPr>
          <w:p>
            <w:pPr>
              <w:pStyle w:val="TableContents"/>
              <w:bidi w:val="0"/>
              <w:spacing w:before="0" w:after="283"/>
              <w:jc w:val="left"/>
              <w:rPr>
                <w:sz w:val="4"/>
                <w:szCs w:val="4"/>
              </w:rPr>
            </w:pPr>
            <w:r>
              <w:rPr>
                <w:sz w:val="4"/>
                <w:szCs w:val="4"/>
              </w:rPr>
            </w:r>
          </w:p>
        </w:tc>
        <w:tc>
          <w:tcPr>
            <w:tcW w:w="1332"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Vanessa P. Williams</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7F7F7F"/>
            </w:tcBorders>
            <w:tcMar>
              <w:bottom w:w="80" w:type="dxa"/>
            </w:tcMar>
            <w:vAlign w:val="center"/>
          </w:tcPr>
          <w:p>
            <w:pPr>
              <w:pStyle w:val="TableContents"/>
              <w:bidi w:val="0"/>
              <w:spacing w:before="0" w:after="283"/>
              <w:jc w:val="left"/>
              <w:rPr/>
            </w:pPr>
            <w:r>
              <w:rPr/>
              <w:t> </w:t>
            </w:r>
          </w:p>
        </w:tc>
        <w:tc>
          <w:tcPr>
            <w:tcW w:w="1442" w:type="dxa"/>
            <w:tcBorders>
              <w:bottom w:val="single" w:sz="6" w:space="0" w:color="7F7F7F"/>
            </w:tcBorders>
            <w:tcMar>
              <w:bottom w:w="80" w:type="dxa"/>
            </w:tcMar>
            <w:vAlign w:val="center"/>
          </w:tcPr>
          <w:p>
            <w:pPr>
              <w:pStyle w:val="TableContents"/>
              <w:bidi w:val="0"/>
              <w:spacing w:before="0" w:after="283"/>
              <w:jc w:val="center"/>
              <w:rPr/>
            </w:pPr>
            <w:r>
              <w:rPr/>
              <w:t>10,364</w:t>
            </w:r>
          </w:p>
        </w:tc>
        <w:tc>
          <w:tcPr>
            <w:tcW w:w="109"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6" w:space="0" w:color="7F7F7F"/>
            </w:tcBorders>
            <w:tcMar>
              <w:bottom w:w="80" w:type="dxa"/>
            </w:tcMar>
            <w:vAlign w:val="center"/>
          </w:tcPr>
          <w:p>
            <w:pPr>
              <w:pStyle w:val="TableContents"/>
              <w:bidi w:val="0"/>
              <w:spacing w:before="0" w:after="283"/>
              <w:jc w:val="left"/>
              <w:rPr/>
            </w:pPr>
            <w:r>
              <w:rPr/>
              <w:t> </w:t>
            </w:r>
          </w:p>
        </w:tc>
        <w:tc>
          <w:tcPr>
            <w:tcW w:w="1404" w:type="dxa"/>
            <w:tcBorders>
              <w:bottom w:val="single" w:sz="6" w:space="0" w:color="7F7F7F"/>
            </w:tcBorders>
            <w:tcMar>
              <w:bottom w:w="80" w:type="dxa"/>
            </w:tcMar>
            <w:vAlign w:val="center"/>
          </w:tcPr>
          <w:p>
            <w:pPr>
              <w:pStyle w:val="TableContents"/>
              <w:bidi w:val="0"/>
              <w:spacing w:before="0" w:after="283"/>
              <w:jc w:val="center"/>
              <w:rPr/>
            </w:pPr>
            <w:r>
              <w:rPr/>
              <w:t>5,182</w:t>
            </w:r>
          </w:p>
        </w:tc>
        <w:tc>
          <w:tcPr>
            <w:tcW w:w="126"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7F7F7F"/>
            </w:tcBorders>
            <w:tcMar>
              <w:bottom w:w="80" w:type="dxa"/>
            </w:tcMar>
            <w:vAlign w:val="center"/>
          </w:tcPr>
          <w:p>
            <w:pPr>
              <w:pStyle w:val="TableContents"/>
              <w:bidi w:val="0"/>
              <w:spacing w:before="0" w:after="283"/>
              <w:jc w:val="left"/>
              <w:rPr/>
            </w:pPr>
            <w:r>
              <w:rPr/>
              <w:t> </w:t>
            </w:r>
          </w:p>
        </w:tc>
        <w:tc>
          <w:tcPr>
            <w:tcW w:w="1454" w:type="dxa"/>
            <w:tcBorders>
              <w:bottom w:val="single" w:sz="6" w:space="0" w:color="7F7F7F"/>
            </w:tcBorders>
            <w:tcMar>
              <w:bottom w:w="80" w:type="dxa"/>
            </w:tcMar>
            <w:vAlign w:val="center"/>
          </w:tcPr>
          <w:p>
            <w:pPr>
              <w:pStyle w:val="TableContents"/>
              <w:bidi w:val="0"/>
              <w:spacing w:before="0" w:after="283"/>
              <w:jc w:val="center"/>
              <w:rPr/>
            </w:pPr>
            <w:r>
              <w:rPr/>
              <w:t>48,436</w:t>
            </w:r>
          </w:p>
        </w:tc>
        <w:tc>
          <w:tcPr>
            <w:tcW w:w="111"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8" w:type="dxa"/>
            <w:tcBorders>
              <w:bottom w:val="single" w:sz="6" w:space="0" w:color="7F7F7F"/>
            </w:tcBorders>
            <w:tcMar>
              <w:bottom w:w="80" w:type="dxa"/>
            </w:tcMar>
            <w:vAlign w:val="center"/>
          </w:tcPr>
          <w:p>
            <w:pPr>
              <w:pStyle w:val="TableContents"/>
              <w:bidi w:val="0"/>
              <w:spacing w:before="0" w:after="283"/>
              <w:jc w:val="left"/>
              <w:rPr/>
            </w:pPr>
            <w:r>
              <w:rPr/>
              <w:t> </w:t>
            </w:r>
          </w:p>
        </w:tc>
        <w:tc>
          <w:tcPr>
            <w:tcW w:w="1037" w:type="dxa"/>
            <w:tcBorders>
              <w:bottom w:val="single" w:sz="6" w:space="0" w:color="7F7F7F"/>
            </w:tcBorders>
            <w:tcMar>
              <w:bottom w:w="80" w:type="dxa"/>
            </w:tcMar>
            <w:vAlign w:val="center"/>
          </w:tcPr>
          <w:p>
            <w:pPr>
              <w:pStyle w:val="TableContents"/>
              <w:bidi w:val="0"/>
              <w:spacing w:before="0" w:after="283"/>
              <w:jc w:val="center"/>
              <w:rPr/>
            </w:pPr>
            <w:r>
              <w:rPr/>
              <w:t>—</w:t>
            </w:r>
          </w:p>
        </w:tc>
        <w:tc>
          <w:tcPr>
            <w:tcW w:w="242"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7F7F7F"/>
            </w:tcBorders>
            <w:tcMar>
              <w:bottom w:w="80" w:type="dxa"/>
            </w:tcMar>
            <w:vAlign w:val="center"/>
          </w:tcPr>
          <w:p>
            <w:pPr>
              <w:pStyle w:val="TableContents"/>
              <w:bidi w:val="0"/>
              <w:spacing w:before="0" w:after="283"/>
              <w:jc w:val="left"/>
              <w:rPr/>
            </w:pPr>
            <w:r>
              <w:rPr/>
              <w:t> </w:t>
            </w:r>
          </w:p>
        </w:tc>
        <w:tc>
          <w:tcPr>
            <w:tcW w:w="1128" w:type="dxa"/>
            <w:tcBorders>
              <w:bottom w:val="single" w:sz="6" w:space="0" w:color="7F7F7F"/>
            </w:tcBorders>
            <w:tcMar>
              <w:bottom w:w="80" w:type="dxa"/>
            </w:tcMar>
            <w:vAlign w:val="center"/>
          </w:tcPr>
          <w:p>
            <w:pPr>
              <w:pStyle w:val="TableContents"/>
              <w:bidi w:val="0"/>
              <w:spacing w:before="0" w:after="283"/>
              <w:jc w:val="center"/>
              <w:rPr/>
            </w:pPr>
            <w:r>
              <w:rPr/>
              <w:t>423,717</w:t>
            </w:r>
          </w:p>
        </w:tc>
        <w:tc>
          <w:tcPr>
            <w:tcW w:w="86" w:type="dxa"/>
            <w:tcBorders>
              <w:bottom w:val="single" w:sz="6" w:space="0" w:color="7F7F7F"/>
            </w:tcBorders>
            <w:tcMar>
              <w:bottom w:w="80" w:type="dxa"/>
            </w:tcM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c>
          <w:tcPr>
            <w:tcW w:w="1631" w:type="dxa"/>
            <w:gridSpan w:val="5"/>
            <w:tcBorders/>
            <w:vAlign w:val="center"/>
          </w:tcPr>
          <w:p>
            <w:pPr>
              <w:pStyle w:val="TableContents"/>
              <w:bidi w:val="0"/>
              <w:spacing w:before="0" w:after="283"/>
              <w:jc w:val="left"/>
              <w:rPr>
                <w:sz w:val="4"/>
                <w:szCs w:val="4"/>
              </w:rPr>
            </w:pPr>
            <w:r>
              <w:rPr>
                <w:sz w:val="4"/>
                <w:szCs w:val="4"/>
              </w:rPr>
            </w:r>
          </w:p>
        </w:tc>
        <w:tc>
          <w:tcPr>
            <w:tcW w:w="1332"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Nicola M. Soares</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7F7F7F"/>
            </w:tcBorders>
            <w:tcMar>
              <w:bottom w:w="80" w:type="dxa"/>
            </w:tcMar>
            <w:vAlign w:val="center"/>
          </w:tcPr>
          <w:p>
            <w:pPr>
              <w:pStyle w:val="TableContents"/>
              <w:bidi w:val="0"/>
              <w:spacing w:before="0" w:after="283"/>
              <w:jc w:val="left"/>
              <w:rPr/>
            </w:pPr>
            <w:r>
              <w:rPr/>
              <w:t> </w:t>
            </w:r>
          </w:p>
        </w:tc>
        <w:tc>
          <w:tcPr>
            <w:tcW w:w="1442" w:type="dxa"/>
            <w:tcBorders>
              <w:bottom w:val="single" w:sz="6" w:space="0" w:color="7F7F7F"/>
            </w:tcBorders>
            <w:tcMar>
              <w:bottom w:w="80" w:type="dxa"/>
            </w:tcMar>
            <w:vAlign w:val="center"/>
          </w:tcPr>
          <w:p>
            <w:pPr>
              <w:pStyle w:val="TableContents"/>
              <w:bidi w:val="0"/>
              <w:spacing w:before="0" w:after="283"/>
              <w:jc w:val="center"/>
              <w:rPr/>
            </w:pPr>
            <w:r>
              <w:rPr/>
              <w:t>41,872</w:t>
            </w:r>
          </w:p>
        </w:tc>
        <w:tc>
          <w:tcPr>
            <w:tcW w:w="109"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6" w:space="0" w:color="7F7F7F"/>
            </w:tcBorders>
            <w:tcMar>
              <w:bottom w:w="80" w:type="dxa"/>
            </w:tcMar>
            <w:vAlign w:val="center"/>
          </w:tcPr>
          <w:p>
            <w:pPr>
              <w:pStyle w:val="TableContents"/>
              <w:bidi w:val="0"/>
              <w:spacing w:before="0" w:after="283"/>
              <w:jc w:val="left"/>
              <w:rPr/>
            </w:pPr>
            <w:r>
              <w:rPr/>
              <w:t> </w:t>
            </w:r>
          </w:p>
        </w:tc>
        <w:tc>
          <w:tcPr>
            <w:tcW w:w="1404" w:type="dxa"/>
            <w:tcBorders>
              <w:bottom w:val="single" w:sz="6" w:space="0" w:color="7F7F7F"/>
            </w:tcBorders>
            <w:tcMar>
              <w:bottom w:w="80" w:type="dxa"/>
            </w:tcMar>
            <w:vAlign w:val="center"/>
          </w:tcPr>
          <w:p>
            <w:pPr>
              <w:pStyle w:val="TableContents"/>
              <w:bidi w:val="0"/>
              <w:spacing w:before="0" w:after="283"/>
              <w:jc w:val="center"/>
              <w:rPr/>
            </w:pPr>
            <w:r>
              <w:rPr/>
              <w:t>20,936</w:t>
            </w:r>
          </w:p>
        </w:tc>
        <w:tc>
          <w:tcPr>
            <w:tcW w:w="126"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7F7F7F"/>
            </w:tcBorders>
            <w:tcMar>
              <w:bottom w:w="80" w:type="dxa"/>
            </w:tcMar>
            <w:vAlign w:val="center"/>
          </w:tcPr>
          <w:p>
            <w:pPr>
              <w:pStyle w:val="TableContents"/>
              <w:bidi w:val="0"/>
              <w:spacing w:before="0" w:after="283"/>
              <w:jc w:val="left"/>
              <w:rPr/>
            </w:pPr>
            <w:r>
              <w:rPr/>
              <w:t> </w:t>
            </w:r>
          </w:p>
        </w:tc>
        <w:tc>
          <w:tcPr>
            <w:tcW w:w="1454" w:type="dxa"/>
            <w:tcBorders>
              <w:bottom w:val="single" w:sz="6" w:space="0" w:color="7F7F7F"/>
            </w:tcBorders>
            <w:tcMar>
              <w:bottom w:w="80" w:type="dxa"/>
            </w:tcMar>
            <w:vAlign w:val="center"/>
          </w:tcPr>
          <w:p>
            <w:pPr>
              <w:pStyle w:val="TableContents"/>
              <w:bidi w:val="0"/>
              <w:spacing w:before="0" w:after="283"/>
              <w:jc w:val="center"/>
              <w:rPr/>
            </w:pPr>
            <w:r>
              <w:rPr/>
              <w:t>154,373</w:t>
            </w:r>
          </w:p>
        </w:tc>
        <w:tc>
          <w:tcPr>
            <w:tcW w:w="111"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8" w:type="dxa"/>
            <w:tcBorders>
              <w:bottom w:val="single" w:sz="6" w:space="0" w:color="7F7F7F"/>
            </w:tcBorders>
            <w:tcMar>
              <w:bottom w:w="80" w:type="dxa"/>
            </w:tcMar>
            <w:vAlign w:val="center"/>
          </w:tcPr>
          <w:p>
            <w:pPr>
              <w:pStyle w:val="TableContents"/>
              <w:bidi w:val="0"/>
              <w:spacing w:before="0" w:after="283"/>
              <w:jc w:val="left"/>
              <w:rPr/>
            </w:pPr>
            <w:r>
              <w:rPr/>
              <w:t> </w:t>
            </w:r>
          </w:p>
        </w:tc>
        <w:tc>
          <w:tcPr>
            <w:tcW w:w="1037" w:type="dxa"/>
            <w:tcBorders>
              <w:bottom w:val="single" w:sz="6" w:space="0" w:color="7F7F7F"/>
            </w:tcBorders>
            <w:tcMar>
              <w:bottom w:w="80" w:type="dxa"/>
            </w:tcMar>
            <w:vAlign w:val="center"/>
          </w:tcPr>
          <w:p>
            <w:pPr>
              <w:pStyle w:val="TableContents"/>
              <w:bidi w:val="0"/>
              <w:spacing w:before="0" w:after="283"/>
              <w:jc w:val="center"/>
              <w:rPr/>
            </w:pPr>
            <w:r>
              <w:rPr/>
              <w:t>—</w:t>
            </w:r>
          </w:p>
        </w:tc>
        <w:tc>
          <w:tcPr>
            <w:tcW w:w="242"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7F7F7F"/>
            </w:tcBorders>
            <w:tcMar>
              <w:bottom w:w="80" w:type="dxa"/>
            </w:tcMar>
            <w:vAlign w:val="center"/>
          </w:tcPr>
          <w:p>
            <w:pPr>
              <w:pStyle w:val="TableContents"/>
              <w:bidi w:val="0"/>
              <w:spacing w:before="0" w:after="283"/>
              <w:jc w:val="left"/>
              <w:rPr/>
            </w:pPr>
            <w:r>
              <w:rPr/>
              <w:t> </w:t>
            </w:r>
          </w:p>
        </w:tc>
        <w:tc>
          <w:tcPr>
            <w:tcW w:w="1128" w:type="dxa"/>
            <w:tcBorders>
              <w:bottom w:val="single" w:sz="6" w:space="0" w:color="7F7F7F"/>
            </w:tcBorders>
            <w:tcMar>
              <w:bottom w:w="80" w:type="dxa"/>
            </w:tcMar>
            <w:vAlign w:val="center"/>
          </w:tcPr>
          <w:p>
            <w:pPr>
              <w:pStyle w:val="TableContents"/>
              <w:bidi w:val="0"/>
              <w:spacing w:before="0" w:after="283"/>
              <w:jc w:val="center"/>
              <w:rPr/>
            </w:pPr>
            <w:r>
              <w:rPr/>
              <w:t>1,149,280</w:t>
            </w:r>
          </w:p>
        </w:tc>
        <w:tc>
          <w:tcPr>
            <w:tcW w:w="86" w:type="dxa"/>
            <w:tcBorders>
              <w:bottom w:val="single" w:sz="6" w:space="0" w:color="7F7F7F"/>
            </w:tcBorders>
            <w:tcMar>
              <w:bottom w:w="80" w:type="dxa"/>
            </w:tcM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c>
          <w:tcPr>
            <w:tcW w:w="1631" w:type="dxa"/>
            <w:gridSpan w:val="5"/>
            <w:tcBorders/>
            <w:vAlign w:val="center"/>
          </w:tcPr>
          <w:p>
            <w:pPr>
              <w:pStyle w:val="TableContents"/>
              <w:bidi w:val="0"/>
              <w:spacing w:before="0" w:after="283"/>
              <w:jc w:val="left"/>
              <w:rPr>
                <w:sz w:val="4"/>
                <w:szCs w:val="4"/>
              </w:rPr>
            </w:pPr>
            <w:r>
              <w:rPr>
                <w:sz w:val="4"/>
                <w:szCs w:val="4"/>
              </w:rPr>
            </w:r>
          </w:p>
        </w:tc>
        <w:tc>
          <w:tcPr>
            <w:tcW w:w="1332" w:type="dxa"/>
            <w:gridSpan w:val="5"/>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7F7F7F"/>
            </w:tcBorders>
            <w:tcMar>
              <w:bottom w:w="80" w:type="dxa"/>
            </w:tcMar>
            <w:vAlign w:val="center"/>
          </w:tcPr>
          <w:p>
            <w:pPr>
              <w:pStyle w:val="TableContents"/>
              <w:bidi w:val="0"/>
              <w:spacing w:before="0" w:after="0"/>
              <w:jc w:val="left"/>
              <w:rPr>
                <w:rFonts w:ascii="arial" w:hAnsi="arial"/>
                <w:i/>
                <w:sz w:val="16"/>
                <w:u w:val="single"/>
              </w:rPr>
            </w:pPr>
            <w:r>
              <w:rPr>
                <w:rFonts w:ascii="arial" w:hAnsi="arial"/>
                <w:i/>
                <w:sz w:val="16"/>
                <w:u w:val="single"/>
              </w:rPr>
              <w:t>Former Executive</w:t>
            </w:r>
          </w:p>
          <w:p>
            <w:pPr>
              <w:pStyle w:val="TableContents"/>
              <w:bidi w:val="0"/>
              <w:spacing w:before="0" w:after="20"/>
              <w:jc w:val="left"/>
              <w:rPr>
                <w:rFonts w:ascii="arial" w:hAnsi="arial"/>
                <w:b/>
                <w:sz w:val="16"/>
              </w:rPr>
            </w:pPr>
            <w:r>
              <w:rPr>
                <w:rFonts w:ascii="arial" w:hAnsi="arial"/>
                <w:b/>
                <w:sz w:val="16"/>
              </w:rPr>
              <w:t>Peter W. Quigley</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7F7F7F"/>
            </w:tcBorders>
            <w:tcMar>
              <w:bottom w:w="80" w:type="dxa"/>
            </w:tcMar>
            <w:vAlign w:val="center"/>
          </w:tcPr>
          <w:p>
            <w:pPr>
              <w:pStyle w:val="TableContents"/>
              <w:bidi w:val="0"/>
              <w:spacing w:before="0" w:after="283"/>
              <w:jc w:val="left"/>
              <w:rPr/>
            </w:pPr>
            <w:r>
              <w:rPr/>
              <w:t> </w:t>
            </w:r>
          </w:p>
        </w:tc>
        <w:tc>
          <w:tcPr>
            <w:tcW w:w="1442" w:type="dxa"/>
            <w:tcBorders>
              <w:bottom w:val="single" w:sz="6" w:space="0" w:color="7F7F7F"/>
            </w:tcBorders>
            <w:tcMar>
              <w:bottom w:w="80" w:type="dxa"/>
            </w:tcMar>
            <w:vAlign w:val="center"/>
          </w:tcPr>
          <w:p>
            <w:pPr>
              <w:pStyle w:val="TableContents"/>
              <w:bidi w:val="0"/>
              <w:spacing w:before="0" w:after="283"/>
              <w:jc w:val="center"/>
              <w:rPr/>
            </w:pPr>
            <w:r>
              <w:rPr/>
              <w:t>155,913</w:t>
            </w:r>
          </w:p>
        </w:tc>
        <w:tc>
          <w:tcPr>
            <w:tcW w:w="109"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6" w:space="0" w:color="7F7F7F"/>
            </w:tcBorders>
            <w:tcMar>
              <w:bottom w:w="80" w:type="dxa"/>
            </w:tcMar>
            <w:vAlign w:val="center"/>
          </w:tcPr>
          <w:p>
            <w:pPr>
              <w:pStyle w:val="TableContents"/>
              <w:bidi w:val="0"/>
              <w:spacing w:before="0" w:after="283"/>
              <w:jc w:val="left"/>
              <w:rPr/>
            </w:pPr>
            <w:r>
              <w:rPr/>
              <w:t> </w:t>
            </w:r>
          </w:p>
        </w:tc>
        <w:tc>
          <w:tcPr>
            <w:tcW w:w="1404" w:type="dxa"/>
            <w:tcBorders>
              <w:bottom w:val="single" w:sz="6" w:space="0" w:color="7F7F7F"/>
            </w:tcBorders>
            <w:tcMar>
              <w:bottom w:w="80" w:type="dxa"/>
            </w:tcMar>
            <w:vAlign w:val="center"/>
          </w:tcPr>
          <w:p>
            <w:pPr>
              <w:pStyle w:val="TableContents"/>
              <w:bidi w:val="0"/>
              <w:spacing w:before="0" w:after="283"/>
              <w:jc w:val="center"/>
              <w:rPr/>
            </w:pPr>
            <w:r>
              <w:rPr/>
              <w:t>77,957</w:t>
            </w:r>
          </w:p>
        </w:tc>
        <w:tc>
          <w:tcPr>
            <w:tcW w:w="126"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7F7F7F"/>
            </w:tcBorders>
            <w:tcMar>
              <w:bottom w:w="80" w:type="dxa"/>
            </w:tcMar>
            <w:vAlign w:val="center"/>
          </w:tcPr>
          <w:p>
            <w:pPr>
              <w:pStyle w:val="TableContents"/>
              <w:bidi w:val="0"/>
              <w:spacing w:before="0" w:after="283"/>
              <w:jc w:val="left"/>
              <w:rPr/>
            </w:pPr>
            <w:r>
              <w:rPr/>
              <w:t> </w:t>
            </w:r>
          </w:p>
        </w:tc>
        <w:tc>
          <w:tcPr>
            <w:tcW w:w="1454" w:type="dxa"/>
            <w:tcBorders>
              <w:bottom w:val="single" w:sz="6" w:space="0" w:color="7F7F7F"/>
            </w:tcBorders>
            <w:tcMar>
              <w:bottom w:w="80" w:type="dxa"/>
            </w:tcMar>
            <w:vAlign w:val="center"/>
          </w:tcPr>
          <w:p>
            <w:pPr>
              <w:pStyle w:val="TableContents"/>
              <w:bidi w:val="0"/>
              <w:spacing w:before="0" w:after="283"/>
              <w:jc w:val="center"/>
              <w:rPr/>
            </w:pPr>
            <w:r>
              <w:rPr/>
              <w:t>640,670</w:t>
            </w:r>
          </w:p>
        </w:tc>
        <w:tc>
          <w:tcPr>
            <w:tcW w:w="111"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8" w:type="dxa"/>
            <w:tcBorders>
              <w:bottom w:val="single" w:sz="6" w:space="0" w:color="7F7F7F"/>
            </w:tcBorders>
            <w:tcMar>
              <w:bottom w:w="80" w:type="dxa"/>
            </w:tcMar>
            <w:vAlign w:val="center"/>
          </w:tcPr>
          <w:p>
            <w:pPr>
              <w:pStyle w:val="TableContents"/>
              <w:bidi w:val="0"/>
              <w:spacing w:before="0" w:after="283"/>
              <w:jc w:val="left"/>
              <w:rPr/>
            </w:pPr>
            <w:r>
              <w:rPr/>
              <w:t> </w:t>
            </w:r>
          </w:p>
        </w:tc>
        <w:tc>
          <w:tcPr>
            <w:tcW w:w="1037" w:type="dxa"/>
            <w:tcBorders>
              <w:bottom w:val="single" w:sz="6" w:space="0" w:color="7F7F7F"/>
            </w:tcBorders>
            <w:tcMar>
              <w:bottom w:w="80" w:type="dxa"/>
            </w:tcMar>
            <w:vAlign w:val="center"/>
          </w:tcPr>
          <w:p>
            <w:pPr>
              <w:pStyle w:val="TableContents"/>
              <w:bidi w:val="0"/>
              <w:spacing w:before="0" w:after="283"/>
              <w:jc w:val="center"/>
              <w:rPr/>
            </w:pPr>
            <w:r>
              <w:rPr/>
              <w:t>—</w:t>
            </w:r>
          </w:p>
        </w:tc>
        <w:tc>
          <w:tcPr>
            <w:tcW w:w="242" w:type="dxa"/>
            <w:tcBorders>
              <w:bottom w:val="single" w:sz="6" w:space="0" w:color="7F7F7F"/>
            </w:tcBorders>
            <w:tcMar>
              <w:bottom w:w="80" w:type="dxa"/>
            </w:tcMar>
            <w:vAlign w:val="center"/>
          </w:tcPr>
          <w:p>
            <w:pPr>
              <w:pStyle w:val="TableContents"/>
              <w:bidi w:val="0"/>
              <w:spacing w:before="0" w:after="283"/>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7F7F7F"/>
            </w:tcBorders>
            <w:tcMar>
              <w:bottom w:w="80" w:type="dxa"/>
            </w:tcMar>
            <w:vAlign w:val="center"/>
          </w:tcPr>
          <w:p>
            <w:pPr>
              <w:pStyle w:val="TableContents"/>
              <w:bidi w:val="0"/>
              <w:spacing w:before="0" w:after="283"/>
              <w:jc w:val="left"/>
              <w:rPr/>
            </w:pPr>
            <w:r>
              <w:rPr/>
              <w:t> </w:t>
            </w:r>
          </w:p>
        </w:tc>
        <w:tc>
          <w:tcPr>
            <w:tcW w:w="1128" w:type="dxa"/>
            <w:tcBorders>
              <w:bottom w:val="single" w:sz="6" w:space="0" w:color="7F7F7F"/>
            </w:tcBorders>
            <w:tcMar>
              <w:bottom w:w="80" w:type="dxa"/>
            </w:tcMar>
            <w:vAlign w:val="center"/>
          </w:tcPr>
          <w:p>
            <w:pPr>
              <w:pStyle w:val="TableContents"/>
              <w:bidi w:val="0"/>
              <w:spacing w:before="0" w:after="283"/>
              <w:jc w:val="center"/>
              <w:rPr/>
            </w:pPr>
            <w:r>
              <w:rPr/>
              <w:t>4,923,613</w:t>
            </w:r>
          </w:p>
        </w:tc>
        <w:tc>
          <w:tcPr>
            <w:tcW w:w="86" w:type="dxa"/>
            <w:tcBorders>
              <w:bottom w:val="single" w:sz="6" w:space="0" w:color="7F7F7F"/>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(1)</w:t>
            </w:r>
          </w:p>
        </w:tc>
        <w:tc>
          <w:tcPr>
            <w:tcW w:w="9930" w:type="dxa"/>
            <w:tcBorders/>
            <w:vAlign w:val="center"/>
          </w:tcPr>
          <w:p>
            <w:pPr>
              <w:pStyle w:val="TableContents"/>
              <w:bidi w:val="0"/>
              <w:spacing w:before="0" w:after="0"/>
              <w:jc w:val="left"/>
              <w:rPr>
                <w:rFonts w:ascii="arial" w:hAnsi="arial"/>
                <w:sz w:val="14"/>
              </w:rPr>
            </w:pPr>
            <w:r>
              <w:rPr>
                <w:rFonts w:ascii="arial" w:hAnsi="arial"/>
                <w:sz w:val="14"/>
              </w:rPr>
              <w:t xml:space="preserve">Executives may defer a percentage of their base salary (up to 25%) and incentive earnings (up to 50%) for retirement. These amounts, as applicable, are reported as a part of the salary or incentive earnings found in the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0"/>
              <w:jc w:val="left"/>
              <w:rPr>
                <w:rFonts w:ascii="arial" w:hAnsi="arial"/>
                <w:sz w:val="14"/>
              </w:rPr>
            </w:pPr>
            <w:r>
              <w:rPr>
                <w:rFonts w:ascii="arial" w:hAnsi="arial"/>
                <w:sz w:val="14"/>
              </w:rPr>
              <w:t xml:space="preserve">Registrant Contributions in Last Fiscal Year above represent Company matching contributions (50% of the first 10% of salary and annual incentive deferrals), and they are also reported as All Other Compensation in the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(3)</w:t>
            </w:r>
          </w:p>
        </w:tc>
        <w:tc>
          <w:tcPr>
            <w:tcW w:w="9951" w:type="dxa"/>
            <w:tcBorders/>
            <w:vAlign w:val="center"/>
          </w:tcPr>
          <w:p>
            <w:pPr>
              <w:pStyle w:val="TableContents"/>
              <w:bidi w:val="0"/>
              <w:spacing w:before="0" w:after="0"/>
              <w:jc w:val="left"/>
              <w:rPr>
                <w:rFonts w:ascii="arial" w:hAnsi="arial"/>
                <w:sz w:val="14"/>
              </w:rPr>
            </w:pPr>
            <w:r>
              <w:rPr>
                <w:rFonts w:ascii="arial" w:hAnsi="arial"/>
                <w:sz w:val="14"/>
              </w:rPr>
              <w:t xml:space="preserve">Represents actual earnings (or loss) from the investment of the prior year aggregate balance plus the earnings on current year executive and Company contributions. The aggregate earnings are based on investment options that are also offered to employees who participate in the Company’s tax-qualified 401(k) plan. As these earnings are not “above market” interest payments or preferential earnings, they are not included in the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(4)</w:t>
            </w:r>
          </w:p>
        </w:tc>
        <w:tc>
          <w:tcPr>
            <w:tcW w:w="9938" w:type="dxa"/>
            <w:tcBorders/>
            <w:vAlign w:val="center"/>
          </w:tcPr>
          <w:p>
            <w:pPr>
              <w:pStyle w:val="TableContents"/>
              <w:bidi w:val="0"/>
              <w:spacing w:before="0" w:after="0"/>
              <w:jc w:val="left"/>
              <w:rPr>
                <w:rFonts w:ascii="arial" w:hAnsi="arial"/>
                <w:sz w:val="14"/>
              </w:rPr>
            </w:pPr>
            <w:r>
              <w:rPr>
                <w:rFonts w:ascii="arial" w:hAnsi="arial"/>
                <w:sz w:val="14"/>
              </w:rPr>
              <w:t xml:space="preserve">Participants may elect to receive distributions after separation from service, the later of a specified age and separation of service or a scheduled in-service distribution. Amounts may be paid as a lump sum, monthly installments for up to 20 years, or a combination of the two as elected by the participant.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(5)</w:t>
            </w:r>
          </w:p>
        </w:tc>
        <w:tc>
          <w:tcPr>
            <w:tcW w:w="9949" w:type="dxa"/>
            <w:tcBorders/>
            <w:vAlign w:val="center"/>
          </w:tcPr>
          <w:p>
            <w:pPr>
              <w:pStyle w:val="TableContents"/>
              <w:bidi w:val="0"/>
              <w:spacing w:before="0" w:after="0"/>
              <w:jc w:val="left"/>
              <w:rPr>
                <w:rFonts w:ascii="arial" w:hAnsi="arial"/>
                <w:sz w:val="14"/>
              </w:rPr>
            </w:pPr>
            <w:r>
              <w:rPr>
                <w:rFonts w:ascii="arial" w:hAnsi="arial"/>
                <w:sz w:val="14"/>
              </w:rPr>
              <w:t xml:space="preserve">Amounts reported in this column include the following amounts that have been reported in the Summary Compensation Table for fiscal years 2013-2025: Peter W. Quigley ($1,262,335); Named in the proxies for fiscal years 202-2025: Troy R. Anderson ($36,250); Named in the proxies for fiscal years 2022-2025: Vanessa P. Williams ($74,192); Named in the proxies for fiscal years 2024-2025: Nicola M. Soares ($41,090). </w:t>
            </w:r>
          </w:p>
        </w:tc>
      </w:tr>
    </w:tbl>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66 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214"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87" descr=""/>
                          <pic:cNvPicPr>
                            <a:picLocks noChangeAspect="1" noChangeArrowheads="1"/>
                          </pic:cNvPicPr>
                        </pic:nvPicPr>
                        <pic:blipFill>
                          <a:blip r:embed="rId199"/>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2025 Executive Compensation Tables </w:t>
      </w:r>
    </w:p>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Equity Compensation Plan Information </w:t>
      </w:r>
    </w:p>
    <w:p>
      <w:pPr>
        <w:pStyle w:val="TextBody"/>
        <w:bidi w:val="0"/>
        <w:spacing w:before="80" w:after="0"/>
        <w:jc w:val="left"/>
        <w:rPr>
          <w:rFonts w:ascii="arial" w:hAnsi="arial"/>
          <w:sz w:val="18"/>
        </w:rPr>
      </w:pPr>
      <w:r>
        <w:rPr>
          <w:rFonts w:ascii="arial" w:hAnsi="arial"/>
          <w:sz w:val="18"/>
        </w:rPr>
        <w:t xml:space="preserve">The following table shows the number of shares of our Class A common stock that may be issued upon the exercise of outstanding options, warrants and rights, the weighted-average exercise price of outstanding options, warrants and rights, and the number of securities remaining available for future issuance under our equity compensation plans as of the fiscal year end for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67"/>
        <w:gridCol w:w="120"/>
        <w:gridCol w:w="2120"/>
        <w:gridCol w:w="120"/>
        <w:gridCol w:w="1220"/>
        <w:gridCol w:w="120"/>
        <w:gridCol w:w="2138"/>
      </w:tblGrid>
      <w:tr>
        <w:trPr/>
        <w:tc>
          <w:tcPr>
            <w:tcW w:w="43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r>
      <w:tr>
        <w:trPr/>
        <w:tc>
          <w:tcPr>
            <w:tcW w:w="4367" w:type="dxa"/>
            <w:tcBorders>
              <w:bottom w:val="single" w:sz="8" w:space="0" w:color="33302B"/>
            </w:tcBorders>
            <w:tcMar>
              <w:bottom w:w="28" w:type="dxa"/>
            </w:tcMar>
            <w:vAlign w:val="center"/>
          </w:tcPr>
          <w:p>
            <w:pPr>
              <w:pStyle w:val="TableContents"/>
              <w:bidi w:val="0"/>
              <w:spacing w:before="0" w:after="283"/>
              <w:jc w:val="left"/>
              <w:rPr/>
            </w:pPr>
            <w:r>
              <w:rPr/>
              <w:t>  </w:t>
            </w:r>
          </w:p>
        </w:tc>
        <w:tc>
          <w:tcPr>
            <w:tcW w:w="120" w:type="dxa"/>
            <w:tcBorders>
              <w:bottom w:val="single" w:sz="8" w:space="0" w:color="33302B"/>
            </w:tcBorders>
            <w:tcMar>
              <w:bottom w:w="28" w:type="dxa"/>
            </w:tcMar>
            <w:vAlign w:val="center"/>
          </w:tcPr>
          <w:p>
            <w:pPr>
              <w:pStyle w:val="TableContents"/>
              <w:bidi w:val="0"/>
              <w:spacing w:before="0" w:after="283"/>
              <w:jc w:val="left"/>
              <w:rPr/>
            </w:pPr>
            <w:r>
              <w:rPr/>
              <w:t>  </w:t>
            </w:r>
          </w:p>
        </w:tc>
        <w:tc>
          <w:tcPr>
            <w:tcW w:w="2120" w:type="dxa"/>
            <w:tcBorders>
              <w:bottom w:val="single" w:sz="8" w:space="0" w:color="33302B"/>
            </w:tcBorders>
            <w:tcMar>
              <w:bottom w:w="80" w:type="dxa"/>
            </w:tcMar>
            <w:vAlign w:val="center"/>
          </w:tcPr>
          <w:p>
            <w:pPr>
              <w:pStyle w:val="TableContents"/>
              <w:bidi w:val="0"/>
              <w:spacing w:before="0" w:after="283"/>
              <w:jc w:val="center"/>
              <w:rPr>
                <w:b/>
                <w:color w:val="00AE4F"/>
              </w:rPr>
            </w:pPr>
            <w:r>
              <w:rPr>
                <w:b/>
                <w:color w:val="00AE4F"/>
              </w:rPr>
              <w:t>Number of securities</w:t>
              <w:br/>
              <w:t>to be issued upon</w:t>
              <w:br/>
              <w:t>exercise of</w:t>
              <w:br/>
              <w:t>outstanding options,</w:t>
              <w:br/>
              <w:t>warrants and rights</w:t>
            </w:r>
          </w:p>
        </w:tc>
        <w:tc>
          <w:tcPr>
            <w:tcW w:w="120" w:type="dxa"/>
            <w:tcBorders>
              <w:bottom w:val="single" w:sz="8" w:space="0" w:color="33302B"/>
            </w:tcBorders>
            <w:tcMar>
              <w:bottom w:w="28" w:type="dxa"/>
            </w:tcMar>
            <w:vAlign w:val="center"/>
          </w:tcPr>
          <w:p>
            <w:pPr>
              <w:pStyle w:val="TableContents"/>
              <w:bidi w:val="0"/>
              <w:spacing w:before="0" w:after="283"/>
              <w:jc w:val="left"/>
              <w:rPr/>
            </w:pPr>
            <w:r>
              <w:rPr/>
              <w:t>  </w:t>
            </w:r>
          </w:p>
        </w:tc>
        <w:tc>
          <w:tcPr>
            <w:tcW w:w="1220" w:type="dxa"/>
            <w:tcBorders>
              <w:bottom w:val="single" w:sz="8" w:space="0" w:color="33302B"/>
            </w:tcBorders>
            <w:tcMar>
              <w:bottom w:w="80" w:type="dxa"/>
            </w:tcMar>
            <w:vAlign w:val="center"/>
          </w:tcPr>
          <w:p>
            <w:pPr>
              <w:pStyle w:val="TableContents"/>
              <w:bidi w:val="0"/>
              <w:spacing w:before="0" w:after="283"/>
              <w:jc w:val="center"/>
              <w:rPr>
                <w:b/>
                <w:color w:val="00AE4F"/>
              </w:rPr>
            </w:pPr>
            <w:r>
              <w:rPr>
                <w:b/>
                <w:color w:val="00AE4F"/>
              </w:rPr>
              <w:t>Weighted-</w:t>
              <w:br/>
              <w:t>average</w:t>
              <w:br/>
              <w:t>exercise</w:t>
              <w:br/>
              <w:t>price of</w:t>
              <w:br/>
              <w:t>outstanding</w:t>
              <w:br/>
              <w:t>options,</w:t>
              <w:br/>
              <w:t>warrants</w:t>
              <w:br/>
              <w:t>and rights</w:t>
            </w:r>
          </w:p>
        </w:tc>
        <w:tc>
          <w:tcPr>
            <w:tcW w:w="120" w:type="dxa"/>
            <w:tcBorders>
              <w:bottom w:val="single" w:sz="8" w:space="0" w:color="33302B"/>
            </w:tcBorders>
            <w:tcMar>
              <w:bottom w:w="28" w:type="dxa"/>
            </w:tcMar>
            <w:vAlign w:val="center"/>
          </w:tcPr>
          <w:p>
            <w:pPr>
              <w:pStyle w:val="TableContents"/>
              <w:bidi w:val="0"/>
              <w:spacing w:before="0" w:after="283"/>
              <w:jc w:val="left"/>
              <w:rPr/>
            </w:pPr>
            <w:r>
              <w:rPr/>
              <w:t>  </w:t>
            </w:r>
          </w:p>
        </w:tc>
        <w:tc>
          <w:tcPr>
            <w:tcW w:w="2138" w:type="dxa"/>
            <w:tcBorders>
              <w:bottom w:val="single" w:sz="8" w:space="0" w:color="33302B"/>
            </w:tcBorders>
            <w:tcMar>
              <w:bottom w:w="80" w:type="dxa"/>
            </w:tcMar>
            <w:vAlign w:val="center"/>
          </w:tcPr>
          <w:p>
            <w:pPr>
              <w:pStyle w:val="TableContents"/>
              <w:bidi w:val="0"/>
              <w:spacing w:before="0" w:after="0"/>
              <w:jc w:val="center"/>
              <w:rPr>
                <w:rFonts w:ascii="arial" w:hAnsi="arial"/>
                <w:b/>
                <w:color w:val="00AE4F"/>
                <w:sz w:val="16"/>
              </w:rPr>
            </w:pPr>
            <w:r>
              <w:rPr>
                <w:rFonts w:ascii="arial" w:hAnsi="arial"/>
                <w:b/>
                <w:color w:val="00AE4F"/>
                <w:sz w:val="16"/>
              </w:rPr>
              <w:t>Number of securities    </w:t>
              <w:br/>
              <w:t>remaining    </w:t>
              <w:br/>
              <w:t>available for future    </w:t>
              <w:br/>
              <w:t>issuance under    </w:t>
            </w:r>
          </w:p>
          <w:p>
            <w:pPr>
              <w:pStyle w:val="TableContents"/>
              <w:bidi w:val="0"/>
              <w:spacing w:before="0" w:after="0"/>
              <w:jc w:val="center"/>
              <w:rPr>
                <w:rFonts w:ascii="arial" w:hAnsi="arial"/>
                <w:b/>
                <w:color w:val="00AE4F"/>
                <w:sz w:val="16"/>
              </w:rPr>
            </w:pPr>
            <w:r>
              <w:rPr>
                <w:rFonts w:ascii="arial" w:hAnsi="arial"/>
                <w:b/>
                <w:color w:val="00AE4F"/>
                <w:sz w:val="16"/>
              </w:rPr>
              <w:t>equity    </w:t>
              <w:br/>
              <w:t>compensation plans    </w:t>
              <w:br/>
              <w:t>(excluding    </w:t>
            </w:r>
          </w:p>
          <w:p>
            <w:pPr>
              <w:pStyle w:val="TableContents"/>
              <w:bidi w:val="0"/>
              <w:spacing w:before="0" w:after="0"/>
              <w:jc w:val="center"/>
              <w:rPr>
                <w:rFonts w:ascii="arial" w:hAnsi="arial"/>
                <w:b/>
                <w:color w:val="00AE4F"/>
                <w:sz w:val="16"/>
              </w:rPr>
            </w:pPr>
            <w:r>
              <w:rPr>
                <w:rFonts w:ascii="arial" w:hAnsi="arial"/>
                <w:b/>
                <w:color w:val="00AE4F"/>
                <w:sz w:val="16"/>
              </w:rPr>
              <w:t>securities reflected    </w:t>
            </w:r>
          </w:p>
          <w:p>
            <w:pPr>
              <w:pStyle w:val="TableContents"/>
              <w:bidi w:val="0"/>
              <w:spacing w:before="0" w:after="20"/>
              <w:jc w:val="center"/>
              <w:rPr>
                <w:rFonts w:ascii="arial" w:hAnsi="arial"/>
                <w:b/>
                <w:color w:val="00AE4F"/>
                <w:sz w:val="16"/>
              </w:rPr>
            </w:pPr>
            <w:r>
              <w:rPr>
                <w:rFonts w:ascii="arial" w:hAnsi="arial"/>
                <w:b/>
                <w:color w:val="00AE4F"/>
                <w:sz w:val="16"/>
              </w:rPr>
              <w:t>in the first column) (3)    </w:t>
            </w:r>
          </w:p>
        </w:tc>
      </w:tr>
      <w:tr>
        <w:trPr/>
        <w:tc>
          <w:tcPr>
            <w:tcW w:w="4367" w:type="dxa"/>
            <w:tcBorders/>
            <w:vAlign w:val="center"/>
          </w:tcPr>
          <w:p>
            <w:pPr>
              <w:pStyle w:val="TableContents"/>
              <w:bidi w:val="0"/>
              <w:spacing w:before="0" w:after="283"/>
              <w:jc w:val="left"/>
              <w:rPr>
                <w:sz w:val="4"/>
                <w:szCs w:val="4"/>
              </w:rPr>
            </w:pPr>
            <w:r>
              <w:rPr>
                <w:sz w:val="4"/>
                <w:szCs w:val="4"/>
              </w:rPr>
            </w:r>
          </w:p>
        </w:tc>
        <w:tc>
          <w:tcPr>
            <w:tcW w:w="2240"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2258" w:type="dxa"/>
            <w:gridSpan w:val="2"/>
            <w:tcBorders/>
            <w:vAlign w:val="center"/>
          </w:tcPr>
          <w:p>
            <w:pPr>
              <w:pStyle w:val="TableContents"/>
              <w:bidi w:val="0"/>
              <w:spacing w:before="0" w:after="283"/>
              <w:jc w:val="left"/>
              <w:rPr>
                <w:sz w:val="4"/>
                <w:szCs w:val="4"/>
              </w:rPr>
            </w:pPr>
            <w:r>
              <w:rPr>
                <w:sz w:val="4"/>
                <w:szCs w:val="4"/>
              </w:rPr>
            </w:r>
          </w:p>
        </w:tc>
      </w:tr>
      <w:tr>
        <w:trPr/>
        <w:tc>
          <w:tcPr>
            <w:tcW w:w="4367"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Equity compensation plans approved by security holders(1)</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120" w:type="dxa"/>
            <w:tcBorders>
              <w:bottom w:val="single" w:sz="6" w:space="0" w:color="7F7F7F"/>
            </w:tcBorders>
            <w:tcMar>
              <w:bottom w:w="40" w:type="dxa"/>
            </w:tcMar>
            <w:vAlign w:val="center"/>
          </w:tcPr>
          <w:p>
            <w:pPr>
              <w:pStyle w:val="TableContents"/>
              <w:bidi w:val="0"/>
              <w:spacing w:before="0" w:after="283"/>
              <w:jc w:val="center"/>
              <w:rPr/>
            </w:pPr>
            <w:r>
              <w:rPr/>
              <w:t>986,548</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220" w:type="dxa"/>
            <w:tcBorders>
              <w:bottom w:val="single" w:sz="6" w:space="0" w:color="7F7F7F"/>
            </w:tcBorders>
            <w:tcMar>
              <w:bottom w:w="40" w:type="dxa"/>
            </w:tcMar>
            <w:vAlign w:val="center"/>
          </w:tcPr>
          <w:p>
            <w:pPr>
              <w:pStyle w:val="TableContents"/>
              <w:bidi w:val="0"/>
              <w:spacing w:before="0" w:after="283"/>
              <w:jc w:val="center"/>
              <w:rPr/>
            </w:pPr>
            <w:r>
              <w:rPr/>
              <w: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138" w:type="dxa"/>
            <w:tcBorders>
              <w:bottom w:val="single" w:sz="6" w:space="0" w:color="7F7F7F"/>
            </w:tcBorders>
            <w:tcMar>
              <w:bottom w:w="40" w:type="dxa"/>
            </w:tcMar>
            <w:vAlign w:val="center"/>
          </w:tcPr>
          <w:p>
            <w:pPr>
              <w:pStyle w:val="TableContents"/>
              <w:bidi w:val="0"/>
              <w:spacing w:before="0" w:after="283"/>
              <w:jc w:val="center"/>
              <w:rPr/>
            </w:pPr>
            <w:r>
              <w:rPr/>
              <w:t>4,595,294</w:t>
            </w:r>
          </w:p>
        </w:tc>
      </w:tr>
      <w:tr>
        <w:trPr/>
        <w:tc>
          <w:tcPr>
            <w:tcW w:w="4367" w:type="dxa"/>
            <w:tcBorders/>
            <w:vAlign w:val="center"/>
          </w:tcPr>
          <w:p>
            <w:pPr>
              <w:pStyle w:val="TableContents"/>
              <w:bidi w:val="0"/>
              <w:spacing w:before="0" w:after="283"/>
              <w:jc w:val="left"/>
              <w:rPr>
                <w:sz w:val="4"/>
                <w:szCs w:val="4"/>
              </w:rPr>
            </w:pPr>
            <w:r>
              <w:rPr>
                <w:sz w:val="4"/>
                <w:szCs w:val="4"/>
              </w:rPr>
            </w:r>
          </w:p>
        </w:tc>
        <w:tc>
          <w:tcPr>
            <w:tcW w:w="2240"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2258" w:type="dxa"/>
            <w:gridSpan w:val="2"/>
            <w:tcBorders/>
            <w:vAlign w:val="center"/>
          </w:tcPr>
          <w:p>
            <w:pPr>
              <w:pStyle w:val="TableContents"/>
              <w:bidi w:val="0"/>
              <w:spacing w:before="0" w:after="283"/>
              <w:jc w:val="left"/>
              <w:rPr>
                <w:sz w:val="4"/>
                <w:szCs w:val="4"/>
              </w:rPr>
            </w:pPr>
            <w:r>
              <w:rPr>
                <w:sz w:val="4"/>
                <w:szCs w:val="4"/>
              </w:rPr>
            </w:r>
          </w:p>
        </w:tc>
      </w:tr>
      <w:tr>
        <w:trPr/>
        <w:tc>
          <w:tcPr>
            <w:tcW w:w="4367"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Equity compensation plans not approved by security holders(2)</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120" w:type="dxa"/>
            <w:tcBorders>
              <w:bottom w:val="single" w:sz="6" w:space="0" w:color="7F7F7F"/>
            </w:tcBorders>
            <w:tcMar>
              <w:bottom w:w="40" w:type="dxa"/>
            </w:tcMar>
            <w:vAlign w:val="center"/>
          </w:tcPr>
          <w:p>
            <w:pPr>
              <w:pStyle w:val="TableContents"/>
              <w:bidi w:val="0"/>
              <w:spacing w:before="0" w:after="283"/>
              <w:jc w:val="center"/>
              <w:rPr/>
            </w:pPr>
            <w:r>
              <w:rPr/>
              <w:t>316,082</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220" w:type="dxa"/>
            <w:tcBorders>
              <w:bottom w:val="single" w:sz="6" w:space="0" w:color="7F7F7F"/>
            </w:tcBorders>
            <w:tcMar>
              <w:bottom w:w="40" w:type="dxa"/>
            </w:tcMar>
            <w:vAlign w:val="center"/>
          </w:tcPr>
          <w:p>
            <w:pPr>
              <w:pStyle w:val="TableContents"/>
              <w:bidi w:val="0"/>
              <w:spacing w:before="0" w:after="283"/>
              <w:jc w:val="center"/>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138" w:type="dxa"/>
            <w:tcBorders>
              <w:bottom w:val="single" w:sz="6" w:space="0" w:color="7F7F7F"/>
            </w:tcBorders>
            <w:tcMar>
              <w:bottom w:w="40" w:type="dxa"/>
            </w:tcMar>
            <w:vAlign w:val="center"/>
          </w:tcPr>
          <w:p>
            <w:pPr>
              <w:pStyle w:val="TableContents"/>
              <w:bidi w:val="0"/>
              <w:spacing w:before="0" w:after="283"/>
              <w:jc w:val="center"/>
              <w:rPr/>
            </w:pPr>
            <w:r>
              <w:rPr/>
              <w:t>—</w:t>
            </w:r>
          </w:p>
        </w:tc>
      </w:tr>
      <w:tr>
        <w:trPr/>
        <w:tc>
          <w:tcPr>
            <w:tcW w:w="4367" w:type="dxa"/>
            <w:tcBorders/>
            <w:vAlign w:val="center"/>
          </w:tcPr>
          <w:p>
            <w:pPr>
              <w:pStyle w:val="TableContents"/>
              <w:bidi w:val="0"/>
              <w:spacing w:before="0" w:after="283"/>
              <w:jc w:val="left"/>
              <w:rPr>
                <w:sz w:val="4"/>
                <w:szCs w:val="4"/>
              </w:rPr>
            </w:pPr>
            <w:r>
              <w:rPr>
                <w:sz w:val="4"/>
                <w:szCs w:val="4"/>
              </w:rPr>
            </w:r>
          </w:p>
        </w:tc>
        <w:tc>
          <w:tcPr>
            <w:tcW w:w="2240"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2258" w:type="dxa"/>
            <w:gridSpan w:val="2"/>
            <w:tcBorders/>
            <w:vAlign w:val="center"/>
          </w:tcPr>
          <w:p>
            <w:pPr>
              <w:pStyle w:val="TableContents"/>
              <w:bidi w:val="0"/>
              <w:spacing w:before="0" w:after="283"/>
              <w:jc w:val="left"/>
              <w:rPr>
                <w:sz w:val="4"/>
                <w:szCs w:val="4"/>
              </w:rPr>
            </w:pPr>
            <w:r>
              <w:rPr>
                <w:sz w:val="4"/>
                <w:szCs w:val="4"/>
              </w:rPr>
            </w:r>
          </w:p>
        </w:tc>
      </w:tr>
      <w:tr>
        <w:trPr/>
        <w:tc>
          <w:tcPr>
            <w:tcW w:w="4367"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Total</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120" w:type="dxa"/>
            <w:tcBorders>
              <w:bottom w:val="single" w:sz="6" w:space="0" w:color="7F7F7F"/>
            </w:tcBorders>
            <w:tcMar>
              <w:bottom w:w="40" w:type="dxa"/>
            </w:tcMar>
            <w:vAlign w:val="center"/>
          </w:tcPr>
          <w:p>
            <w:pPr>
              <w:pStyle w:val="TableContents"/>
              <w:bidi w:val="0"/>
              <w:spacing w:before="0" w:after="283"/>
              <w:jc w:val="center"/>
              <w:rPr/>
            </w:pPr>
            <w:r>
              <w:rPr/>
              <w:t>1,302,630</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220" w:type="dxa"/>
            <w:tcBorders>
              <w:bottom w:val="single" w:sz="6" w:space="0" w:color="7F7F7F"/>
            </w:tcBorders>
            <w:tcMar>
              <w:bottom w:w="40" w:type="dxa"/>
            </w:tcMar>
            <w:vAlign w:val="center"/>
          </w:tcPr>
          <w:p>
            <w:pPr>
              <w:pStyle w:val="TableContents"/>
              <w:bidi w:val="0"/>
              <w:spacing w:before="0" w:after="283"/>
              <w:jc w:val="center"/>
              <w:rPr/>
            </w:pPr>
            <w:r>
              <w:rPr/>
              <w: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2138" w:type="dxa"/>
            <w:tcBorders>
              <w:bottom w:val="single" w:sz="6" w:space="0" w:color="7F7F7F"/>
            </w:tcBorders>
            <w:tcMar>
              <w:bottom w:w="40" w:type="dxa"/>
            </w:tcMar>
            <w:vAlign w:val="center"/>
          </w:tcPr>
          <w:p>
            <w:pPr>
              <w:pStyle w:val="TableContents"/>
              <w:bidi w:val="0"/>
              <w:spacing w:before="0" w:after="283"/>
              <w:jc w:val="center"/>
              <w:rPr/>
            </w:pPr>
            <w:r>
              <w:rPr/>
              <w:t>4,595,294</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(1)</w:t>
            </w:r>
          </w:p>
        </w:tc>
        <w:tc>
          <w:tcPr>
            <w:tcW w:w="9957" w:type="dxa"/>
            <w:tcBorders/>
            <w:vAlign w:val="center"/>
          </w:tcPr>
          <w:p>
            <w:pPr>
              <w:pStyle w:val="TableContents"/>
              <w:bidi w:val="0"/>
              <w:spacing w:before="0" w:after="0"/>
              <w:jc w:val="left"/>
              <w:rPr>
                <w:rFonts w:ascii="arial" w:hAnsi="arial"/>
                <w:sz w:val="14"/>
              </w:rPr>
            </w:pPr>
            <w:r>
              <w:rPr>
                <w:rFonts w:ascii="arial" w:hAnsi="arial"/>
                <w:sz w:val="14"/>
              </w:rPr>
              <w:t xml:space="preserve">On May 8, 2025, the Company’s stockholders approved the Kelly Services, Inc. 2025 Equity Incentive Plan (the “EIP”). Upon approval of the EIP, the Company’s Equity Incentive Plan, as amended and restated February 15, 2017, (the “Prior Plan”) terminated in its entirety and no further awards may be granted under the Prior plan. All outstanding awards under the Prior Plan as of the Effective Date, shall remain outstanding and shall be administered and settled in accordance with their terms and the provisions of the prior plan. The EIP provides the maximum number of shares available for grants is 4,814,171.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left"/>
              <w:rPr>
                <w:rFonts w:ascii="arial" w:hAnsi="arial"/>
                <w:sz w:val="14"/>
              </w:rPr>
            </w:pPr>
            <w:r>
              <w:rPr>
                <w:rFonts w:ascii="arial" w:hAnsi="arial"/>
                <w:sz w:val="14"/>
              </w:rPr>
              <w:t xml:space="preserve">The number of shares to be issued upon exercise of outstanding options, warrants and rights includes: performance shares that have been earned but not yet vested totaling 122,516 performance awards that cliff vest after three years and performance shares granted to employees not yet earned or vested totaling 864,032 shares of performance awards, calculated using an assumed maximum award performance level of 200%, where applicable, at December 28,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(2)</w:t>
            </w:r>
          </w:p>
        </w:tc>
        <w:tc>
          <w:tcPr>
            <w:tcW w:w="9964" w:type="dxa"/>
            <w:tcBorders/>
            <w:vAlign w:val="center"/>
          </w:tcPr>
          <w:p>
            <w:pPr>
              <w:pStyle w:val="TableContents"/>
              <w:bidi w:val="0"/>
              <w:spacing w:before="0" w:after="0"/>
              <w:jc w:val="left"/>
              <w:rPr>
                <w:rFonts w:ascii="arial" w:hAnsi="arial"/>
                <w:sz w:val="14"/>
              </w:rPr>
            </w:pPr>
            <w:r>
              <w:rPr>
                <w:rFonts w:ascii="arial" w:hAnsi="arial"/>
                <w:sz w:val="14"/>
              </w:rPr>
              <w:t xml:space="preserve">The Non-Employee Directors Deferred Compensation Plan is an equity compensation plan that has not been approved by our stockholders. This plan provides non-employee directors with the opportunity to defer all or a portion of the fees they receive. Participants may elect to have director fees that are paid in either cash or common stock, deferred into the plan. Participants choose from a list of investment funds as determined by the Company for their deferrals of cash. Deferrals of common stock must remain in common stock and one share of common stock will be given in exchange for each unit of phantom stock upon the director’s retirement from the Board of Directors. Amounts deferred under the plan are subject to applicable tax withholding. The plan is intended to be a non-qualified deferred compensation arrangement in compliance with Section 409A of the Code. Shares acquired by participants in this plan will be issued from the share reserve stated in the Equity Incentive Plan. </w:t>
            </w:r>
          </w:p>
        </w:tc>
      </w:tr>
    </w:tbl>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305"/>
        <w:gridCol w:w="4565"/>
      </w:tblGrid>
      <w:tr>
        <w:trPr/>
        <w:tc>
          <w:tcPr>
            <w:tcW w:w="305" w:type="dxa"/>
            <w:tcBorders/>
            <w:vAlign w:val="center"/>
          </w:tcPr>
          <w:p>
            <w:pPr>
              <w:pStyle w:val="TableContents"/>
              <w:bidi w:val="0"/>
              <w:spacing w:before="0" w:after="283"/>
              <w:jc w:val="left"/>
              <w:rPr/>
            </w:pPr>
            <w:r>
              <w:rPr/>
              <w:t>(3)</w:t>
            </w:r>
          </w:p>
        </w:tc>
        <w:tc>
          <w:tcPr>
            <w:tcW w:w="4565" w:type="dxa"/>
            <w:tcBorders/>
            <w:vAlign w:val="center"/>
          </w:tcPr>
          <w:p>
            <w:pPr>
              <w:pStyle w:val="TableContents"/>
              <w:bidi w:val="0"/>
              <w:spacing w:before="0" w:after="0"/>
              <w:jc w:val="left"/>
              <w:rPr>
                <w:rFonts w:ascii="arial" w:hAnsi="arial"/>
                <w:sz w:val="14"/>
              </w:rPr>
            </w:pPr>
            <w:r>
              <w:rPr>
                <w:rFonts w:ascii="arial" w:hAnsi="arial"/>
                <w:sz w:val="14"/>
              </w:rPr>
              <w:t xml:space="preserve">Represents shares remaining available for issuance under the 2025 EIP. </w:t>
            </w:r>
          </w:p>
        </w:tc>
      </w:tr>
    </w:tbl>
    <w:p>
      <w:pPr>
        <w:pStyle w:val="TextBody"/>
        <w:bidi w:val="0"/>
        <w:spacing w:before="360" w:after="0"/>
        <w:jc w:val="left"/>
        <w:rPr>
          <w:rFonts w:ascii="arial" w:hAnsi="arial"/>
          <w:b/>
          <w:sz w:val="24"/>
        </w:rPr>
      </w:pPr>
      <w:bookmarkStart w:id="95" w:name="toc37355_75"/>
      <w:bookmarkEnd w:id="95"/>
      <w:r>
        <w:rPr>
          <w:rFonts w:ascii="arial" w:hAnsi="arial"/>
          <w:b/>
          <w:sz w:val="24"/>
        </w:rPr>
        <w:t xml:space="preserve">Potential Payments Upon Termination or Change in Control 2025 </w:t>
      </w:r>
    </w:p>
    <w:p>
      <w:pPr>
        <w:pStyle w:val="TextBody"/>
        <w:bidi w:val="0"/>
        <w:spacing w:before="120" w:after="0"/>
        <w:jc w:val="left"/>
        <w:rPr>
          <w:rFonts w:ascii="arial" w:hAnsi="arial"/>
          <w:i/>
          <w:sz w:val="20"/>
        </w:rPr>
      </w:pPr>
      <w:bookmarkStart w:id="96" w:name="toc37355_76"/>
      <w:bookmarkEnd w:id="96"/>
      <w:r>
        <w:rPr>
          <w:rFonts w:ascii="arial" w:hAnsi="arial"/>
          <w:i/>
          <w:sz w:val="20"/>
        </w:rPr>
        <w:t xml:space="preserve">Summary of Potential Payments </w:t>
      </w:r>
    </w:p>
    <w:p>
      <w:pPr>
        <w:pStyle w:val="TextBody"/>
        <w:bidi w:val="0"/>
        <w:spacing w:before="80" w:after="0"/>
        <w:jc w:val="left"/>
        <w:rPr>
          <w:rFonts w:ascii="arial" w:hAnsi="arial"/>
          <w:sz w:val="16"/>
        </w:rPr>
      </w:pPr>
      <w:r>
        <w:rPr>
          <w:rFonts w:ascii="arial" w:hAnsi="arial"/>
          <w:sz w:val="16"/>
        </w:rPr>
        <w:t xml:space="preserve">This section describes the potential additional payments and benefits under our compensation and benefit plans and arrangements to which the named executive officers would be entitled upon termination of employment under certain circumstances. Named executive officers would also be entitled to vested benefits and generally available benefits under our various plans and arrangements, as discussed after the Potential Payments Upon Termination or Change in Control table. The Company does not maintain employment agreements with our named executive officers, other than where it is customary outside of the U.S. The table following the narrative discussion summarizes the amounts payable upon termination under certain circumstances to our named executive officers, assuming that the executive’s employment terminated on December 28, 2025, the last day of our fiscal year. </w:t>
      </w:r>
    </w:p>
    <w:p>
      <w:pPr>
        <w:pStyle w:val="TextBody"/>
        <w:bidi w:val="0"/>
        <w:spacing w:before="240" w:after="0"/>
        <w:jc w:val="left"/>
        <w:rPr>
          <w:rFonts w:ascii="arial" w:hAnsi="arial"/>
          <w:i/>
          <w:sz w:val="20"/>
        </w:rPr>
      </w:pPr>
      <w:bookmarkStart w:id="97" w:name="toc37355_77"/>
      <w:bookmarkEnd w:id="97"/>
      <w:r>
        <w:rPr>
          <w:rFonts w:ascii="arial" w:hAnsi="arial"/>
          <w:i/>
          <w:sz w:val="20"/>
        </w:rPr>
        <w:t xml:space="preserve">Senior Executive Severance Plan </w:t>
      </w:r>
    </w:p>
    <w:p>
      <w:pPr>
        <w:pStyle w:val="TextBody"/>
        <w:bidi w:val="0"/>
        <w:spacing w:before="80" w:after="0"/>
        <w:jc w:val="left"/>
        <w:rPr>
          <w:rFonts w:ascii="arial" w:hAnsi="arial"/>
          <w:sz w:val="18"/>
        </w:rPr>
      </w:pPr>
      <w:r>
        <w:rPr>
          <w:rFonts w:ascii="arial" w:hAnsi="arial"/>
          <w:sz w:val="18"/>
        </w:rPr>
        <w:t xml:space="preserve">The Company implemented the Senior Executive Severance Plan (“Severance Plan”) for a limited number of executive officers in March 2017. During its March 23, 2021 meeting, the Committee approved expanding the Severance Plan to include other senior officers. Described below and illustrated in the table, Potential Payments Upon Termination or Change in Control, are the different elements payable under the Severance Plan if a named executive officer who was a party to the Severance Plan would experience a qualifying termination. All continuation amounts would be paid over the salary continuation period in compliance with Section 409A of the Code. Messrs. Layden and Anderson,, and Mses. Browning, Williams and Soares were covered in the Severance Plan for 2025. </w:t>
      </w:r>
    </w:p>
    <w:p>
      <w:pPr>
        <w:pStyle w:val="TextBody"/>
        <w:bidi w:val="0"/>
        <w:spacing w:before="80" w:after="0"/>
        <w:jc w:val="left"/>
        <w:rPr>
          <w:rFonts w:ascii="arial" w:hAnsi="arial"/>
          <w:sz w:val="18"/>
        </w:rPr>
      </w:pPr>
      <w:r>
        <w:rPr>
          <w:rFonts w:ascii="arial" w:hAnsi="arial"/>
          <w:sz w:val="18"/>
        </w:rPr>
        <w:t xml:space="preserve">If one of the eligible named executive officers were to have experienced a qualifying termination under the Severance Plan in 2025, the named executive officer would have been entitled to severance benefits based on the type of qualified termination and whether they were a Tier 1, Tier 2, or Tier 3 participant. Mr. Layden was the only Tier 1 participant in the Severance Plan. Mr. Anderson and Ms. Williams were Tier 2 participants in the Severance Plan. Mses. Browning and Soares were a Tier 3 participants in the Severance Plan. A “qualified termination” is any termination of a participant’s employment: by the Company other than for cause, disability, or death; or for “good reason” by a participant in connection with a change in control. </w:t>
      </w:r>
    </w:p>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215"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88" descr=""/>
                          <pic:cNvPicPr>
                            <a:picLocks noChangeAspect="1" noChangeArrowheads="1"/>
                          </pic:cNvPicPr>
                        </pic:nvPicPr>
                        <pic:blipFill>
                          <a:blip r:embed="rId200"/>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2025 Executive Compensation Tables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For a qualified termination that occurs not in connection with a change in control, a Tier 1 participant would receive severance payments in the form of base salary continuation for a period of 24 months, a Tier 2 participant would receive severance payments in the form of base salary continuation for a period of 18 months, and a Tier 3 participant would receive severance payments in the form of base salary continuation for a period of 12 months. In addition, Tier 1, Tier 2, and Tier 3 participants would receive a prorated portion of their annual incentive compensation for the fiscal year in which the termination occurred, based on the actual performance results for the year. The pro rata annual incentive payout will be determined based on the number of days in the fiscal year the eligible named executive officer was actually employed during such plan year divided by 365. Prorated annual incentive awards are paid at the same time that incentive compensation for the same year is paid to the other senior officers of the Company, following certification by the Committee that applicable performance goals have been attained. Salary continuation amounts would be paid by the Company in installments over the severance period and in accordance with the Company’s standard payroll practice, subject to the requirements of Section 409A. </w:t>
      </w:r>
    </w:p>
    <w:p>
      <w:pPr>
        <w:pStyle w:val="TextBody"/>
        <w:bidi w:val="0"/>
        <w:spacing w:before="80" w:after="0"/>
        <w:jc w:val="left"/>
        <w:rPr>
          <w:rFonts w:ascii="arial" w:hAnsi="arial"/>
          <w:sz w:val="18"/>
        </w:rPr>
      </w:pPr>
      <w:r>
        <w:rPr>
          <w:rFonts w:ascii="arial" w:hAnsi="arial"/>
          <w:sz w:val="18"/>
        </w:rPr>
        <w:t xml:space="preserve">For a qualified termination that occurs in connection with a change in control, a Tier 1 participant would receive a single lump sum severance payment equal to two times the sum of the participant’s annual base salary and target annual incentive compensation. A Tier 2 participant would receive a single lump sum severance payment equal to one and one-half times the sum of the participant’s annual base salary and target annual incentive compensation. A Tier 3 participant would receive a single lump sum severance payment equal to one time the sum of the participant’s annual base salary and target annual incentive compensation. In addition, Tier 1, Tier 2, and Tier 3 participants would receive a prorated portion of their annual incentive compensation. If the qualifying termination occurred in the same year as the change in control, a prorated portion of the participant’s annual incentive compensation is paid based on achievement of a target level of performance. If the qualifying termination occurred in the two years following a change in control, a prorated portion of the participant’s annual incentive compensation is paid based on the actual performance results achieved for the year. Any pro rata annual incentive payout will be determined based on the number of days in the fiscal year the eligible named executive officer was actually employed during such plan year divided by 365. Prorated annual incentive awards are paid in a lump sum at the same time that incentive compensation for the same year is paid to the other senior officers of the Company, following certification by the Committee that applicable performance goals have been attained. Participants are subject to a best-net cutback for 280G excise tax calculations with no excise tax gross-ups provided under the Severance Plan. </w:t>
      </w:r>
    </w:p>
    <w:p>
      <w:pPr>
        <w:pStyle w:val="TextBody"/>
        <w:bidi w:val="0"/>
        <w:spacing w:before="80" w:after="0"/>
        <w:jc w:val="left"/>
        <w:rPr>
          <w:rFonts w:ascii="arial" w:hAnsi="arial"/>
          <w:sz w:val="18"/>
        </w:rPr>
      </w:pPr>
      <w:r>
        <w:rPr>
          <w:rFonts w:ascii="arial" w:hAnsi="arial"/>
          <w:sz w:val="18"/>
        </w:rPr>
        <w:t xml:space="preserve">Subject to the participant’s timely election of continued coverage under the Consolidated Omnibus Budget Reconciliation Act of 1985, as amended (“COBRA”), the Company would provide comparable medical (including prescription drug), dental, vision, and hospitalization benefits to the eligible named executive officer and his or her eligible dependents for the severance period, provided the named executive officer continues to pay the applicable employee rate for such coverage and the named executive officer remains eligible for COBRA coverage. The severance period for a Tier 1 participant is 24 months, for a Tier 2 participant is 18 months, and for Tier 3 participant is 12 months. </w:t>
      </w:r>
    </w:p>
    <w:p>
      <w:pPr>
        <w:pStyle w:val="TextBody"/>
        <w:bidi w:val="0"/>
        <w:spacing w:before="80" w:after="0"/>
        <w:jc w:val="left"/>
        <w:rPr>
          <w:rFonts w:ascii="arial" w:hAnsi="arial"/>
          <w:sz w:val="18"/>
        </w:rPr>
      </w:pPr>
      <w:r>
        <w:rPr>
          <w:rFonts w:ascii="arial" w:hAnsi="arial"/>
          <w:sz w:val="18"/>
        </w:rPr>
        <w:t xml:space="preserve">The eligible named executive officer will be entitled to receive reimbursement for professional outplacement services actually incurred during the initial 12-month period following termination, not to exceed $10,000. </w:t>
      </w:r>
    </w:p>
    <w:p>
      <w:pPr>
        <w:pStyle w:val="TextBody"/>
        <w:bidi w:val="0"/>
        <w:spacing w:before="80" w:after="0"/>
        <w:jc w:val="left"/>
        <w:rPr>
          <w:rFonts w:ascii="arial" w:hAnsi="arial"/>
          <w:sz w:val="18"/>
        </w:rPr>
      </w:pPr>
      <w:r>
        <w:rPr>
          <w:rFonts w:ascii="arial" w:hAnsi="arial"/>
          <w:sz w:val="18"/>
        </w:rPr>
        <w:t xml:space="preserve">The eligible named executive officers, as a condition to receiving payments under the Severance Plan, are required to sign a general release of claims relating to their employment. In addition, they are required to agree not to directly or indirectly, individually or in any capacity or relationship, engage in any business or employment, or aid or endeavor to assist any business or legal entity, that is in direct competition with the business of the Company for the 12 months following termination. </w:t>
      </w:r>
    </w:p>
    <w:p>
      <w:pPr>
        <w:pStyle w:val="TextBody"/>
        <w:bidi w:val="0"/>
        <w:spacing w:before="80" w:after="0"/>
        <w:jc w:val="left"/>
        <w:rPr>
          <w:rFonts w:ascii="arial" w:hAnsi="arial"/>
          <w:sz w:val="18"/>
        </w:rPr>
      </w:pPr>
      <w:r>
        <w:rPr>
          <w:rFonts w:ascii="arial" w:hAnsi="arial"/>
          <w:sz w:val="18"/>
        </w:rPr>
        <w:t xml:space="preserve">During the 12 months following termination, the eligible named executive officers must also agree to not induce any employee of the Company to terminate employment with the Company, nor knowingly offer employment to any person who is or who was employed by the Company unless such person has ceased to be employed by the Company for a period of at least six months. </w:t>
      </w:r>
    </w:p>
    <w:p>
      <w:pPr>
        <w:pStyle w:val="TextBody"/>
        <w:bidi w:val="0"/>
        <w:spacing w:before="80" w:after="0"/>
        <w:jc w:val="left"/>
        <w:rPr>
          <w:rFonts w:ascii="arial" w:hAnsi="arial"/>
          <w:sz w:val="18"/>
        </w:rPr>
      </w:pPr>
      <w:r>
        <w:rPr>
          <w:rFonts w:ascii="arial" w:hAnsi="arial"/>
          <w:sz w:val="18"/>
        </w:rPr>
        <w:t xml:space="preserve">Named executive officers covered under the Severance Plan may not disparage, slander, or injure the business reputation or goodwill of the Company. </w:t>
      </w:r>
    </w:p>
    <w:p>
      <w:pPr>
        <w:pStyle w:val="TextBody"/>
        <w:bidi w:val="0"/>
        <w:spacing w:before="80" w:after="0"/>
        <w:jc w:val="left"/>
        <w:rPr>
          <w:rFonts w:ascii="arial" w:hAnsi="arial"/>
          <w:sz w:val="18"/>
        </w:rPr>
      </w:pPr>
      <w:r>
        <w:rPr>
          <w:rFonts w:ascii="arial" w:hAnsi="arial"/>
          <w:sz w:val="18"/>
        </w:rPr>
        <w:t xml:space="preserve">Named executive officers must maintain as secret and confidential all protected information such as trade secrets, confidential and proprietary business information of the Company, and any other information of the Company, including but not limited to customer lists, sources of supply, processes, plans, materials, pricing information, internal memoranda, marketing plans, internal policies, and products and services which may be developed from time to time by the Company and its agents or employees, including the named executive officer. </w:t>
      </w:r>
    </w:p>
    <w:p>
      <w:pPr>
        <w:pStyle w:val="TextBody"/>
        <w:bidi w:val="0"/>
        <w:spacing w:before="80" w:after="0"/>
        <w:jc w:val="left"/>
        <w:rPr>
          <w:rFonts w:ascii="arial" w:hAnsi="arial"/>
          <w:sz w:val="18"/>
        </w:rPr>
      </w:pPr>
      <w:r>
        <w:rPr>
          <w:rFonts w:ascii="arial" w:hAnsi="arial"/>
          <w:sz w:val="18"/>
        </w:rPr>
        <w:t xml:space="preserve">Noncompliance with any of the above may result in the loss of severance benefits. </w:t>
      </w:r>
    </w:p>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68 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216"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89" descr=""/>
                          <pic:cNvPicPr>
                            <a:picLocks noChangeAspect="1" noChangeArrowheads="1"/>
                          </pic:cNvPicPr>
                        </pic:nvPicPr>
                        <pic:blipFill>
                          <a:blip r:embed="rId201"/>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2025 Executive Compensation Tables </w:t>
      </w:r>
    </w:p>
    <w:p>
      <w:pPr>
        <w:pStyle w:val="TextBody"/>
        <w:bidi w:val="0"/>
        <w:spacing w:before="0" w:after="0"/>
        <w:jc w:val="left"/>
        <w:rPr/>
      </w:pPr>
      <w:r>
        <w:rPr/>
        <w:t> </w:t>
      </w:r>
    </w:p>
    <w:p>
      <w:pPr>
        <w:pStyle w:val="TextBody"/>
        <w:bidi w:val="0"/>
        <w:spacing w:before="0" w:after="0"/>
        <w:jc w:val="left"/>
        <w:rPr>
          <w:rFonts w:ascii="arial" w:hAnsi="arial"/>
          <w:i/>
          <w:sz w:val="20"/>
        </w:rPr>
      </w:pPr>
      <w:bookmarkStart w:id="98" w:name="toc37355_78"/>
      <w:bookmarkEnd w:id="98"/>
      <w:r>
        <w:rPr>
          <w:rFonts w:ascii="arial" w:hAnsi="arial"/>
          <w:i/>
          <w:sz w:val="20"/>
        </w:rPr>
        <w:t xml:space="preserve">Treatment of Long-Term Incentive Awards </w:t>
      </w:r>
    </w:p>
    <w:p>
      <w:pPr>
        <w:pStyle w:val="TextBody"/>
        <w:bidi w:val="0"/>
        <w:spacing w:before="80" w:after="0"/>
        <w:jc w:val="left"/>
        <w:rPr>
          <w:rFonts w:ascii="arial" w:hAnsi="arial"/>
          <w:sz w:val="18"/>
        </w:rPr>
      </w:pPr>
      <w:r>
        <w:rPr>
          <w:rFonts w:ascii="arial" w:hAnsi="arial"/>
          <w:sz w:val="18"/>
        </w:rPr>
        <w:t xml:space="preserve">Each equity-based award is conditioned upon the grantee’s acceptance of the terms of the 2025 Equity Incentive Plan and the grant agreement, which includes restrictive covenants such as post-employment conditions not to solicit the Company’s employees or customers and not to compete against the Company for twelve months following any termination of employment, and indefinite covenants covering non-disparagement and confidentiality terms. Each of our named executive officer’s performance-based equity awards is subject to the Company’s Clawback Policy. Provisions for the treatment of long-term incentive awards upon various termination scenarios are outlined in the table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77"/>
        <w:gridCol w:w="120"/>
        <w:gridCol w:w="1915"/>
        <w:gridCol w:w="120"/>
        <w:gridCol w:w="5973"/>
      </w:tblGrid>
      <w:tr>
        <w:trPr/>
        <w:tc>
          <w:tcPr>
            <w:tcW w:w="20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73" w:type="dxa"/>
            <w:tcBorders/>
            <w:vAlign w:val="center"/>
          </w:tcPr>
          <w:p>
            <w:pPr>
              <w:pStyle w:val="TableContents"/>
              <w:bidi w:val="0"/>
              <w:spacing w:before="0" w:after="283"/>
              <w:jc w:val="left"/>
              <w:rPr>
                <w:sz w:val="4"/>
                <w:szCs w:val="4"/>
              </w:rPr>
            </w:pPr>
            <w:r>
              <w:rPr>
                <w:sz w:val="4"/>
                <w:szCs w:val="4"/>
              </w:rPr>
            </w:r>
          </w:p>
        </w:tc>
      </w:tr>
      <w:tr>
        <w:trPr/>
        <w:tc>
          <w:tcPr>
            <w:tcW w:w="2077" w:type="dxa"/>
            <w:tcBorders>
              <w:bottom w:val="single" w:sz="8" w:space="0" w:color="000000"/>
            </w:tcBorders>
            <w:tcMar>
              <w:bottom w:w="40" w:type="dxa"/>
            </w:tcMar>
            <w:vAlign w:val="center"/>
          </w:tcPr>
          <w:p>
            <w:pPr>
              <w:pStyle w:val="TableContents"/>
              <w:bidi w:val="0"/>
              <w:spacing w:before="0" w:after="0"/>
              <w:jc w:val="left"/>
              <w:rPr>
                <w:rFonts w:ascii="arial" w:hAnsi="arial"/>
                <w:b/>
                <w:color w:val="00AE4F"/>
                <w:sz w:val="16"/>
              </w:rPr>
            </w:pPr>
            <w:r>
              <w:rPr>
                <w:rFonts w:ascii="arial" w:hAnsi="arial"/>
                <w:b/>
                <w:color w:val="00AE4F"/>
                <w:sz w:val="16"/>
              </w:rPr>
              <w:t>Termination</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915"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Restricted Stock/Units</w:t>
              <w:br/>
              <w:t>(Time Vesting)</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5973" w:type="dxa"/>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Performance Shares</w:t>
              <w:br/>
              <w:t>(Performance and Time Vesting)</w:t>
            </w:r>
          </w:p>
        </w:tc>
      </w:tr>
      <w:tr>
        <w:trPr/>
        <w:tc>
          <w:tcPr>
            <w:tcW w:w="2077" w:type="dxa"/>
            <w:tcBorders/>
            <w:vAlign w:val="center"/>
          </w:tcPr>
          <w:p>
            <w:pPr>
              <w:pStyle w:val="TableContents"/>
              <w:bidi w:val="0"/>
              <w:spacing w:before="0" w:after="283"/>
              <w:jc w:val="left"/>
              <w:rPr>
                <w:sz w:val="4"/>
                <w:szCs w:val="4"/>
              </w:rPr>
            </w:pPr>
            <w:r>
              <w:rPr>
                <w:sz w:val="4"/>
                <w:szCs w:val="4"/>
              </w:rPr>
            </w:r>
          </w:p>
        </w:tc>
        <w:tc>
          <w:tcPr>
            <w:tcW w:w="2035" w:type="dxa"/>
            <w:gridSpan w:val="2"/>
            <w:tcBorders/>
            <w:vAlign w:val="center"/>
          </w:tcPr>
          <w:p>
            <w:pPr>
              <w:pStyle w:val="TableContents"/>
              <w:bidi w:val="0"/>
              <w:spacing w:before="0" w:after="283"/>
              <w:jc w:val="left"/>
              <w:rPr>
                <w:sz w:val="4"/>
                <w:szCs w:val="4"/>
              </w:rPr>
            </w:pPr>
            <w:r>
              <w:rPr>
                <w:sz w:val="4"/>
                <w:szCs w:val="4"/>
              </w:rPr>
            </w:r>
          </w:p>
        </w:tc>
        <w:tc>
          <w:tcPr>
            <w:tcW w:w="6093" w:type="dxa"/>
            <w:gridSpan w:val="2"/>
            <w:tcBorders/>
            <w:vAlign w:val="center"/>
          </w:tcPr>
          <w:p>
            <w:pPr>
              <w:pStyle w:val="TableContents"/>
              <w:bidi w:val="0"/>
              <w:spacing w:before="0" w:after="283"/>
              <w:jc w:val="left"/>
              <w:rPr>
                <w:sz w:val="4"/>
                <w:szCs w:val="4"/>
              </w:rPr>
            </w:pPr>
            <w:r>
              <w:rPr>
                <w:sz w:val="4"/>
                <w:szCs w:val="4"/>
              </w:rPr>
            </w:r>
          </w:p>
        </w:tc>
      </w:tr>
      <w:tr>
        <w:trPr/>
        <w:tc>
          <w:tcPr>
            <w:tcW w:w="2077" w:type="dxa"/>
            <w:tcBorders>
              <w:bottom w:val="single" w:sz="6" w:space="0" w:color="7F7F7F"/>
            </w:tcBorders>
            <w:tcMar>
              <w:bottom w:w="60" w:type="dxa"/>
            </w:tcMar>
            <w:vAlign w:val="center"/>
          </w:tcPr>
          <w:p>
            <w:pPr>
              <w:pStyle w:val="TableContents"/>
              <w:bidi w:val="0"/>
              <w:spacing w:before="0" w:after="0"/>
              <w:jc w:val="left"/>
              <w:rPr>
                <w:rFonts w:ascii="arial" w:hAnsi="arial"/>
                <w:i/>
                <w:sz w:val="18"/>
              </w:rPr>
            </w:pPr>
            <w:r>
              <w:rPr>
                <w:rFonts w:ascii="arial" w:hAnsi="arial"/>
                <w:i/>
                <w:sz w:val="18"/>
              </w:rPr>
              <w:t>Termination not for Cause in connection with a Change In Control</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915" w:type="dxa"/>
            <w:tcBorders>
              <w:bottom w:val="single" w:sz="6" w:space="0" w:color="7F7F7F"/>
            </w:tcBorders>
            <w:tcMar>
              <w:bottom w:w="60" w:type="dxa"/>
            </w:tcMar>
            <w:vAlign w:val="center"/>
          </w:tcPr>
          <w:p>
            <w:pPr>
              <w:pStyle w:val="TableContents"/>
              <w:bidi w:val="0"/>
              <w:spacing w:before="0" w:after="283"/>
              <w:jc w:val="left"/>
              <w:rPr/>
            </w:pPr>
            <w:r>
              <w:rPr/>
              <w:t>Immediate Vesting</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5973" w:type="dxa"/>
            <w:tcBorders>
              <w:bottom w:val="single" w:sz="6" w:space="0" w:color="7F7F7F"/>
            </w:tcBorders>
            <w:tcMar>
              <w:bottom w:w="60" w:type="dxa"/>
            </w:tcMar>
            <w:vAlign w:val="center"/>
          </w:tcPr>
          <w:p>
            <w:pPr>
              <w:pStyle w:val="TableContents"/>
              <w:bidi w:val="0"/>
              <w:spacing w:before="0" w:after="283"/>
              <w:jc w:val="left"/>
              <w:rPr/>
            </w:pPr>
            <w:r>
              <w:rPr/>
              <w:t>Immediate Vesting at Target</w:t>
            </w:r>
          </w:p>
        </w:tc>
      </w:tr>
      <w:tr>
        <w:trPr/>
        <w:tc>
          <w:tcPr>
            <w:tcW w:w="2077" w:type="dxa"/>
            <w:tcBorders/>
            <w:vAlign w:val="center"/>
          </w:tcPr>
          <w:p>
            <w:pPr>
              <w:pStyle w:val="TableContents"/>
              <w:bidi w:val="0"/>
              <w:spacing w:before="0" w:after="283"/>
              <w:jc w:val="left"/>
              <w:rPr>
                <w:sz w:val="4"/>
                <w:szCs w:val="4"/>
              </w:rPr>
            </w:pPr>
            <w:r>
              <w:rPr>
                <w:sz w:val="4"/>
                <w:szCs w:val="4"/>
              </w:rPr>
            </w:r>
          </w:p>
        </w:tc>
        <w:tc>
          <w:tcPr>
            <w:tcW w:w="2035" w:type="dxa"/>
            <w:gridSpan w:val="2"/>
            <w:tcBorders/>
            <w:vAlign w:val="center"/>
          </w:tcPr>
          <w:p>
            <w:pPr>
              <w:pStyle w:val="TableContents"/>
              <w:bidi w:val="0"/>
              <w:spacing w:before="0" w:after="283"/>
              <w:jc w:val="left"/>
              <w:rPr>
                <w:sz w:val="4"/>
                <w:szCs w:val="4"/>
              </w:rPr>
            </w:pPr>
            <w:r>
              <w:rPr>
                <w:sz w:val="4"/>
                <w:szCs w:val="4"/>
              </w:rPr>
            </w:r>
          </w:p>
        </w:tc>
        <w:tc>
          <w:tcPr>
            <w:tcW w:w="6093" w:type="dxa"/>
            <w:gridSpan w:val="2"/>
            <w:tcBorders/>
            <w:vAlign w:val="center"/>
          </w:tcPr>
          <w:p>
            <w:pPr>
              <w:pStyle w:val="TableContents"/>
              <w:bidi w:val="0"/>
              <w:spacing w:before="0" w:after="283"/>
              <w:jc w:val="left"/>
              <w:rPr>
                <w:sz w:val="4"/>
                <w:szCs w:val="4"/>
              </w:rPr>
            </w:pPr>
            <w:r>
              <w:rPr>
                <w:sz w:val="4"/>
                <w:szCs w:val="4"/>
              </w:rPr>
            </w:r>
          </w:p>
        </w:tc>
      </w:tr>
      <w:tr>
        <w:trPr/>
        <w:tc>
          <w:tcPr>
            <w:tcW w:w="2077" w:type="dxa"/>
            <w:tcBorders>
              <w:bottom w:val="single" w:sz="6" w:space="0" w:color="7F7F7F"/>
            </w:tcBorders>
            <w:tcMar>
              <w:bottom w:w="60" w:type="dxa"/>
            </w:tcMar>
            <w:vAlign w:val="center"/>
          </w:tcPr>
          <w:p>
            <w:pPr>
              <w:pStyle w:val="TableContents"/>
              <w:bidi w:val="0"/>
              <w:spacing w:before="0" w:after="0"/>
              <w:jc w:val="left"/>
              <w:rPr>
                <w:rFonts w:ascii="arial" w:hAnsi="arial"/>
                <w:i/>
                <w:sz w:val="18"/>
              </w:rPr>
            </w:pPr>
            <w:r>
              <w:rPr>
                <w:rFonts w:ascii="arial" w:hAnsi="arial"/>
                <w:i/>
                <w:sz w:val="18"/>
              </w:rPr>
              <w:t>Other Termination not for Cause</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915" w:type="dxa"/>
            <w:tcBorders>
              <w:bottom w:val="single" w:sz="6" w:space="0" w:color="7F7F7F"/>
            </w:tcBorders>
            <w:tcMar>
              <w:bottom w:w="60" w:type="dxa"/>
            </w:tcMar>
            <w:vAlign w:val="center"/>
          </w:tcPr>
          <w:p>
            <w:pPr>
              <w:pStyle w:val="TableContents"/>
              <w:bidi w:val="0"/>
              <w:spacing w:before="0" w:after="283"/>
              <w:jc w:val="left"/>
              <w:rPr/>
            </w:pPr>
            <w:r>
              <w:rPr/>
              <w:t>Forfeit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5973" w:type="dxa"/>
            <w:tcBorders>
              <w:bottom w:val="single" w:sz="6" w:space="0" w:color="7F7F7F"/>
            </w:tcBorders>
            <w:tcMar>
              <w:bottom w:w="60" w:type="dxa"/>
            </w:tcMar>
            <w:vAlign w:val="center"/>
          </w:tcPr>
          <w:p>
            <w:pPr>
              <w:pStyle w:val="TableContents"/>
              <w:bidi w:val="0"/>
              <w:spacing w:before="0" w:after="283"/>
              <w:jc w:val="left"/>
              <w:rPr/>
            </w:pPr>
            <w:r>
              <w:rPr/>
              <w:t>Prorated based on actual results (as determined at the end of the cycle), subject to employment for at least one year after the date grant was approved</w:t>
            </w:r>
          </w:p>
        </w:tc>
      </w:tr>
      <w:tr>
        <w:trPr/>
        <w:tc>
          <w:tcPr>
            <w:tcW w:w="2077" w:type="dxa"/>
            <w:tcBorders/>
            <w:vAlign w:val="center"/>
          </w:tcPr>
          <w:p>
            <w:pPr>
              <w:pStyle w:val="TableContents"/>
              <w:bidi w:val="0"/>
              <w:spacing w:before="0" w:after="283"/>
              <w:jc w:val="left"/>
              <w:rPr>
                <w:sz w:val="4"/>
                <w:szCs w:val="4"/>
              </w:rPr>
            </w:pPr>
            <w:r>
              <w:rPr>
                <w:sz w:val="4"/>
                <w:szCs w:val="4"/>
              </w:rPr>
            </w:r>
          </w:p>
        </w:tc>
        <w:tc>
          <w:tcPr>
            <w:tcW w:w="2035" w:type="dxa"/>
            <w:gridSpan w:val="2"/>
            <w:tcBorders/>
            <w:vAlign w:val="center"/>
          </w:tcPr>
          <w:p>
            <w:pPr>
              <w:pStyle w:val="TableContents"/>
              <w:bidi w:val="0"/>
              <w:spacing w:before="0" w:after="283"/>
              <w:jc w:val="left"/>
              <w:rPr>
                <w:sz w:val="4"/>
                <w:szCs w:val="4"/>
              </w:rPr>
            </w:pPr>
            <w:r>
              <w:rPr>
                <w:sz w:val="4"/>
                <w:szCs w:val="4"/>
              </w:rPr>
            </w:r>
          </w:p>
        </w:tc>
        <w:tc>
          <w:tcPr>
            <w:tcW w:w="6093" w:type="dxa"/>
            <w:gridSpan w:val="2"/>
            <w:tcBorders/>
            <w:vAlign w:val="center"/>
          </w:tcPr>
          <w:p>
            <w:pPr>
              <w:pStyle w:val="TableContents"/>
              <w:bidi w:val="0"/>
              <w:spacing w:before="0" w:after="283"/>
              <w:jc w:val="left"/>
              <w:rPr>
                <w:sz w:val="4"/>
                <w:szCs w:val="4"/>
              </w:rPr>
            </w:pPr>
            <w:r>
              <w:rPr>
                <w:sz w:val="4"/>
                <w:szCs w:val="4"/>
              </w:rPr>
            </w:r>
          </w:p>
        </w:tc>
      </w:tr>
      <w:tr>
        <w:trPr/>
        <w:tc>
          <w:tcPr>
            <w:tcW w:w="2077" w:type="dxa"/>
            <w:tcBorders>
              <w:bottom w:val="single" w:sz="6" w:space="0" w:color="7F7F7F"/>
            </w:tcBorders>
            <w:tcMar>
              <w:bottom w:w="60" w:type="dxa"/>
            </w:tcMar>
            <w:vAlign w:val="center"/>
          </w:tcPr>
          <w:p>
            <w:pPr>
              <w:pStyle w:val="TableContents"/>
              <w:bidi w:val="0"/>
              <w:spacing w:before="0" w:after="0"/>
              <w:jc w:val="left"/>
              <w:rPr>
                <w:rFonts w:ascii="arial" w:hAnsi="arial"/>
                <w:i/>
                <w:sz w:val="18"/>
              </w:rPr>
            </w:pPr>
            <w:r>
              <w:rPr>
                <w:rFonts w:ascii="arial" w:hAnsi="arial"/>
                <w:i/>
                <w:sz w:val="18"/>
              </w:rPr>
              <w:t>Termination for Good Reason in connection with a Change in Control</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915" w:type="dxa"/>
            <w:tcBorders>
              <w:bottom w:val="single" w:sz="6" w:space="0" w:color="7F7F7F"/>
            </w:tcBorders>
            <w:tcMar>
              <w:bottom w:w="60" w:type="dxa"/>
            </w:tcMar>
            <w:vAlign w:val="center"/>
          </w:tcPr>
          <w:p>
            <w:pPr>
              <w:pStyle w:val="TableContents"/>
              <w:bidi w:val="0"/>
              <w:spacing w:before="0" w:after="283"/>
              <w:jc w:val="left"/>
              <w:rPr/>
            </w:pPr>
            <w:r>
              <w:rPr/>
              <w:t>Immediate Vesting</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5973" w:type="dxa"/>
            <w:tcBorders>
              <w:bottom w:val="single" w:sz="6" w:space="0" w:color="7F7F7F"/>
            </w:tcBorders>
            <w:tcMar>
              <w:bottom w:w="60" w:type="dxa"/>
            </w:tcMar>
            <w:vAlign w:val="center"/>
          </w:tcPr>
          <w:p>
            <w:pPr>
              <w:pStyle w:val="TableContents"/>
              <w:bidi w:val="0"/>
              <w:spacing w:before="0" w:after="283"/>
              <w:jc w:val="left"/>
              <w:rPr/>
            </w:pPr>
            <w:r>
              <w:rPr/>
              <w:t>Immediate Vesting at Target</w:t>
            </w:r>
          </w:p>
        </w:tc>
      </w:tr>
      <w:tr>
        <w:trPr/>
        <w:tc>
          <w:tcPr>
            <w:tcW w:w="2077" w:type="dxa"/>
            <w:tcBorders/>
            <w:vAlign w:val="center"/>
          </w:tcPr>
          <w:p>
            <w:pPr>
              <w:pStyle w:val="TableContents"/>
              <w:bidi w:val="0"/>
              <w:spacing w:before="0" w:after="283"/>
              <w:jc w:val="left"/>
              <w:rPr>
                <w:sz w:val="4"/>
                <w:szCs w:val="4"/>
              </w:rPr>
            </w:pPr>
            <w:r>
              <w:rPr>
                <w:sz w:val="4"/>
                <w:szCs w:val="4"/>
              </w:rPr>
            </w:r>
          </w:p>
        </w:tc>
        <w:tc>
          <w:tcPr>
            <w:tcW w:w="2035" w:type="dxa"/>
            <w:gridSpan w:val="2"/>
            <w:tcBorders/>
            <w:vAlign w:val="center"/>
          </w:tcPr>
          <w:p>
            <w:pPr>
              <w:pStyle w:val="TableContents"/>
              <w:bidi w:val="0"/>
              <w:spacing w:before="0" w:after="283"/>
              <w:jc w:val="left"/>
              <w:rPr>
                <w:sz w:val="4"/>
                <w:szCs w:val="4"/>
              </w:rPr>
            </w:pPr>
            <w:r>
              <w:rPr>
                <w:sz w:val="4"/>
                <w:szCs w:val="4"/>
              </w:rPr>
            </w:r>
          </w:p>
        </w:tc>
        <w:tc>
          <w:tcPr>
            <w:tcW w:w="6093" w:type="dxa"/>
            <w:gridSpan w:val="2"/>
            <w:tcBorders/>
            <w:vAlign w:val="center"/>
          </w:tcPr>
          <w:p>
            <w:pPr>
              <w:pStyle w:val="TableContents"/>
              <w:bidi w:val="0"/>
              <w:spacing w:before="0" w:after="283"/>
              <w:jc w:val="left"/>
              <w:rPr>
                <w:sz w:val="4"/>
                <w:szCs w:val="4"/>
              </w:rPr>
            </w:pPr>
            <w:r>
              <w:rPr>
                <w:sz w:val="4"/>
                <w:szCs w:val="4"/>
              </w:rPr>
            </w:r>
          </w:p>
        </w:tc>
      </w:tr>
      <w:tr>
        <w:trPr/>
        <w:tc>
          <w:tcPr>
            <w:tcW w:w="2077" w:type="dxa"/>
            <w:tcBorders>
              <w:bottom w:val="single" w:sz="6" w:space="0" w:color="7F7F7F"/>
            </w:tcBorders>
            <w:tcMar>
              <w:bottom w:w="60" w:type="dxa"/>
            </w:tcMar>
            <w:vAlign w:val="center"/>
          </w:tcPr>
          <w:p>
            <w:pPr>
              <w:pStyle w:val="TableContents"/>
              <w:bidi w:val="0"/>
              <w:spacing w:before="0" w:after="0"/>
              <w:jc w:val="left"/>
              <w:rPr>
                <w:rFonts w:ascii="arial" w:hAnsi="arial"/>
                <w:i/>
                <w:sz w:val="18"/>
              </w:rPr>
            </w:pPr>
            <w:r>
              <w:rPr>
                <w:rFonts w:ascii="arial" w:hAnsi="arial"/>
                <w:i/>
                <w:sz w:val="18"/>
              </w:rPr>
              <w:t>Termination for Cause</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915" w:type="dxa"/>
            <w:tcBorders>
              <w:bottom w:val="single" w:sz="6" w:space="0" w:color="7F7F7F"/>
            </w:tcBorders>
            <w:tcMar>
              <w:bottom w:w="60" w:type="dxa"/>
            </w:tcMar>
            <w:vAlign w:val="center"/>
          </w:tcPr>
          <w:p>
            <w:pPr>
              <w:pStyle w:val="TableContents"/>
              <w:bidi w:val="0"/>
              <w:spacing w:before="0" w:after="283"/>
              <w:jc w:val="left"/>
              <w:rPr/>
            </w:pPr>
            <w:r>
              <w:rPr/>
              <w:t>Forfeit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5973" w:type="dxa"/>
            <w:tcBorders>
              <w:bottom w:val="single" w:sz="6" w:space="0" w:color="7F7F7F"/>
            </w:tcBorders>
            <w:tcMar>
              <w:bottom w:w="60" w:type="dxa"/>
            </w:tcMar>
            <w:vAlign w:val="center"/>
          </w:tcPr>
          <w:p>
            <w:pPr>
              <w:pStyle w:val="TableContents"/>
              <w:bidi w:val="0"/>
              <w:spacing w:before="0" w:after="283"/>
              <w:jc w:val="left"/>
              <w:rPr/>
            </w:pPr>
            <w:r>
              <w:rPr/>
              <w:t>Forfeit</w:t>
            </w:r>
          </w:p>
        </w:tc>
      </w:tr>
      <w:tr>
        <w:trPr/>
        <w:tc>
          <w:tcPr>
            <w:tcW w:w="2077" w:type="dxa"/>
            <w:tcBorders/>
            <w:vAlign w:val="center"/>
          </w:tcPr>
          <w:p>
            <w:pPr>
              <w:pStyle w:val="TableContents"/>
              <w:bidi w:val="0"/>
              <w:spacing w:before="0" w:after="283"/>
              <w:jc w:val="left"/>
              <w:rPr>
                <w:sz w:val="4"/>
                <w:szCs w:val="4"/>
              </w:rPr>
            </w:pPr>
            <w:r>
              <w:rPr>
                <w:sz w:val="4"/>
                <w:szCs w:val="4"/>
              </w:rPr>
            </w:r>
          </w:p>
        </w:tc>
        <w:tc>
          <w:tcPr>
            <w:tcW w:w="2035" w:type="dxa"/>
            <w:gridSpan w:val="2"/>
            <w:tcBorders/>
            <w:vAlign w:val="center"/>
          </w:tcPr>
          <w:p>
            <w:pPr>
              <w:pStyle w:val="TableContents"/>
              <w:bidi w:val="0"/>
              <w:spacing w:before="0" w:after="283"/>
              <w:jc w:val="left"/>
              <w:rPr>
                <w:sz w:val="4"/>
                <w:szCs w:val="4"/>
              </w:rPr>
            </w:pPr>
            <w:r>
              <w:rPr>
                <w:sz w:val="4"/>
                <w:szCs w:val="4"/>
              </w:rPr>
            </w:r>
          </w:p>
        </w:tc>
        <w:tc>
          <w:tcPr>
            <w:tcW w:w="6093" w:type="dxa"/>
            <w:gridSpan w:val="2"/>
            <w:tcBorders/>
            <w:vAlign w:val="center"/>
          </w:tcPr>
          <w:p>
            <w:pPr>
              <w:pStyle w:val="TableContents"/>
              <w:bidi w:val="0"/>
              <w:spacing w:before="0" w:after="283"/>
              <w:jc w:val="left"/>
              <w:rPr>
                <w:sz w:val="4"/>
                <w:szCs w:val="4"/>
              </w:rPr>
            </w:pPr>
            <w:r>
              <w:rPr>
                <w:sz w:val="4"/>
                <w:szCs w:val="4"/>
              </w:rPr>
            </w:r>
          </w:p>
        </w:tc>
      </w:tr>
      <w:tr>
        <w:trPr/>
        <w:tc>
          <w:tcPr>
            <w:tcW w:w="2077" w:type="dxa"/>
            <w:tcBorders>
              <w:bottom w:val="single" w:sz="6" w:space="0" w:color="7F7F7F"/>
            </w:tcBorders>
            <w:tcMar>
              <w:bottom w:w="60" w:type="dxa"/>
            </w:tcMar>
            <w:vAlign w:val="center"/>
          </w:tcPr>
          <w:p>
            <w:pPr>
              <w:pStyle w:val="TableContents"/>
              <w:bidi w:val="0"/>
              <w:spacing w:before="0" w:after="0"/>
              <w:jc w:val="left"/>
              <w:rPr>
                <w:rFonts w:ascii="arial" w:hAnsi="arial"/>
                <w:i/>
                <w:sz w:val="18"/>
              </w:rPr>
            </w:pPr>
            <w:r>
              <w:rPr>
                <w:rFonts w:ascii="arial" w:hAnsi="arial"/>
                <w:i/>
                <w:sz w:val="18"/>
              </w:rPr>
              <w:t>Voluntarily Quit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915" w:type="dxa"/>
            <w:tcBorders>
              <w:bottom w:val="single" w:sz="6" w:space="0" w:color="7F7F7F"/>
            </w:tcBorders>
            <w:tcMar>
              <w:bottom w:w="60" w:type="dxa"/>
            </w:tcMar>
            <w:vAlign w:val="center"/>
          </w:tcPr>
          <w:p>
            <w:pPr>
              <w:pStyle w:val="TableContents"/>
              <w:bidi w:val="0"/>
              <w:spacing w:before="0" w:after="283"/>
              <w:jc w:val="left"/>
              <w:rPr/>
            </w:pPr>
            <w:r>
              <w:rPr/>
              <w:t>Forfeit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5973" w:type="dxa"/>
            <w:tcBorders>
              <w:bottom w:val="single" w:sz="6" w:space="0" w:color="7F7F7F"/>
            </w:tcBorders>
            <w:tcMar>
              <w:bottom w:w="60" w:type="dxa"/>
            </w:tcMar>
            <w:vAlign w:val="center"/>
          </w:tcPr>
          <w:p>
            <w:pPr>
              <w:pStyle w:val="TableContents"/>
              <w:bidi w:val="0"/>
              <w:spacing w:before="0" w:after="283"/>
              <w:jc w:val="left"/>
              <w:rPr/>
            </w:pPr>
            <w:r>
              <w:rPr/>
              <w:t>Forfeit</w:t>
            </w:r>
          </w:p>
        </w:tc>
      </w:tr>
      <w:tr>
        <w:trPr/>
        <w:tc>
          <w:tcPr>
            <w:tcW w:w="2077" w:type="dxa"/>
            <w:tcBorders/>
            <w:vAlign w:val="center"/>
          </w:tcPr>
          <w:p>
            <w:pPr>
              <w:pStyle w:val="TableContents"/>
              <w:bidi w:val="0"/>
              <w:spacing w:before="0" w:after="283"/>
              <w:jc w:val="left"/>
              <w:rPr>
                <w:sz w:val="4"/>
                <w:szCs w:val="4"/>
              </w:rPr>
            </w:pPr>
            <w:r>
              <w:rPr>
                <w:sz w:val="4"/>
                <w:szCs w:val="4"/>
              </w:rPr>
            </w:r>
          </w:p>
        </w:tc>
        <w:tc>
          <w:tcPr>
            <w:tcW w:w="2035" w:type="dxa"/>
            <w:gridSpan w:val="2"/>
            <w:tcBorders/>
            <w:vAlign w:val="center"/>
          </w:tcPr>
          <w:p>
            <w:pPr>
              <w:pStyle w:val="TableContents"/>
              <w:bidi w:val="0"/>
              <w:spacing w:before="0" w:after="283"/>
              <w:jc w:val="left"/>
              <w:rPr>
                <w:sz w:val="4"/>
                <w:szCs w:val="4"/>
              </w:rPr>
            </w:pPr>
            <w:r>
              <w:rPr>
                <w:sz w:val="4"/>
                <w:szCs w:val="4"/>
              </w:rPr>
            </w:r>
          </w:p>
        </w:tc>
        <w:tc>
          <w:tcPr>
            <w:tcW w:w="6093" w:type="dxa"/>
            <w:gridSpan w:val="2"/>
            <w:tcBorders/>
            <w:vAlign w:val="center"/>
          </w:tcPr>
          <w:p>
            <w:pPr>
              <w:pStyle w:val="TableContents"/>
              <w:bidi w:val="0"/>
              <w:spacing w:before="0" w:after="283"/>
              <w:jc w:val="left"/>
              <w:rPr>
                <w:sz w:val="4"/>
                <w:szCs w:val="4"/>
              </w:rPr>
            </w:pPr>
            <w:r>
              <w:rPr>
                <w:sz w:val="4"/>
                <w:szCs w:val="4"/>
              </w:rPr>
            </w:r>
          </w:p>
        </w:tc>
      </w:tr>
      <w:tr>
        <w:trPr/>
        <w:tc>
          <w:tcPr>
            <w:tcW w:w="2077" w:type="dxa"/>
            <w:tcBorders>
              <w:bottom w:val="single" w:sz="6" w:space="0" w:color="7F7F7F"/>
            </w:tcBorders>
            <w:tcMar>
              <w:bottom w:w="60" w:type="dxa"/>
            </w:tcMar>
            <w:vAlign w:val="center"/>
          </w:tcPr>
          <w:p>
            <w:pPr>
              <w:pStyle w:val="TableContents"/>
              <w:bidi w:val="0"/>
              <w:spacing w:before="0" w:after="0"/>
              <w:jc w:val="left"/>
              <w:rPr>
                <w:rFonts w:ascii="arial" w:hAnsi="arial"/>
                <w:i/>
                <w:sz w:val="18"/>
              </w:rPr>
            </w:pPr>
            <w:r>
              <w:rPr>
                <w:rFonts w:ascii="arial" w:hAnsi="arial"/>
                <w:i/>
                <w:sz w:val="18"/>
              </w:rPr>
              <w:t>Retirement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915" w:type="dxa"/>
            <w:tcBorders>
              <w:bottom w:val="single" w:sz="6" w:space="0" w:color="7F7F7F"/>
            </w:tcBorders>
            <w:tcMar>
              <w:bottom w:w="60" w:type="dxa"/>
            </w:tcMar>
            <w:vAlign w:val="center"/>
          </w:tcPr>
          <w:p>
            <w:pPr>
              <w:pStyle w:val="TableContents"/>
              <w:bidi w:val="0"/>
              <w:spacing w:before="0" w:after="283"/>
              <w:jc w:val="left"/>
              <w:rPr/>
            </w:pPr>
            <w:r>
              <w:rPr/>
              <w:t>Forfeit</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5973" w:type="dxa"/>
            <w:tcBorders>
              <w:bottom w:val="single" w:sz="6" w:space="0" w:color="7F7F7F"/>
            </w:tcBorders>
            <w:tcMar>
              <w:bottom w:w="60" w:type="dxa"/>
            </w:tcMar>
            <w:vAlign w:val="center"/>
          </w:tcPr>
          <w:p>
            <w:pPr>
              <w:pStyle w:val="TableContents"/>
              <w:bidi w:val="0"/>
              <w:spacing w:before="0" w:after="283"/>
              <w:jc w:val="left"/>
              <w:rPr/>
            </w:pPr>
            <w:r>
              <w:rPr/>
              <w:t>Prorated based on actual results (as determined at the end of the cycle) for “Normal Retirement” defined as age 62 with 5 years of service or as a combination of age plus years of service equal to 70, with a minimum age of 60</w:t>
            </w:r>
          </w:p>
        </w:tc>
      </w:tr>
      <w:tr>
        <w:trPr/>
        <w:tc>
          <w:tcPr>
            <w:tcW w:w="2077" w:type="dxa"/>
            <w:tcBorders/>
            <w:vAlign w:val="center"/>
          </w:tcPr>
          <w:p>
            <w:pPr>
              <w:pStyle w:val="TableContents"/>
              <w:bidi w:val="0"/>
              <w:spacing w:before="0" w:after="283"/>
              <w:jc w:val="left"/>
              <w:rPr>
                <w:sz w:val="4"/>
                <w:szCs w:val="4"/>
              </w:rPr>
            </w:pPr>
            <w:r>
              <w:rPr>
                <w:sz w:val="4"/>
                <w:szCs w:val="4"/>
              </w:rPr>
            </w:r>
          </w:p>
        </w:tc>
        <w:tc>
          <w:tcPr>
            <w:tcW w:w="2035" w:type="dxa"/>
            <w:gridSpan w:val="2"/>
            <w:tcBorders/>
            <w:vAlign w:val="center"/>
          </w:tcPr>
          <w:p>
            <w:pPr>
              <w:pStyle w:val="TableContents"/>
              <w:bidi w:val="0"/>
              <w:spacing w:before="0" w:after="283"/>
              <w:jc w:val="left"/>
              <w:rPr>
                <w:sz w:val="4"/>
                <w:szCs w:val="4"/>
              </w:rPr>
            </w:pPr>
            <w:r>
              <w:rPr>
                <w:sz w:val="4"/>
                <w:szCs w:val="4"/>
              </w:rPr>
            </w:r>
          </w:p>
        </w:tc>
        <w:tc>
          <w:tcPr>
            <w:tcW w:w="6093" w:type="dxa"/>
            <w:gridSpan w:val="2"/>
            <w:tcBorders/>
            <w:vAlign w:val="center"/>
          </w:tcPr>
          <w:p>
            <w:pPr>
              <w:pStyle w:val="TableContents"/>
              <w:bidi w:val="0"/>
              <w:spacing w:before="0" w:after="283"/>
              <w:jc w:val="left"/>
              <w:rPr>
                <w:sz w:val="4"/>
                <w:szCs w:val="4"/>
              </w:rPr>
            </w:pPr>
            <w:r>
              <w:rPr>
                <w:sz w:val="4"/>
                <w:szCs w:val="4"/>
              </w:rPr>
            </w:r>
          </w:p>
        </w:tc>
      </w:tr>
      <w:tr>
        <w:trPr/>
        <w:tc>
          <w:tcPr>
            <w:tcW w:w="2077" w:type="dxa"/>
            <w:tcBorders>
              <w:bottom w:val="single" w:sz="6" w:space="0" w:color="7F7F7F"/>
            </w:tcBorders>
            <w:tcMar>
              <w:bottom w:w="60" w:type="dxa"/>
            </w:tcMar>
            <w:vAlign w:val="center"/>
          </w:tcPr>
          <w:p>
            <w:pPr>
              <w:pStyle w:val="TableContents"/>
              <w:bidi w:val="0"/>
              <w:spacing w:before="0" w:after="0"/>
              <w:jc w:val="left"/>
              <w:rPr>
                <w:rFonts w:ascii="arial" w:hAnsi="arial"/>
                <w:i/>
                <w:sz w:val="18"/>
              </w:rPr>
            </w:pPr>
            <w:r>
              <w:rPr>
                <w:rFonts w:ascii="arial" w:hAnsi="arial"/>
                <w:i/>
                <w:sz w:val="18"/>
              </w:rPr>
              <w:t>Death or Disability</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1915" w:type="dxa"/>
            <w:tcBorders>
              <w:bottom w:val="single" w:sz="6" w:space="0" w:color="7F7F7F"/>
            </w:tcBorders>
            <w:tcMar>
              <w:bottom w:w="60" w:type="dxa"/>
            </w:tcMar>
            <w:vAlign w:val="center"/>
          </w:tcPr>
          <w:p>
            <w:pPr>
              <w:pStyle w:val="TableContents"/>
              <w:bidi w:val="0"/>
              <w:spacing w:before="0" w:after="283"/>
              <w:jc w:val="left"/>
              <w:rPr/>
            </w:pPr>
            <w:r>
              <w:rPr/>
              <w:t>Prorated</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5973" w:type="dxa"/>
            <w:tcBorders>
              <w:bottom w:val="single" w:sz="6" w:space="0" w:color="7F7F7F"/>
            </w:tcBorders>
            <w:tcMar>
              <w:bottom w:w="60" w:type="dxa"/>
            </w:tcMar>
            <w:vAlign w:val="center"/>
          </w:tcPr>
          <w:p>
            <w:pPr>
              <w:pStyle w:val="TableContents"/>
              <w:bidi w:val="0"/>
              <w:spacing w:before="0" w:after="283"/>
              <w:jc w:val="left"/>
              <w:rPr/>
            </w:pPr>
            <w:r>
              <w:rPr/>
              <w:t>Prorated based on actual results</w:t>
            </w:r>
          </w:p>
        </w:tc>
      </w:tr>
    </w:tbl>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217"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90" descr=""/>
                          <pic:cNvPicPr>
                            <a:picLocks noChangeAspect="1" noChangeArrowheads="1"/>
                          </pic:cNvPicPr>
                        </pic:nvPicPr>
                        <pic:blipFill>
                          <a:blip r:embed="rId202"/>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2025 Executive Compensation Tables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Based on the terms of the severance plans and treatment of LTI awards for each upon termination of employment as outlined above, the table below illustrates the amounts that each named executive officer would receive in each of the potential termination scenarios.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05"/>
        <w:gridCol w:w="60"/>
        <w:gridCol w:w="72"/>
        <w:gridCol w:w="1193"/>
        <w:gridCol w:w="60"/>
        <w:gridCol w:w="60"/>
        <w:gridCol w:w="60"/>
        <w:gridCol w:w="980"/>
        <w:gridCol w:w="60"/>
        <w:gridCol w:w="60"/>
        <w:gridCol w:w="61"/>
        <w:gridCol w:w="1002"/>
        <w:gridCol w:w="60"/>
        <w:gridCol w:w="60"/>
        <w:gridCol w:w="62"/>
        <w:gridCol w:w="1013"/>
        <w:gridCol w:w="60"/>
        <w:gridCol w:w="60"/>
        <w:gridCol w:w="60"/>
        <w:gridCol w:w="980"/>
        <w:gridCol w:w="77"/>
      </w:tblGrid>
      <w:tr>
        <w:trPr/>
        <w:tc>
          <w:tcPr>
            <w:tcW w:w="4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8" w:space="0" w:color="33302B"/>
            </w:tcBorders>
            <w:tcMar>
              <w:bottom w:w="80" w:type="dxa"/>
            </w:tcMar>
            <w:vAlign w:val="center"/>
          </w:tcPr>
          <w:p>
            <w:pPr>
              <w:pStyle w:val="TableContents"/>
              <w:bidi w:val="0"/>
              <w:spacing w:before="0" w:after="283"/>
              <w:jc w:val="left"/>
              <w:rPr>
                <w:b/>
                <w:color w:val="00AE4F"/>
              </w:rPr>
            </w:pPr>
            <w:r>
              <w:rPr>
                <w:b/>
                <w:color w:val="00AE4F"/>
              </w:rPr>
              <w:t>Event and Amounts</w:t>
            </w:r>
          </w:p>
        </w:tc>
        <w:tc>
          <w:tcPr>
            <w:tcW w:w="60" w:type="dxa"/>
            <w:tcBorders>
              <w:bottom w:val="single" w:sz="8" w:space="0" w:color="33302B"/>
            </w:tcBorders>
            <w:tcMar>
              <w:bottom w:w="28" w:type="dxa"/>
            </w:tcMar>
            <w:vAlign w:val="center"/>
          </w:tcPr>
          <w:p>
            <w:pPr>
              <w:pStyle w:val="TableContents"/>
              <w:bidi w:val="0"/>
              <w:spacing w:before="0" w:after="283"/>
              <w:jc w:val="left"/>
              <w:rPr/>
            </w:pPr>
            <w:r>
              <w:rPr/>
              <w:t> </w:t>
            </w:r>
          </w:p>
        </w:tc>
        <w:tc>
          <w:tcPr>
            <w:tcW w:w="1265" w:type="dxa"/>
            <w:gridSpan w:val="2"/>
            <w:tcBorders>
              <w:bottom w:val="single" w:sz="8" w:space="0" w:color="33302B"/>
            </w:tcBorders>
            <w:tcMar>
              <w:bottom w:w="80" w:type="dxa"/>
            </w:tcMar>
            <w:vAlign w:val="center"/>
          </w:tcPr>
          <w:p>
            <w:pPr>
              <w:pStyle w:val="TableContents"/>
              <w:bidi w:val="0"/>
              <w:spacing w:before="0" w:after="283"/>
              <w:jc w:val="center"/>
              <w:rPr>
                <w:b/>
                <w:color w:val="00AE4F"/>
              </w:rPr>
            </w:pPr>
            <w:r>
              <w:rPr>
                <w:b/>
                <w:color w:val="00AE4F"/>
              </w:rPr>
              <w:t>Christopher</w:t>
              <w:br/>
              <w:t>D. Layden</w:t>
              <w:br/>
              <w:t>($)</w:t>
            </w:r>
          </w:p>
        </w:tc>
        <w:tc>
          <w:tcPr>
            <w:tcW w:w="60" w:type="dxa"/>
            <w:tcBorders>
              <w:bottom w:val="single" w:sz="8" w:space="0" w:color="33302B"/>
            </w:tcBorders>
            <w:tcMar>
              <w:bottom w:w="28" w:type="dxa"/>
            </w:tcMar>
            <w:vAlign w:val="center"/>
          </w:tcPr>
          <w:p>
            <w:pPr>
              <w:pStyle w:val="TableContents"/>
              <w:bidi w:val="0"/>
              <w:spacing w:before="0" w:after="283"/>
              <w:jc w:val="left"/>
              <w:rPr/>
            </w:pPr>
            <w:r>
              <w:rPr/>
              <w:t> </w:t>
            </w:r>
          </w:p>
        </w:tc>
        <w:tc>
          <w:tcPr>
            <w:tcW w:w="60" w:type="dxa"/>
            <w:tcBorders>
              <w:bottom w:val="single" w:sz="8" w:space="0" w:color="33302B"/>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33302B"/>
            </w:tcBorders>
            <w:tcMar>
              <w:bottom w:w="80" w:type="dxa"/>
            </w:tcMar>
            <w:vAlign w:val="center"/>
          </w:tcPr>
          <w:p>
            <w:pPr>
              <w:pStyle w:val="TableContents"/>
              <w:bidi w:val="0"/>
              <w:spacing w:before="0" w:after="283"/>
              <w:jc w:val="center"/>
              <w:rPr>
                <w:b/>
                <w:color w:val="00AE4F"/>
              </w:rPr>
            </w:pPr>
            <w:r>
              <w:rPr>
                <w:b/>
                <w:color w:val="00AE4F"/>
              </w:rPr>
              <w:t>Troy R.</w:t>
              <w:br/>
              <w:t>Anderson</w:t>
              <w:br/>
              <w:t>($)</w:t>
            </w:r>
          </w:p>
        </w:tc>
        <w:tc>
          <w:tcPr>
            <w:tcW w:w="60" w:type="dxa"/>
            <w:tcBorders>
              <w:bottom w:val="single" w:sz="8" w:space="0" w:color="33302B"/>
            </w:tcBorders>
            <w:tcMar>
              <w:bottom w:w="28" w:type="dxa"/>
            </w:tcMar>
            <w:vAlign w:val="center"/>
          </w:tcPr>
          <w:p>
            <w:pPr>
              <w:pStyle w:val="TableContents"/>
              <w:bidi w:val="0"/>
              <w:spacing w:before="0" w:after="283"/>
              <w:jc w:val="left"/>
              <w:rPr/>
            </w:pPr>
            <w:r>
              <w:rPr/>
              <w:t> </w:t>
            </w:r>
          </w:p>
        </w:tc>
        <w:tc>
          <w:tcPr>
            <w:tcW w:w="60" w:type="dxa"/>
            <w:tcBorders>
              <w:bottom w:val="single" w:sz="8" w:space="0" w:color="33302B"/>
            </w:tcBorders>
            <w:tcMar>
              <w:bottom w:w="28" w:type="dxa"/>
            </w:tcMar>
            <w:vAlign w:val="center"/>
          </w:tcPr>
          <w:p>
            <w:pPr>
              <w:pStyle w:val="TableContents"/>
              <w:bidi w:val="0"/>
              <w:spacing w:before="0" w:after="283"/>
              <w:jc w:val="left"/>
              <w:rPr/>
            </w:pPr>
            <w:r>
              <w:rPr/>
              <w:t> </w:t>
            </w:r>
          </w:p>
        </w:tc>
        <w:tc>
          <w:tcPr>
            <w:tcW w:w="1063" w:type="dxa"/>
            <w:gridSpan w:val="2"/>
            <w:tcBorders>
              <w:bottom w:val="single" w:sz="8" w:space="0" w:color="33302B"/>
            </w:tcBorders>
            <w:tcMar>
              <w:bottom w:w="80" w:type="dxa"/>
            </w:tcMar>
            <w:vAlign w:val="center"/>
          </w:tcPr>
          <w:p>
            <w:pPr>
              <w:pStyle w:val="TableContents"/>
              <w:bidi w:val="0"/>
              <w:spacing w:before="0" w:after="283"/>
              <w:jc w:val="center"/>
              <w:rPr>
                <w:b/>
                <w:color w:val="00AE4F"/>
              </w:rPr>
            </w:pPr>
            <w:r>
              <w:rPr>
                <w:b/>
                <w:color w:val="00AE4F"/>
              </w:rPr>
              <w:t>Tammy L.</w:t>
              <w:br/>
              <w:t>Browning</w:t>
              <w:br/>
              <w:t>($)</w:t>
            </w:r>
          </w:p>
        </w:tc>
        <w:tc>
          <w:tcPr>
            <w:tcW w:w="60" w:type="dxa"/>
            <w:tcBorders>
              <w:bottom w:val="single" w:sz="8" w:space="0" w:color="33302B"/>
            </w:tcBorders>
            <w:tcMar>
              <w:bottom w:w="28" w:type="dxa"/>
            </w:tcMar>
            <w:vAlign w:val="center"/>
          </w:tcPr>
          <w:p>
            <w:pPr>
              <w:pStyle w:val="TableContents"/>
              <w:bidi w:val="0"/>
              <w:spacing w:before="0" w:after="283"/>
              <w:jc w:val="left"/>
              <w:rPr/>
            </w:pPr>
            <w:r>
              <w:rPr/>
              <w:t> </w:t>
            </w:r>
          </w:p>
        </w:tc>
        <w:tc>
          <w:tcPr>
            <w:tcW w:w="60" w:type="dxa"/>
            <w:tcBorders>
              <w:bottom w:val="single" w:sz="8" w:space="0" w:color="33302B"/>
            </w:tcBorders>
            <w:tcMar>
              <w:bottom w:w="28" w:type="dxa"/>
            </w:tcMar>
            <w:vAlign w:val="center"/>
          </w:tcPr>
          <w:p>
            <w:pPr>
              <w:pStyle w:val="TableContents"/>
              <w:bidi w:val="0"/>
              <w:spacing w:before="0" w:after="283"/>
              <w:jc w:val="left"/>
              <w:rPr/>
            </w:pPr>
            <w:r>
              <w:rPr/>
              <w:t> </w:t>
            </w:r>
          </w:p>
        </w:tc>
        <w:tc>
          <w:tcPr>
            <w:tcW w:w="1075" w:type="dxa"/>
            <w:gridSpan w:val="2"/>
            <w:tcBorders>
              <w:bottom w:val="single" w:sz="8" w:space="0" w:color="33302B"/>
            </w:tcBorders>
            <w:tcMar>
              <w:bottom w:w="80" w:type="dxa"/>
            </w:tcMar>
            <w:vAlign w:val="center"/>
          </w:tcPr>
          <w:p>
            <w:pPr>
              <w:pStyle w:val="TableContents"/>
              <w:bidi w:val="0"/>
              <w:spacing w:before="0" w:after="283"/>
              <w:jc w:val="center"/>
              <w:rPr>
                <w:b/>
                <w:color w:val="00AE4F"/>
              </w:rPr>
            </w:pPr>
            <w:r>
              <w:rPr>
                <w:b/>
                <w:color w:val="00AE4F"/>
              </w:rPr>
              <w:t>Vanessa P.</w:t>
              <w:br/>
              <w:t>Williams</w:t>
              <w:br/>
              <w:t>($)</w:t>
            </w:r>
          </w:p>
        </w:tc>
        <w:tc>
          <w:tcPr>
            <w:tcW w:w="60" w:type="dxa"/>
            <w:tcBorders>
              <w:bottom w:val="single" w:sz="8" w:space="0" w:color="33302B"/>
            </w:tcBorders>
            <w:tcMar>
              <w:bottom w:w="28" w:type="dxa"/>
            </w:tcMar>
            <w:vAlign w:val="center"/>
          </w:tcPr>
          <w:p>
            <w:pPr>
              <w:pStyle w:val="TableContents"/>
              <w:bidi w:val="0"/>
              <w:spacing w:before="0" w:after="283"/>
              <w:jc w:val="left"/>
              <w:rPr/>
            </w:pPr>
            <w:r>
              <w:rPr/>
              <w:t> </w:t>
            </w:r>
          </w:p>
        </w:tc>
        <w:tc>
          <w:tcPr>
            <w:tcW w:w="60" w:type="dxa"/>
            <w:tcBorders>
              <w:bottom w:val="single" w:sz="8" w:space="0" w:color="33302B"/>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33302B"/>
            </w:tcBorders>
            <w:tcMar>
              <w:bottom w:w="80" w:type="dxa"/>
            </w:tcMar>
            <w:vAlign w:val="center"/>
          </w:tcPr>
          <w:p>
            <w:pPr>
              <w:pStyle w:val="TableContents"/>
              <w:bidi w:val="0"/>
              <w:spacing w:before="0" w:after="283"/>
              <w:jc w:val="center"/>
              <w:rPr>
                <w:b/>
                <w:color w:val="00AE4F"/>
              </w:rPr>
            </w:pPr>
            <w:r>
              <w:rPr>
                <w:b/>
                <w:color w:val="00AE4F"/>
              </w:rPr>
              <w:t>Nicola M.</w:t>
              <w:br/>
              <w:t>Soares</w:t>
              <w:br/>
              <w:t>($)</w:t>
            </w:r>
          </w:p>
        </w:tc>
        <w:tc>
          <w:tcPr>
            <w:tcW w:w="77" w:type="dxa"/>
            <w:tcBorders>
              <w:bottom w:val="single" w:sz="8" w:space="0" w:color="33302B"/>
            </w:tcBorders>
            <w:tcMar>
              <w:bottom w:w="28" w:type="dxa"/>
            </w:tcMar>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Involuntary Termination (For Cause)</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93"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13"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7"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No other payments due</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93"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13"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7"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Voluntary Termination</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93"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13"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7"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No other payments due</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93"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13"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7"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Death or Disability</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93"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13"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7"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Performance Shares (Equity-Based)(1)</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40" w:type="dxa"/>
            </w:tcMar>
            <w:vAlign w:val="center"/>
          </w:tcPr>
          <w:p>
            <w:pPr>
              <w:pStyle w:val="TableContents"/>
              <w:bidi w:val="0"/>
              <w:spacing w:before="0" w:after="283"/>
              <w:jc w:val="left"/>
              <w:rPr/>
            </w:pPr>
            <w:r>
              <w:rPr/>
              <w:t> </w:t>
            </w:r>
          </w:p>
        </w:tc>
        <w:tc>
          <w:tcPr>
            <w:tcW w:w="1193" w:type="dxa"/>
            <w:tcBorders>
              <w:bottom w:val="single" w:sz="6" w:space="0" w:color="7F7F7F"/>
            </w:tcBorders>
            <w:tcMar>
              <w:bottom w:w="40" w:type="dxa"/>
            </w:tcMar>
            <w:vAlign w:val="center"/>
          </w:tcPr>
          <w:p>
            <w:pPr>
              <w:pStyle w:val="TableContents"/>
              <w:bidi w:val="0"/>
              <w:spacing w:before="0" w:after="283"/>
              <w:jc w:val="right"/>
              <w:rPr/>
            </w:pPr>
            <w:r>
              <w:rPr/>
              <w:t>—</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66,994</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40" w:type="dxa"/>
            </w:tcMar>
            <w:vAlign w:val="center"/>
          </w:tcPr>
          <w:p>
            <w:pPr>
              <w:pStyle w:val="TableContents"/>
              <w:bidi w:val="0"/>
              <w:spacing w:before="0" w:after="283"/>
              <w:jc w:val="left"/>
              <w:rPr/>
            </w:pPr>
            <w:r>
              <w:rPr/>
              <w:t> </w:t>
            </w:r>
          </w:p>
        </w:tc>
        <w:tc>
          <w:tcPr>
            <w:tcW w:w="1002" w:type="dxa"/>
            <w:tcBorders>
              <w:bottom w:val="single" w:sz="6" w:space="0" w:color="7F7F7F"/>
            </w:tcBorders>
            <w:tcMar>
              <w:bottom w:w="40" w:type="dxa"/>
            </w:tcMar>
            <w:vAlign w:val="center"/>
          </w:tcPr>
          <w:p>
            <w:pPr>
              <w:pStyle w:val="TableContents"/>
              <w:bidi w:val="0"/>
              <w:spacing w:before="0" w:after="283"/>
              <w:jc w:val="right"/>
              <w:rPr/>
            </w:pPr>
            <w:r>
              <w:rPr/>
              <w:t>111,878</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40" w:type="dxa"/>
            </w:tcMar>
            <w:vAlign w:val="center"/>
          </w:tcPr>
          <w:p>
            <w:pPr>
              <w:pStyle w:val="TableContents"/>
              <w:bidi w:val="0"/>
              <w:spacing w:before="0" w:after="283"/>
              <w:jc w:val="left"/>
              <w:rPr/>
            </w:pPr>
            <w:r>
              <w:rPr/>
              <w:t> </w:t>
            </w:r>
          </w:p>
        </w:tc>
        <w:tc>
          <w:tcPr>
            <w:tcW w:w="1013" w:type="dxa"/>
            <w:tcBorders>
              <w:bottom w:val="single" w:sz="6" w:space="0" w:color="7F7F7F"/>
            </w:tcBorders>
            <w:tcMar>
              <w:bottom w:w="40" w:type="dxa"/>
            </w:tcMar>
            <w:vAlign w:val="center"/>
          </w:tcPr>
          <w:p>
            <w:pPr>
              <w:pStyle w:val="TableContents"/>
              <w:bidi w:val="0"/>
              <w:spacing w:before="0" w:after="283"/>
              <w:jc w:val="right"/>
              <w:rPr/>
            </w:pPr>
            <w:r>
              <w:rPr/>
              <w:t>188,042</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104,878</w:t>
            </w:r>
          </w:p>
        </w:tc>
        <w:tc>
          <w:tcPr>
            <w:tcW w:w="77"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Restricted Shares(2)</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40" w:type="dxa"/>
            </w:tcMar>
            <w:vAlign w:val="center"/>
          </w:tcPr>
          <w:p>
            <w:pPr>
              <w:pStyle w:val="TableContents"/>
              <w:bidi w:val="0"/>
              <w:spacing w:before="0" w:after="283"/>
              <w:jc w:val="left"/>
              <w:rPr/>
            </w:pPr>
            <w:r>
              <w:rPr/>
              <w:t> </w:t>
            </w:r>
          </w:p>
        </w:tc>
        <w:tc>
          <w:tcPr>
            <w:tcW w:w="1193" w:type="dxa"/>
            <w:tcBorders>
              <w:bottom w:val="single" w:sz="6" w:space="0" w:color="7F7F7F"/>
            </w:tcBorders>
            <w:tcMar>
              <w:bottom w:w="40" w:type="dxa"/>
            </w:tcMar>
            <w:vAlign w:val="center"/>
          </w:tcPr>
          <w:p>
            <w:pPr>
              <w:pStyle w:val="TableContents"/>
              <w:bidi w:val="0"/>
              <w:spacing w:before="0" w:after="283"/>
              <w:jc w:val="right"/>
              <w:rPr/>
            </w:pPr>
            <w:r>
              <w:rPr/>
              <w:t>232,651</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218,169</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40" w:type="dxa"/>
            </w:tcMar>
            <w:vAlign w:val="center"/>
          </w:tcPr>
          <w:p>
            <w:pPr>
              <w:pStyle w:val="TableContents"/>
              <w:bidi w:val="0"/>
              <w:spacing w:before="0" w:after="283"/>
              <w:jc w:val="left"/>
              <w:rPr/>
            </w:pPr>
            <w:r>
              <w:rPr/>
              <w:t> </w:t>
            </w:r>
          </w:p>
        </w:tc>
        <w:tc>
          <w:tcPr>
            <w:tcW w:w="1002" w:type="dxa"/>
            <w:tcBorders>
              <w:bottom w:val="single" w:sz="6" w:space="0" w:color="7F7F7F"/>
            </w:tcBorders>
            <w:tcMar>
              <w:bottom w:w="40" w:type="dxa"/>
            </w:tcMar>
            <w:vAlign w:val="center"/>
          </w:tcPr>
          <w:p>
            <w:pPr>
              <w:pStyle w:val="TableContents"/>
              <w:bidi w:val="0"/>
              <w:spacing w:before="0" w:after="283"/>
              <w:jc w:val="right"/>
              <w:rPr/>
            </w:pPr>
            <w:r>
              <w:rPr/>
              <w:t>166,577</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40" w:type="dxa"/>
            </w:tcMar>
            <w:vAlign w:val="center"/>
          </w:tcPr>
          <w:p>
            <w:pPr>
              <w:pStyle w:val="TableContents"/>
              <w:bidi w:val="0"/>
              <w:spacing w:before="0" w:after="283"/>
              <w:jc w:val="left"/>
              <w:rPr/>
            </w:pPr>
            <w:r>
              <w:rPr/>
              <w:t> </w:t>
            </w:r>
          </w:p>
        </w:tc>
        <w:tc>
          <w:tcPr>
            <w:tcW w:w="1013" w:type="dxa"/>
            <w:tcBorders>
              <w:bottom w:val="single" w:sz="6" w:space="0" w:color="7F7F7F"/>
            </w:tcBorders>
            <w:tcMar>
              <w:bottom w:w="40" w:type="dxa"/>
            </w:tcMar>
            <w:vAlign w:val="center"/>
          </w:tcPr>
          <w:p>
            <w:pPr>
              <w:pStyle w:val="TableContents"/>
              <w:bidi w:val="0"/>
              <w:spacing w:before="0" w:after="283"/>
              <w:jc w:val="right"/>
              <w:rPr/>
            </w:pPr>
            <w:r>
              <w:rPr/>
              <w:t>108,340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107,754</w:t>
            </w:r>
          </w:p>
        </w:tc>
        <w:tc>
          <w:tcPr>
            <w:tcW w:w="77"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Total</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40" w:type="dxa"/>
            </w:tcMar>
            <w:vAlign w:val="center"/>
          </w:tcPr>
          <w:p>
            <w:pPr>
              <w:pStyle w:val="TableContents"/>
              <w:bidi w:val="0"/>
              <w:spacing w:before="0" w:after="283"/>
              <w:jc w:val="left"/>
              <w:rPr/>
            </w:pPr>
            <w:r>
              <w:rPr/>
              <w:t> </w:t>
            </w:r>
          </w:p>
        </w:tc>
        <w:tc>
          <w:tcPr>
            <w:tcW w:w="1193" w:type="dxa"/>
            <w:tcBorders>
              <w:bottom w:val="single" w:sz="6" w:space="0" w:color="7F7F7F"/>
            </w:tcBorders>
            <w:tcMar>
              <w:bottom w:w="40" w:type="dxa"/>
            </w:tcMar>
            <w:vAlign w:val="center"/>
          </w:tcPr>
          <w:p>
            <w:pPr>
              <w:pStyle w:val="TableContents"/>
              <w:bidi w:val="0"/>
              <w:spacing w:before="0" w:after="283"/>
              <w:jc w:val="right"/>
              <w:rPr>
                <w:b/>
              </w:rPr>
            </w:pPr>
            <w:r>
              <w:rPr>
                <w:b/>
              </w:rPr>
              <w:t>232,651</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b/>
              </w:rPr>
            </w:pPr>
            <w:r>
              <w:rPr>
                <w:b/>
              </w:rPr>
              <w:t>285,163</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40" w:type="dxa"/>
            </w:tcMar>
            <w:vAlign w:val="center"/>
          </w:tcPr>
          <w:p>
            <w:pPr>
              <w:pStyle w:val="TableContents"/>
              <w:bidi w:val="0"/>
              <w:spacing w:before="0" w:after="283"/>
              <w:jc w:val="left"/>
              <w:rPr/>
            </w:pPr>
            <w:r>
              <w:rPr/>
              <w:t> </w:t>
            </w:r>
          </w:p>
        </w:tc>
        <w:tc>
          <w:tcPr>
            <w:tcW w:w="1002" w:type="dxa"/>
            <w:tcBorders>
              <w:bottom w:val="single" w:sz="6" w:space="0" w:color="7F7F7F"/>
            </w:tcBorders>
            <w:tcMar>
              <w:bottom w:w="40" w:type="dxa"/>
            </w:tcMar>
            <w:vAlign w:val="center"/>
          </w:tcPr>
          <w:p>
            <w:pPr>
              <w:pStyle w:val="TableContents"/>
              <w:bidi w:val="0"/>
              <w:spacing w:before="0" w:after="283"/>
              <w:jc w:val="right"/>
              <w:rPr>
                <w:b/>
              </w:rPr>
            </w:pPr>
            <w:r>
              <w:rPr>
                <w:b/>
              </w:rPr>
              <w:t>278,455</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40" w:type="dxa"/>
            </w:tcMar>
            <w:vAlign w:val="center"/>
          </w:tcPr>
          <w:p>
            <w:pPr>
              <w:pStyle w:val="TableContents"/>
              <w:bidi w:val="0"/>
              <w:spacing w:before="0" w:after="283"/>
              <w:jc w:val="left"/>
              <w:rPr/>
            </w:pPr>
            <w:r>
              <w:rPr/>
              <w:t> </w:t>
            </w:r>
          </w:p>
        </w:tc>
        <w:tc>
          <w:tcPr>
            <w:tcW w:w="1013" w:type="dxa"/>
            <w:tcBorders>
              <w:bottom w:val="single" w:sz="6" w:space="0" w:color="7F7F7F"/>
            </w:tcBorders>
            <w:tcMar>
              <w:bottom w:w="40" w:type="dxa"/>
            </w:tcMar>
            <w:vAlign w:val="center"/>
          </w:tcPr>
          <w:p>
            <w:pPr>
              <w:pStyle w:val="TableContents"/>
              <w:bidi w:val="0"/>
              <w:spacing w:before="0" w:after="283"/>
              <w:jc w:val="right"/>
              <w:rPr>
                <w:b/>
              </w:rPr>
            </w:pPr>
            <w:r>
              <w:rPr>
                <w:b/>
              </w:rPr>
              <w:t>296,382</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b/>
              </w:rPr>
            </w:pPr>
            <w:r>
              <w:rPr>
                <w:b/>
              </w:rPr>
              <w:t>212,632</w:t>
            </w:r>
          </w:p>
        </w:tc>
        <w:tc>
          <w:tcPr>
            <w:tcW w:w="77"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 xml:space="preserve">Normal Retirement </w:t>
              <w:br/>
              <w:t>(Age 62 and 5 Years of Service or any Combination of Age + Service &gt; 70 with Minimum Age of 60)</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93"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13"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7"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Performance Shares (Equity-Based)(1)</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40" w:type="dxa"/>
            </w:tcMar>
            <w:vAlign w:val="center"/>
          </w:tcPr>
          <w:p>
            <w:pPr>
              <w:pStyle w:val="TableContents"/>
              <w:bidi w:val="0"/>
              <w:spacing w:before="0" w:after="283"/>
              <w:jc w:val="left"/>
              <w:rPr/>
            </w:pPr>
            <w:r>
              <w:rPr/>
              <w:t> </w:t>
            </w:r>
          </w:p>
        </w:tc>
        <w:tc>
          <w:tcPr>
            <w:tcW w:w="1193" w:type="dxa"/>
            <w:tcBorders>
              <w:bottom w:val="single" w:sz="6" w:space="0" w:color="7F7F7F"/>
            </w:tcBorders>
            <w:tcMar>
              <w:bottom w:w="40" w:type="dxa"/>
            </w:tcMar>
            <w:vAlign w:val="center"/>
          </w:tcPr>
          <w:p>
            <w:pPr>
              <w:pStyle w:val="TableContents"/>
              <w:bidi w:val="0"/>
              <w:spacing w:before="0" w:after="283"/>
              <w:jc w:val="right"/>
              <w:rPr/>
            </w:pPr>
            <w:r>
              <w:rPr/>
              <w:t>—</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40" w:type="dxa"/>
            </w:tcMar>
            <w:vAlign w:val="center"/>
          </w:tcPr>
          <w:p>
            <w:pPr>
              <w:pStyle w:val="TableContents"/>
              <w:bidi w:val="0"/>
              <w:spacing w:before="0" w:after="283"/>
              <w:jc w:val="left"/>
              <w:rPr/>
            </w:pPr>
            <w:r>
              <w:rPr/>
              <w:t> </w:t>
            </w:r>
          </w:p>
        </w:tc>
        <w:tc>
          <w:tcPr>
            <w:tcW w:w="1002" w:type="dxa"/>
            <w:tcBorders>
              <w:bottom w:val="single" w:sz="6" w:space="0" w:color="7F7F7F"/>
            </w:tcBorders>
            <w:tcMar>
              <w:bottom w:w="40" w:type="dxa"/>
            </w:tcMar>
            <w:vAlign w:val="center"/>
          </w:tcPr>
          <w:p>
            <w:pPr>
              <w:pStyle w:val="TableContents"/>
              <w:bidi w:val="0"/>
              <w:spacing w:before="0" w:after="283"/>
              <w:jc w:val="right"/>
              <w:rPr/>
            </w:pPr>
            <w:r>
              <w:rPr/>
              <w:t>—</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40" w:type="dxa"/>
            </w:tcMar>
            <w:vAlign w:val="center"/>
          </w:tcPr>
          <w:p>
            <w:pPr>
              <w:pStyle w:val="TableContents"/>
              <w:bidi w:val="0"/>
              <w:spacing w:before="0" w:after="283"/>
              <w:jc w:val="left"/>
              <w:rPr/>
            </w:pPr>
            <w:r>
              <w:rPr/>
              <w:t> </w:t>
            </w:r>
          </w:p>
        </w:tc>
        <w:tc>
          <w:tcPr>
            <w:tcW w:w="1013" w:type="dxa"/>
            <w:tcBorders>
              <w:bottom w:val="single" w:sz="6" w:space="0" w:color="7F7F7F"/>
            </w:tcBorders>
            <w:tcMar>
              <w:bottom w:w="40" w:type="dxa"/>
            </w:tcMar>
            <w:vAlign w:val="center"/>
          </w:tcPr>
          <w:p>
            <w:pPr>
              <w:pStyle w:val="TableContents"/>
              <w:bidi w:val="0"/>
              <w:spacing w:before="0" w:after="283"/>
              <w:jc w:val="right"/>
              <w:rPr/>
            </w:pPr>
            <w:r>
              <w:rPr/>
              <w:t>—</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w:t>
            </w:r>
          </w:p>
        </w:tc>
        <w:tc>
          <w:tcPr>
            <w:tcW w:w="77"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 xml:space="preserve">Involuntary Termination </w:t>
              <w:br/>
              <w:t>(Not For Cause)</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93"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13"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7"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Cash Severance(3)</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40" w:type="dxa"/>
            </w:tcMar>
            <w:vAlign w:val="center"/>
          </w:tcPr>
          <w:p>
            <w:pPr>
              <w:pStyle w:val="TableContents"/>
              <w:bidi w:val="0"/>
              <w:spacing w:before="0" w:after="283"/>
              <w:jc w:val="left"/>
              <w:rPr/>
            </w:pPr>
            <w:r>
              <w:rPr/>
              <w:t> </w:t>
            </w:r>
          </w:p>
        </w:tc>
        <w:tc>
          <w:tcPr>
            <w:tcW w:w="1193" w:type="dxa"/>
            <w:tcBorders>
              <w:bottom w:val="single" w:sz="6" w:space="0" w:color="7F7F7F"/>
            </w:tcBorders>
            <w:tcMar>
              <w:bottom w:w="40" w:type="dxa"/>
            </w:tcMar>
            <w:vAlign w:val="center"/>
          </w:tcPr>
          <w:p>
            <w:pPr>
              <w:pStyle w:val="TableContents"/>
              <w:bidi w:val="0"/>
              <w:spacing w:before="0" w:after="283"/>
              <w:jc w:val="right"/>
              <w:rPr/>
            </w:pPr>
            <w:r>
              <w:rPr/>
              <w:t>2,000,000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975,000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40" w:type="dxa"/>
            </w:tcMar>
            <w:vAlign w:val="center"/>
          </w:tcPr>
          <w:p>
            <w:pPr>
              <w:pStyle w:val="TableContents"/>
              <w:bidi w:val="0"/>
              <w:spacing w:before="0" w:after="283"/>
              <w:jc w:val="left"/>
              <w:rPr/>
            </w:pPr>
            <w:r>
              <w:rPr/>
              <w:t> </w:t>
            </w:r>
          </w:p>
        </w:tc>
        <w:tc>
          <w:tcPr>
            <w:tcW w:w="1002" w:type="dxa"/>
            <w:tcBorders>
              <w:bottom w:val="single" w:sz="6" w:space="0" w:color="7F7F7F"/>
            </w:tcBorders>
            <w:tcMar>
              <w:bottom w:w="40" w:type="dxa"/>
            </w:tcMar>
            <w:vAlign w:val="center"/>
          </w:tcPr>
          <w:p>
            <w:pPr>
              <w:pStyle w:val="TableContents"/>
              <w:bidi w:val="0"/>
              <w:spacing w:before="0" w:after="283"/>
              <w:jc w:val="right"/>
              <w:rPr/>
            </w:pPr>
            <w:r>
              <w:rPr/>
              <w:t>463,000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40" w:type="dxa"/>
            </w:tcMar>
            <w:vAlign w:val="center"/>
          </w:tcPr>
          <w:p>
            <w:pPr>
              <w:pStyle w:val="TableContents"/>
              <w:bidi w:val="0"/>
              <w:spacing w:before="0" w:after="283"/>
              <w:jc w:val="left"/>
              <w:rPr/>
            </w:pPr>
            <w:r>
              <w:rPr/>
              <w:t> </w:t>
            </w:r>
          </w:p>
        </w:tc>
        <w:tc>
          <w:tcPr>
            <w:tcW w:w="1013" w:type="dxa"/>
            <w:tcBorders>
              <w:bottom w:val="single" w:sz="6" w:space="0" w:color="7F7F7F"/>
            </w:tcBorders>
            <w:tcMar>
              <w:bottom w:w="40" w:type="dxa"/>
            </w:tcMar>
            <w:vAlign w:val="center"/>
          </w:tcPr>
          <w:p>
            <w:pPr>
              <w:pStyle w:val="TableContents"/>
              <w:bidi w:val="0"/>
              <w:spacing w:before="0" w:after="283"/>
              <w:jc w:val="right"/>
              <w:rPr/>
            </w:pPr>
            <w:r>
              <w:rPr/>
              <w:t>787,500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422,000</w:t>
            </w:r>
          </w:p>
        </w:tc>
        <w:tc>
          <w:tcPr>
            <w:tcW w:w="77"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Pro-Rated Annual Incentive(4)</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40" w:type="dxa"/>
            </w:tcMar>
            <w:vAlign w:val="center"/>
          </w:tcPr>
          <w:p>
            <w:pPr>
              <w:pStyle w:val="TableContents"/>
              <w:bidi w:val="0"/>
              <w:spacing w:before="0" w:after="283"/>
              <w:jc w:val="left"/>
              <w:rPr/>
            </w:pPr>
            <w:r>
              <w:rPr/>
              <w:t> </w:t>
            </w:r>
          </w:p>
        </w:tc>
        <w:tc>
          <w:tcPr>
            <w:tcW w:w="1193" w:type="dxa"/>
            <w:tcBorders>
              <w:bottom w:val="single" w:sz="6" w:space="0" w:color="7F7F7F"/>
            </w:tcBorders>
            <w:tcMar>
              <w:bottom w:w="40" w:type="dxa"/>
            </w:tcMar>
            <w:vAlign w:val="center"/>
          </w:tcPr>
          <w:p>
            <w:pPr>
              <w:pStyle w:val="TableContents"/>
              <w:bidi w:val="0"/>
              <w:spacing w:before="0" w:after="283"/>
              <w:jc w:val="right"/>
              <w:rPr/>
            </w:pPr>
            <w:r>
              <w:rPr/>
              <w:t>450,000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40" w:type="dxa"/>
            </w:tcMar>
            <w:vAlign w:val="center"/>
          </w:tcPr>
          <w:p>
            <w:pPr>
              <w:pStyle w:val="TableContents"/>
              <w:bidi w:val="0"/>
              <w:spacing w:before="0" w:after="283"/>
              <w:jc w:val="left"/>
              <w:rPr/>
            </w:pPr>
            <w:r>
              <w:rPr/>
              <w:t> </w:t>
            </w:r>
          </w:p>
        </w:tc>
        <w:tc>
          <w:tcPr>
            <w:tcW w:w="1002" w:type="dxa"/>
            <w:tcBorders>
              <w:bottom w:val="single" w:sz="6" w:space="0" w:color="7F7F7F"/>
            </w:tcBorders>
            <w:tcMar>
              <w:bottom w:w="40" w:type="dxa"/>
            </w:tcMar>
            <w:vAlign w:val="center"/>
          </w:tcPr>
          <w:p>
            <w:pPr>
              <w:pStyle w:val="TableContents"/>
              <w:bidi w:val="0"/>
              <w:spacing w:before="0" w:after="283"/>
              <w:jc w:val="right"/>
              <w:rPr/>
            </w:pPr>
            <w:r>
              <w:rPr/>
              <w:t>—</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40" w:type="dxa"/>
            </w:tcMar>
            <w:vAlign w:val="center"/>
          </w:tcPr>
          <w:p>
            <w:pPr>
              <w:pStyle w:val="TableContents"/>
              <w:bidi w:val="0"/>
              <w:spacing w:before="0" w:after="283"/>
              <w:jc w:val="left"/>
              <w:rPr/>
            </w:pPr>
            <w:r>
              <w:rPr/>
              <w:t> </w:t>
            </w:r>
          </w:p>
        </w:tc>
        <w:tc>
          <w:tcPr>
            <w:tcW w:w="1013" w:type="dxa"/>
            <w:tcBorders>
              <w:bottom w:val="single" w:sz="6" w:space="0" w:color="7F7F7F"/>
            </w:tcBorders>
            <w:tcMar>
              <w:bottom w:w="40" w:type="dxa"/>
            </w:tcMar>
            <w:vAlign w:val="center"/>
          </w:tcPr>
          <w:p>
            <w:pPr>
              <w:pStyle w:val="TableContents"/>
              <w:bidi w:val="0"/>
              <w:spacing w:before="0" w:after="283"/>
              <w:jc w:val="right"/>
              <w:rPr/>
            </w:pPr>
            <w:r>
              <w:rPr/>
              <w:t>—</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89,816</w:t>
            </w:r>
          </w:p>
        </w:tc>
        <w:tc>
          <w:tcPr>
            <w:tcW w:w="77"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Performance Shares (Equity-Based)(1)</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40" w:type="dxa"/>
            </w:tcMar>
            <w:vAlign w:val="center"/>
          </w:tcPr>
          <w:p>
            <w:pPr>
              <w:pStyle w:val="TableContents"/>
              <w:bidi w:val="0"/>
              <w:spacing w:before="0" w:after="283"/>
              <w:jc w:val="left"/>
              <w:rPr/>
            </w:pPr>
            <w:r>
              <w:rPr/>
              <w:t> </w:t>
            </w:r>
          </w:p>
        </w:tc>
        <w:tc>
          <w:tcPr>
            <w:tcW w:w="1193" w:type="dxa"/>
            <w:tcBorders>
              <w:bottom w:val="single" w:sz="6" w:space="0" w:color="7F7F7F"/>
            </w:tcBorders>
            <w:tcMar>
              <w:bottom w:w="40" w:type="dxa"/>
            </w:tcMar>
            <w:vAlign w:val="center"/>
          </w:tcPr>
          <w:p>
            <w:pPr>
              <w:pStyle w:val="TableContents"/>
              <w:bidi w:val="0"/>
              <w:spacing w:before="0" w:after="283"/>
              <w:jc w:val="right"/>
              <w:rPr/>
            </w:pPr>
            <w:r>
              <w:rPr/>
              <w:t>—</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40" w:type="dxa"/>
            </w:tcMar>
            <w:vAlign w:val="center"/>
          </w:tcPr>
          <w:p>
            <w:pPr>
              <w:pStyle w:val="TableContents"/>
              <w:bidi w:val="0"/>
              <w:spacing w:before="0" w:after="283"/>
              <w:jc w:val="left"/>
              <w:rPr/>
            </w:pPr>
            <w:r>
              <w:rPr/>
              <w:t> </w:t>
            </w:r>
          </w:p>
        </w:tc>
        <w:tc>
          <w:tcPr>
            <w:tcW w:w="1002" w:type="dxa"/>
            <w:tcBorders>
              <w:bottom w:val="single" w:sz="6" w:space="0" w:color="7F7F7F"/>
            </w:tcBorders>
            <w:tcMar>
              <w:bottom w:w="40" w:type="dxa"/>
            </w:tcMar>
            <w:vAlign w:val="center"/>
          </w:tcPr>
          <w:p>
            <w:pPr>
              <w:pStyle w:val="TableContents"/>
              <w:bidi w:val="0"/>
              <w:spacing w:before="0" w:after="283"/>
              <w:jc w:val="right"/>
              <w:rPr/>
            </w:pPr>
            <w:r>
              <w:rPr/>
              <w:t>90,181</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40" w:type="dxa"/>
            </w:tcMar>
            <w:vAlign w:val="center"/>
          </w:tcPr>
          <w:p>
            <w:pPr>
              <w:pStyle w:val="TableContents"/>
              <w:bidi w:val="0"/>
              <w:spacing w:before="0" w:after="283"/>
              <w:jc w:val="left"/>
              <w:rPr/>
            </w:pPr>
            <w:r>
              <w:rPr/>
              <w:t> </w:t>
            </w:r>
          </w:p>
        </w:tc>
        <w:tc>
          <w:tcPr>
            <w:tcW w:w="1013" w:type="dxa"/>
            <w:tcBorders>
              <w:bottom w:val="single" w:sz="6" w:space="0" w:color="7F7F7F"/>
            </w:tcBorders>
            <w:tcMar>
              <w:bottom w:w="40" w:type="dxa"/>
            </w:tcMar>
            <w:vAlign w:val="center"/>
          </w:tcPr>
          <w:p>
            <w:pPr>
              <w:pStyle w:val="TableContents"/>
              <w:bidi w:val="0"/>
              <w:spacing w:before="0" w:after="283"/>
              <w:jc w:val="right"/>
              <w:rPr/>
            </w:pPr>
            <w:r>
              <w:rPr/>
              <w:t>143,374</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83,749</w:t>
            </w:r>
          </w:p>
        </w:tc>
        <w:tc>
          <w:tcPr>
            <w:tcW w:w="77"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Restricted Shares(2)</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40" w:type="dxa"/>
            </w:tcMar>
            <w:vAlign w:val="center"/>
          </w:tcPr>
          <w:p>
            <w:pPr>
              <w:pStyle w:val="TableContents"/>
              <w:bidi w:val="0"/>
              <w:spacing w:before="0" w:after="283"/>
              <w:jc w:val="left"/>
              <w:rPr/>
            </w:pPr>
            <w:r>
              <w:rPr/>
              <w:t> </w:t>
            </w:r>
          </w:p>
        </w:tc>
        <w:tc>
          <w:tcPr>
            <w:tcW w:w="1193" w:type="dxa"/>
            <w:tcBorders>
              <w:bottom w:val="single" w:sz="6" w:space="0" w:color="7F7F7F"/>
            </w:tcBorders>
            <w:tcMar>
              <w:bottom w:w="40" w:type="dxa"/>
            </w:tcMar>
            <w:vAlign w:val="center"/>
          </w:tcPr>
          <w:p>
            <w:pPr>
              <w:pStyle w:val="TableContents"/>
              <w:bidi w:val="0"/>
              <w:spacing w:before="0" w:after="283"/>
              <w:jc w:val="right"/>
              <w:rPr/>
            </w:pPr>
            <w:r>
              <w:rPr/>
              <w:t>—</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40" w:type="dxa"/>
            </w:tcMar>
            <w:vAlign w:val="center"/>
          </w:tcPr>
          <w:p>
            <w:pPr>
              <w:pStyle w:val="TableContents"/>
              <w:bidi w:val="0"/>
              <w:spacing w:before="0" w:after="283"/>
              <w:jc w:val="left"/>
              <w:rPr/>
            </w:pPr>
            <w:r>
              <w:rPr/>
              <w:t> </w:t>
            </w:r>
          </w:p>
        </w:tc>
        <w:tc>
          <w:tcPr>
            <w:tcW w:w="1002" w:type="dxa"/>
            <w:tcBorders>
              <w:bottom w:val="single" w:sz="6" w:space="0" w:color="7F7F7F"/>
            </w:tcBorders>
            <w:tcMar>
              <w:bottom w:w="40" w:type="dxa"/>
            </w:tcMar>
            <w:vAlign w:val="center"/>
          </w:tcPr>
          <w:p>
            <w:pPr>
              <w:pStyle w:val="TableContents"/>
              <w:bidi w:val="0"/>
              <w:spacing w:before="0" w:after="283"/>
              <w:jc w:val="right"/>
              <w:rPr/>
            </w:pPr>
            <w:r>
              <w:rPr/>
              <w:t>—</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40" w:type="dxa"/>
            </w:tcMar>
            <w:vAlign w:val="center"/>
          </w:tcPr>
          <w:p>
            <w:pPr>
              <w:pStyle w:val="TableContents"/>
              <w:bidi w:val="0"/>
              <w:spacing w:before="0" w:after="283"/>
              <w:jc w:val="left"/>
              <w:rPr/>
            </w:pPr>
            <w:r>
              <w:rPr/>
              <w:t> </w:t>
            </w:r>
          </w:p>
        </w:tc>
        <w:tc>
          <w:tcPr>
            <w:tcW w:w="1013" w:type="dxa"/>
            <w:tcBorders>
              <w:bottom w:val="single" w:sz="6" w:space="0" w:color="7F7F7F"/>
            </w:tcBorders>
            <w:tcMar>
              <w:bottom w:w="40" w:type="dxa"/>
            </w:tcMar>
            <w:vAlign w:val="center"/>
          </w:tcPr>
          <w:p>
            <w:pPr>
              <w:pStyle w:val="TableContents"/>
              <w:bidi w:val="0"/>
              <w:spacing w:before="0" w:after="283"/>
              <w:jc w:val="right"/>
              <w:rPr/>
            </w:pPr>
            <w:r>
              <w:rPr/>
              <w:t>—</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w:t>
            </w:r>
          </w:p>
        </w:tc>
        <w:tc>
          <w:tcPr>
            <w:tcW w:w="77"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Benefits Continuation(5)</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40" w:type="dxa"/>
            </w:tcMar>
            <w:vAlign w:val="center"/>
          </w:tcPr>
          <w:p>
            <w:pPr>
              <w:pStyle w:val="TableContents"/>
              <w:bidi w:val="0"/>
              <w:spacing w:before="0" w:after="283"/>
              <w:jc w:val="left"/>
              <w:rPr/>
            </w:pPr>
            <w:r>
              <w:rPr/>
              <w:t> </w:t>
            </w:r>
          </w:p>
        </w:tc>
        <w:tc>
          <w:tcPr>
            <w:tcW w:w="1193" w:type="dxa"/>
            <w:tcBorders>
              <w:bottom w:val="single" w:sz="6" w:space="0" w:color="7F7F7F"/>
            </w:tcBorders>
            <w:tcMar>
              <w:bottom w:w="40" w:type="dxa"/>
            </w:tcMar>
            <w:vAlign w:val="center"/>
          </w:tcPr>
          <w:p>
            <w:pPr>
              <w:pStyle w:val="TableContents"/>
              <w:bidi w:val="0"/>
              <w:spacing w:before="0" w:after="283"/>
              <w:jc w:val="right"/>
              <w:rPr/>
            </w:pPr>
            <w:r>
              <w:rPr/>
              <w:t>—</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12,750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40" w:type="dxa"/>
            </w:tcMar>
            <w:vAlign w:val="center"/>
          </w:tcPr>
          <w:p>
            <w:pPr>
              <w:pStyle w:val="TableContents"/>
              <w:bidi w:val="0"/>
              <w:spacing w:before="0" w:after="283"/>
              <w:jc w:val="left"/>
              <w:rPr/>
            </w:pPr>
            <w:r>
              <w:rPr/>
              <w:t> </w:t>
            </w:r>
          </w:p>
        </w:tc>
        <w:tc>
          <w:tcPr>
            <w:tcW w:w="1002" w:type="dxa"/>
            <w:tcBorders>
              <w:bottom w:val="single" w:sz="6" w:space="0" w:color="7F7F7F"/>
            </w:tcBorders>
            <w:tcMar>
              <w:bottom w:w="40" w:type="dxa"/>
            </w:tcMar>
            <w:vAlign w:val="center"/>
          </w:tcPr>
          <w:p>
            <w:pPr>
              <w:pStyle w:val="TableContents"/>
              <w:bidi w:val="0"/>
              <w:spacing w:before="0" w:after="283"/>
              <w:jc w:val="right"/>
              <w:rPr/>
            </w:pPr>
            <w:r>
              <w:rPr/>
              <w:t>4,078</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40" w:type="dxa"/>
            </w:tcMar>
            <w:vAlign w:val="center"/>
          </w:tcPr>
          <w:p>
            <w:pPr>
              <w:pStyle w:val="TableContents"/>
              <w:bidi w:val="0"/>
              <w:spacing w:before="0" w:after="283"/>
              <w:jc w:val="left"/>
              <w:rPr/>
            </w:pPr>
            <w:r>
              <w:rPr/>
              <w:t> </w:t>
            </w:r>
          </w:p>
        </w:tc>
        <w:tc>
          <w:tcPr>
            <w:tcW w:w="1013" w:type="dxa"/>
            <w:tcBorders>
              <w:bottom w:val="single" w:sz="6" w:space="0" w:color="7F7F7F"/>
            </w:tcBorders>
            <w:tcMar>
              <w:bottom w:w="40" w:type="dxa"/>
            </w:tcMar>
            <w:vAlign w:val="center"/>
          </w:tcPr>
          <w:p>
            <w:pPr>
              <w:pStyle w:val="TableContents"/>
              <w:bidi w:val="0"/>
              <w:spacing w:before="0" w:after="283"/>
              <w:jc w:val="right"/>
              <w:rPr/>
            </w:pPr>
            <w:r>
              <w:rPr/>
              <w:t>17,117</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10,209</w:t>
            </w:r>
          </w:p>
        </w:tc>
        <w:tc>
          <w:tcPr>
            <w:tcW w:w="77"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Outplacement Services(6)</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40" w:type="dxa"/>
            </w:tcMar>
            <w:vAlign w:val="center"/>
          </w:tcPr>
          <w:p>
            <w:pPr>
              <w:pStyle w:val="TableContents"/>
              <w:bidi w:val="0"/>
              <w:spacing w:before="0" w:after="283"/>
              <w:jc w:val="left"/>
              <w:rPr/>
            </w:pPr>
            <w:r>
              <w:rPr/>
              <w:t> </w:t>
            </w:r>
          </w:p>
        </w:tc>
        <w:tc>
          <w:tcPr>
            <w:tcW w:w="1193" w:type="dxa"/>
            <w:tcBorders>
              <w:bottom w:val="single" w:sz="6" w:space="0" w:color="7F7F7F"/>
            </w:tcBorders>
            <w:tcMar>
              <w:bottom w:w="40" w:type="dxa"/>
            </w:tcMar>
            <w:vAlign w:val="center"/>
          </w:tcPr>
          <w:p>
            <w:pPr>
              <w:pStyle w:val="TableContents"/>
              <w:bidi w:val="0"/>
              <w:spacing w:before="0" w:after="283"/>
              <w:jc w:val="right"/>
              <w:rPr/>
            </w:pPr>
            <w:r>
              <w:rPr/>
              <w:t>10,000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10,000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40" w:type="dxa"/>
            </w:tcMar>
            <w:vAlign w:val="center"/>
          </w:tcPr>
          <w:p>
            <w:pPr>
              <w:pStyle w:val="TableContents"/>
              <w:bidi w:val="0"/>
              <w:spacing w:before="0" w:after="283"/>
              <w:jc w:val="left"/>
              <w:rPr/>
            </w:pPr>
            <w:r>
              <w:rPr/>
              <w:t> </w:t>
            </w:r>
          </w:p>
        </w:tc>
        <w:tc>
          <w:tcPr>
            <w:tcW w:w="1002" w:type="dxa"/>
            <w:tcBorders>
              <w:bottom w:val="single" w:sz="6" w:space="0" w:color="7F7F7F"/>
            </w:tcBorders>
            <w:tcMar>
              <w:bottom w:w="40" w:type="dxa"/>
            </w:tcMar>
            <w:vAlign w:val="center"/>
          </w:tcPr>
          <w:p>
            <w:pPr>
              <w:pStyle w:val="TableContents"/>
              <w:bidi w:val="0"/>
              <w:spacing w:before="0" w:after="283"/>
              <w:jc w:val="right"/>
              <w:rPr/>
            </w:pPr>
            <w:r>
              <w:rPr/>
              <w:t>10,000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40" w:type="dxa"/>
            </w:tcMar>
            <w:vAlign w:val="center"/>
          </w:tcPr>
          <w:p>
            <w:pPr>
              <w:pStyle w:val="TableContents"/>
              <w:bidi w:val="0"/>
              <w:spacing w:before="0" w:after="283"/>
              <w:jc w:val="left"/>
              <w:rPr/>
            </w:pPr>
            <w:r>
              <w:rPr/>
              <w:t> </w:t>
            </w:r>
          </w:p>
        </w:tc>
        <w:tc>
          <w:tcPr>
            <w:tcW w:w="1013" w:type="dxa"/>
            <w:tcBorders>
              <w:bottom w:val="single" w:sz="6" w:space="0" w:color="7F7F7F"/>
            </w:tcBorders>
            <w:tcMar>
              <w:bottom w:w="40" w:type="dxa"/>
            </w:tcMar>
            <w:vAlign w:val="center"/>
          </w:tcPr>
          <w:p>
            <w:pPr>
              <w:pStyle w:val="TableContents"/>
              <w:bidi w:val="0"/>
              <w:spacing w:before="0" w:after="283"/>
              <w:jc w:val="right"/>
              <w:rPr/>
            </w:pPr>
            <w:r>
              <w:rPr/>
              <w:t>10,000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10,000</w:t>
            </w:r>
          </w:p>
        </w:tc>
        <w:tc>
          <w:tcPr>
            <w:tcW w:w="77"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Total</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40" w:type="dxa"/>
            </w:tcMar>
            <w:vAlign w:val="center"/>
          </w:tcPr>
          <w:p>
            <w:pPr>
              <w:pStyle w:val="TableContents"/>
              <w:bidi w:val="0"/>
              <w:spacing w:before="0" w:after="283"/>
              <w:jc w:val="left"/>
              <w:rPr/>
            </w:pPr>
            <w:r>
              <w:rPr/>
              <w:t> </w:t>
            </w:r>
          </w:p>
        </w:tc>
        <w:tc>
          <w:tcPr>
            <w:tcW w:w="1193" w:type="dxa"/>
            <w:tcBorders>
              <w:bottom w:val="single" w:sz="6" w:space="0" w:color="7F7F7F"/>
            </w:tcBorders>
            <w:tcMar>
              <w:bottom w:w="40" w:type="dxa"/>
            </w:tcMar>
            <w:vAlign w:val="center"/>
          </w:tcPr>
          <w:p>
            <w:pPr>
              <w:pStyle w:val="TableContents"/>
              <w:bidi w:val="0"/>
              <w:spacing w:before="0" w:after="283"/>
              <w:jc w:val="right"/>
              <w:rPr>
                <w:b/>
              </w:rPr>
            </w:pPr>
            <w:r>
              <w:rPr>
                <w:b/>
              </w:rPr>
              <w:t>2,460,000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b/>
              </w:rPr>
            </w:pPr>
            <w:r>
              <w:rPr>
                <w:b/>
              </w:rPr>
              <w:t>997,750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40" w:type="dxa"/>
            </w:tcMar>
            <w:vAlign w:val="center"/>
          </w:tcPr>
          <w:p>
            <w:pPr>
              <w:pStyle w:val="TableContents"/>
              <w:bidi w:val="0"/>
              <w:spacing w:before="0" w:after="283"/>
              <w:jc w:val="left"/>
              <w:rPr/>
            </w:pPr>
            <w:r>
              <w:rPr/>
              <w:t> </w:t>
            </w:r>
          </w:p>
        </w:tc>
        <w:tc>
          <w:tcPr>
            <w:tcW w:w="1002" w:type="dxa"/>
            <w:tcBorders>
              <w:bottom w:val="single" w:sz="6" w:space="0" w:color="7F7F7F"/>
            </w:tcBorders>
            <w:tcMar>
              <w:bottom w:w="40" w:type="dxa"/>
            </w:tcMar>
            <w:vAlign w:val="center"/>
          </w:tcPr>
          <w:p>
            <w:pPr>
              <w:pStyle w:val="TableContents"/>
              <w:bidi w:val="0"/>
              <w:spacing w:before="0" w:after="283"/>
              <w:jc w:val="right"/>
              <w:rPr>
                <w:b/>
              </w:rPr>
            </w:pPr>
            <w:r>
              <w:rPr>
                <w:b/>
              </w:rPr>
              <w:t>567,259</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40" w:type="dxa"/>
            </w:tcMar>
            <w:vAlign w:val="center"/>
          </w:tcPr>
          <w:p>
            <w:pPr>
              <w:pStyle w:val="TableContents"/>
              <w:bidi w:val="0"/>
              <w:spacing w:before="0" w:after="283"/>
              <w:jc w:val="left"/>
              <w:rPr/>
            </w:pPr>
            <w:r>
              <w:rPr/>
              <w:t> </w:t>
            </w:r>
          </w:p>
        </w:tc>
        <w:tc>
          <w:tcPr>
            <w:tcW w:w="1013" w:type="dxa"/>
            <w:tcBorders>
              <w:bottom w:val="single" w:sz="6" w:space="0" w:color="7F7F7F"/>
            </w:tcBorders>
            <w:tcMar>
              <w:bottom w:w="40" w:type="dxa"/>
            </w:tcMar>
            <w:vAlign w:val="center"/>
          </w:tcPr>
          <w:p>
            <w:pPr>
              <w:pStyle w:val="TableContents"/>
              <w:bidi w:val="0"/>
              <w:spacing w:before="0" w:after="283"/>
              <w:jc w:val="right"/>
              <w:rPr>
                <w:b/>
              </w:rPr>
            </w:pPr>
            <w:r>
              <w:rPr>
                <w:b/>
              </w:rPr>
              <w:t>957,990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b/>
              </w:rPr>
            </w:pPr>
            <w:r>
              <w:rPr>
                <w:b/>
              </w:rPr>
              <w:t>615,774</w:t>
            </w:r>
          </w:p>
        </w:tc>
        <w:tc>
          <w:tcPr>
            <w:tcW w:w="77"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Termination in Connection with a Change In Control - For Good Reason or Not For Cause</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93"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13"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7" w:type="dxa"/>
            <w:tcBorders>
              <w:bottom w:val="single" w:sz="6" w:space="0" w:color="7F7F7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Cash Severance(3)</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40" w:type="dxa"/>
            </w:tcMar>
            <w:vAlign w:val="center"/>
          </w:tcPr>
          <w:p>
            <w:pPr>
              <w:pStyle w:val="TableContents"/>
              <w:bidi w:val="0"/>
              <w:spacing w:before="0" w:after="283"/>
              <w:jc w:val="left"/>
              <w:rPr/>
            </w:pPr>
            <w:r>
              <w:rPr/>
              <w:t> </w:t>
            </w:r>
          </w:p>
        </w:tc>
        <w:tc>
          <w:tcPr>
            <w:tcW w:w="1193" w:type="dxa"/>
            <w:tcBorders>
              <w:bottom w:val="single" w:sz="6" w:space="0" w:color="7F7F7F"/>
            </w:tcBorders>
            <w:tcMar>
              <w:bottom w:w="40" w:type="dxa"/>
            </w:tcMar>
            <w:vAlign w:val="center"/>
          </w:tcPr>
          <w:p>
            <w:pPr>
              <w:pStyle w:val="TableContents"/>
              <w:bidi w:val="0"/>
              <w:spacing w:before="0" w:after="283"/>
              <w:jc w:val="right"/>
              <w:rPr/>
            </w:pPr>
            <w:r>
              <w:rPr/>
              <w:t>4,500,000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1,803,750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40" w:type="dxa"/>
            </w:tcMar>
            <w:vAlign w:val="center"/>
          </w:tcPr>
          <w:p>
            <w:pPr>
              <w:pStyle w:val="TableContents"/>
              <w:bidi w:val="0"/>
              <w:spacing w:before="0" w:after="283"/>
              <w:jc w:val="left"/>
              <w:rPr/>
            </w:pPr>
            <w:r>
              <w:rPr/>
              <w:t> </w:t>
            </w:r>
          </w:p>
        </w:tc>
        <w:tc>
          <w:tcPr>
            <w:tcW w:w="1002" w:type="dxa"/>
            <w:tcBorders>
              <w:bottom w:val="single" w:sz="6" w:space="0" w:color="7F7F7F"/>
            </w:tcBorders>
            <w:tcMar>
              <w:bottom w:w="40" w:type="dxa"/>
            </w:tcMar>
            <w:vAlign w:val="center"/>
          </w:tcPr>
          <w:p>
            <w:pPr>
              <w:pStyle w:val="TableContents"/>
              <w:bidi w:val="0"/>
              <w:spacing w:before="0" w:after="283"/>
              <w:jc w:val="right"/>
              <w:rPr/>
            </w:pPr>
            <w:r>
              <w:rPr/>
              <w:t>740,800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40" w:type="dxa"/>
            </w:tcMar>
            <w:vAlign w:val="center"/>
          </w:tcPr>
          <w:p>
            <w:pPr>
              <w:pStyle w:val="TableContents"/>
              <w:bidi w:val="0"/>
              <w:spacing w:before="0" w:after="283"/>
              <w:jc w:val="left"/>
              <w:rPr/>
            </w:pPr>
            <w:r>
              <w:rPr/>
              <w:t> </w:t>
            </w:r>
          </w:p>
        </w:tc>
        <w:tc>
          <w:tcPr>
            <w:tcW w:w="1013" w:type="dxa"/>
            <w:tcBorders>
              <w:bottom w:val="single" w:sz="6" w:space="0" w:color="7F7F7F"/>
            </w:tcBorders>
            <w:tcMar>
              <w:bottom w:w="40" w:type="dxa"/>
            </w:tcMar>
            <w:vAlign w:val="center"/>
          </w:tcPr>
          <w:p>
            <w:pPr>
              <w:pStyle w:val="TableContents"/>
              <w:bidi w:val="0"/>
              <w:spacing w:before="0" w:after="283"/>
              <w:jc w:val="right"/>
              <w:rPr/>
            </w:pPr>
            <w:r>
              <w:rPr/>
              <w:t>1,378,125</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675,200</w:t>
            </w:r>
          </w:p>
        </w:tc>
        <w:tc>
          <w:tcPr>
            <w:tcW w:w="77"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Pro-Rated Annual Incentive(4)</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40" w:type="dxa"/>
            </w:tcMar>
            <w:vAlign w:val="center"/>
          </w:tcPr>
          <w:p>
            <w:pPr>
              <w:pStyle w:val="TableContents"/>
              <w:bidi w:val="0"/>
              <w:spacing w:before="0" w:after="283"/>
              <w:jc w:val="left"/>
              <w:rPr/>
            </w:pPr>
            <w:r>
              <w:rPr/>
              <w:t> </w:t>
            </w:r>
          </w:p>
        </w:tc>
        <w:tc>
          <w:tcPr>
            <w:tcW w:w="1193" w:type="dxa"/>
            <w:tcBorders>
              <w:bottom w:val="single" w:sz="6" w:space="0" w:color="7F7F7F"/>
            </w:tcBorders>
            <w:tcMar>
              <w:bottom w:w="40" w:type="dxa"/>
            </w:tcMar>
            <w:vAlign w:val="center"/>
          </w:tcPr>
          <w:p>
            <w:pPr>
              <w:pStyle w:val="TableContents"/>
              <w:bidi w:val="0"/>
              <w:spacing w:before="0" w:after="283"/>
              <w:jc w:val="right"/>
              <w:rPr/>
            </w:pPr>
            <w:r>
              <w:rPr/>
              <w:t>1,250,000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552,500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40" w:type="dxa"/>
            </w:tcMar>
            <w:vAlign w:val="center"/>
          </w:tcPr>
          <w:p>
            <w:pPr>
              <w:pStyle w:val="TableContents"/>
              <w:bidi w:val="0"/>
              <w:spacing w:before="0" w:after="283"/>
              <w:jc w:val="left"/>
              <w:rPr/>
            </w:pPr>
            <w:r>
              <w:rPr/>
              <w:t> </w:t>
            </w:r>
          </w:p>
        </w:tc>
        <w:tc>
          <w:tcPr>
            <w:tcW w:w="1002" w:type="dxa"/>
            <w:tcBorders>
              <w:bottom w:val="single" w:sz="6" w:space="0" w:color="7F7F7F"/>
            </w:tcBorders>
            <w:tcMar>
              <w:bottom w:w="40" w:type="dxa"/>
            </w:tcMar>
            <w:vAlign w:val="center"/>
          </w:tcPr>
          <w:p>
            <w:pPr>
              <w:pStyle w:val="TableContents"/>
              <w:bidi w:val="0"/>
              <w:spacing w:before="0" w:after="283"/>
              <w:jc w:val="right"/>
              <w:rPr/>
            </w:pPr>
            <w:r>
              <w:rPr/>
              <w:t>277,800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40" w:type="dxa"/>
            </w:tcMar>
            <w:vAlign w:val="center"/>
          </w:tcPr>
          <w:p>
            <w:pPr>
              <w:pStyle w:val="TableContents"/>
              <w:bidi w:val="0"/>
              <w:spacing w:before="0" w:after="283"/>
              <w:jc w:val="left"/>
              <w:rPr/>
            </w:pPr>
            <w:r>
              <w:rPr/>
              <w:t> </w:t>
            </w:r>
          </w:p>
        </w:tc>
        <w:tc>
          <w:tcPr>
            <w:tcW w:w="1013" w:type="dxa"/>
            <w:tcBorders>
              <w:bottom w:val="single" w:sz="6" w:space="0" w:color="7F7F7F"/>
            </w:tcBorders>
            <w:tcMar>
              <w:bottom w:w="40" w:type="dxa"/>
            </w:tcMar>
            <w:vAlign w:val="center"/>
          </w:tcPr>
          <w:p>
            <w:pPr>
              <w:pStyle w:val="TableContents"/>
              <w:bidi w:val="0"/>
              <w:spacing w:before="0" w:after="283"/>
              <w:jc w:val="right"/>
              <w:rPr/>
            </w:pPr>
            <w:r>
              <w:rPr/>
              <w:t>393,750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253,200</w:t>
            </w:r>
          </w:p>
        </w:tc>
        <w:tc>
          <w:tcPr>
            <w:tcW w:w="77"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Performance Shares (Equity-Based)(1)</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40" w:type="dxa"/>
            </w:tcMar>
            <w:vAlign w:val="center"/>
          </w:tcPr>
          <w:p>
            <w:pPr>
              <w:pStyle w:val="TableContents"/>
              <w:bidi w:val="0"/>
              <w:spacing w:before="0" w:after="283"/>
              <w:jc w:val="left"/>
              <w:rPr/>
            </w:pPr>
            <w:r>
              <w:rPr/>
              <w:t> </w:t>
            </w:r>
          </w:p>
        </w:tc>
        <w:tc>
          <w:tcPr>
            <w:tcW w:w="1193" w:type="dxa"/>
            <w:tcBorders>
              <w:bottom w:val="single" w:sz="6" w:space="0" w:color="7F7F7F"/>
            </w:tcBorders>
            <w:tcMar>
              <w:bottom w:w="40" w:type="dxa"/>
            </w:tcMar>
            <w:vAlign w:val="center"/>
          </w:tcPr>
          <w:p>
            <w:pPr>
              <w:pStyle w:val="TableContents"/>
              <w:bidi w:val="0"/>
              <w:spacing w:before="0" w:after="283"/>
              <w:jc w:val="right"/>
              <w:rPr/>
            </w:pPr>
            <w:r>
              <w:rPr/>
              <w:t>—</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316,857</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40" w:type="dxa"/>
            </w:tcMar>
            <w:vAlign w:val="center"/>
          </w:tcPr>
          <w:p>
            <w:pPr>
              <w:pStyle w:val="TableContents"/>
              <w:bidi w:val="0"/>
              <w:spacing w:before="0" w:after="283"/>
              <w:jc w:val="left"/>
              <w:rPr/>
            </w:pPr>
            <w:r>
              <w:rPr/>
              <w:t> </w:t>
            </w:r>
          </w:p>
        </w:tc>
        <w:tc>
          <w:tcPr>
            <w:tcW w:w="1002" w:type="dxa"/>
            <w:tcBorders>
              <w:bottom w:val="single" w:sz="6" w:space="0" w:color="7F7F7F"/>
            </w:tcBorders>
            <w:tcMar>
              <w:bottom w:w="40" w:type="dxa"/>
            </w:tcMar>
            <w:vAlign w:val="center"/>
          </w:tcPr>
          <w:p>
            <w:pPr>
              <w:pStyle w:val="TableContents"/>
              <w:bidi w:val="0"/>
              <w:spacing w:before="0" w:after="283"/>
              <w:jc w:val="right"/>
              <w:rPr/>
            </w:pPr>
            <w:r>
              <w:rPr/>
              <w:t>217,695</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40" w:type="dxa"/>
            </w:tcMar>
            <w:vAlign w:val="center"/>
          </w:tcPr>
          <w:p>
            <w:pPr>
              <w:pStyle w:val="TableContents"/>
              <w:bidi w:val="0"/>
              <w:spacing w:before="0" w:after="283"/>
              <w:jc w:val="left"/>
              <w:rPr/>
            </w:pPr>
            <w:r>
              <w:rPr/>
              <w:t> </w:t>
            </w:r>
          </w:p>
        </w:tc>
        <w:tc>
          <w:tcPr>
            <w:tcW w:w="1013" w:type="dxa"/>
            <w:tcBorders>
              <w:bottom w:val="single" w:sz="6" w:space="0" w:color="7F7F7F"/>
            </w:tcBorders>
            <w:tcMar>
              <w:bottom w:w="40" w:type="dxa"/>
            </w:tcMar>
            <w:vAlign w:val="center"/>
          </w:tcPr>
          <w:p>
            <w:pPr>
              <w:pStyle w:val="TableContents"/>
              <w:bidi w:val="0"/>
              <w:spacing w:before="0" w:after="283"/>
              <w:jc w:val="right"/>
              <w:rPr/>
            </w:pPr>
            <w:r>
              <w:rPr/>
              <w:t>403,757</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207,561</w:t>
            </w:r>
          </w:p>
        </w:tc>
        <w:tc>
          <w:tcPr>
            <w:tcW w:w="77"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Restricted Shares(2)</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40" w:type="dxa"/>
            </w:tcMar>
            <w:vAlign w:val="center"/>
          </w:tcPr>
          <w:p>
            <w:pPr>
              <w:pStyle w:val="TableContents"/>
              <w:bidi w:val="0"/>
              <w:spacing w:before="0" w:after="283"/>
              <w:jc w:val="left"/>
              <w:rPr/>
            </w:pPr>
            <w:r>
              <w:rPr/>
              <w:t> </w:t>
            </w:r>
          </w:p>
        </w:tc>
        <w:tc>
          <w:tcPr>
            <w:tcW w:w="1193" w:type="dxa"/>
            <w:tcBorders>
              <w:bottom w:val="single" w:sz="6" w:space="0" w:color="7F7F7F"/>
            </w:tcBorders>
            <w:tcMar>
              <w:bottom w:w="40" w:type="dxa"/>
            </w:tcMar>
            <w:vAlign w:val="center"/>
          </w:tcPr>
          <w:p>
            <w:pPr>
              <w:pStyle w:val="TableContents"/>
              <w:bidi w:val="0"/>
              <w:spacing w:before="0" w:after="283"/>
              <w:jc w:val="right"/>
              <w:rPr/>
            </w:pPr>
            <w:r>
              <w:rPr/>
              <w:t>2,499,276</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991,355</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40" w:type="dxa"/>
            </w:tcMar>
            <w:vAlign w:val="center"/>
          </w:tcPr>
          <w:p>
            <w:pPr>
              <w:pStyle w:val="TableContents"/>
              <w:bidi w:val="0"/>
              <w:spacing w:before="0" w:after="283"/>
              <w:jc w:val="left"/>
              <w:rPr/>
            </w:pPr>
            <w:r>
              <w:rPr/>
              <w:t> </w:t>
            </w:r>
          </w:p>
        </w:tc>
        <w:tc>
          <w:tcPr>
            <w:tcW w:w="1002" w:type="dxa"/>
            <w:tcBorders>
              <w:bottom w:val="single" w:sz="6" w:space="0" w:color="7F7F7F"/>
            </w:tcBorders>
            <w:tcMar>
              <w:bottom w:w="40" w:type="dxa"/>
            </w:tcMar>
            <w:vAlign w:val="center"/>
          </w:tcPr>
          <w:p>
            <w:pPr>
              <w:pStyle w:val="TableContents"/>
              <w:bidi w:val="0"/>
              <w:spacing w:before="0" w:after="283"/>
              <w:jc w:val="right"/>
              <w:rPr/>
            </w:pPr>
            <w:r>
              <w:rPr/>
              <w:t>533,725</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40" w:type="dxa"/>
            </w:tcMar>
            <w:vAlign w:val="center"/>
          </w:tcPr>
          <w:p>
            <w:pPr>
              <w:pStyle w:val="TableContents"/>
              <w:bidi w:val="0"/>
              <w:spacing w:before="0" w:after="283"/>
              <w:jc w:val="left"/>
              <w:rPr/>
            </w:pPr>
            <w:r>
              <w:rPr/>
              <w:t> </w:t>
            </w:r>
          </w:p>
        </w:tc>
        <w:tc>
          <w:tcPr>
            <w:tcW w:w="1013" w:type="dxa"/>
            <w:tcBorders>
              <w:bottom w:val="single" w:sz="6" w:space="0" w:color="7F7F7F"/>
            </w:tcBorders>
            <w:tcMar>
              <w:bottom w:w="40" w:type="dxa"/>
            </w:tcMar>
            <w:vAlign w:val="center"/>
          </w:tcPr>
          <w:p>
            <w:pPr>
              <w:pStyle w:val="TableContents"/>
              <w:bidi w:val="0"/>
              <w:spacing w:before="0" w:after="283"/>
              <w:jc w:val="right"/>
              <w:rPr/>
            </w:pPr>
            <w:r>
              <w:rPr/>
              <w:t>271,972</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221,173</w:t>
            </w:r>
          </w:p>
        </w:tc>
        <w:tc>
          <w:tcPr>
            <w:tcW w:w="77"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Benefits Continuation(5)</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40" w:type="dxa"/>
            </w:tcMar>
            <w:vAlign w:val="center"/>
          </w:tcPr>
          <w:p>
            <w:pPr>
              <w:pStyle w:val="TableContents"/>
              <w:bidi w:val="0"/>
              <w:spacing w:before="0" w:after="283"/>
              <w:jc w:val="left"/>
              <w:rPr/>
            </w:pPr>
            <w:r>
              <w:rPr/>
              <w:t> </w:t>
            </w:r>
          </w:p>
        </w:tc>
        <w:tc>
          <w:tcPr>
            <w:tcW w:w="1193" w:type="dxa"/>
            <w:tcBorders>
              <w:bottom w:val="single" w:sz="6" w:space="0" w:color="7F7F7F"/>
            </w:tcBorders>
            <w:tcMar>
              <w:bottom w:w="40" w:type="dxa"/>
            </w:tcMar>
            <w:vAlign w:val="center"/>
          </w:tcPr>
          <w:p>
            <w:pPr>
              <w:pStyle w:val="TableContents"/>
              <w:bidi w:val="0"/>
              <w:spacing w:before="0" w:after="283"/>
              <w:jc w:val="right"/>
              <w:rPr/>
            </w:pPr>
            <w:r>
              <w:rPr/>
              <w:t>—</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12,750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40" w:type="dxa"/>
            </w:tcMar>
            <w:vAlign w:val="center"/>
          </w:tcPr>
          <w:p>
            <w:pPr>
              <w:pStyle w:val="TableContents"/>
              <w:bidi w:val="0"/>
              <w:spacing w:before="0" w:after="283"/>
              <w:jc w:val="left"/>
              <w:rPr/>
            </w:pPr>
            <w:r>
              <w:rPr/>
              <w:t> </w:t>
            </w:r>
          </w:p>
        </w:tc>
        <w:tc>
          <w:tcPr>
            <w:tcW w:w="1002" w:type="dxa"/>
            <w:tcBorders>
              <w:bottom w:val="single" w:sz="6" w:space="0" w:color="7F7F7F"/>
            </w:tcBorders>
            <w:tcMar>
              <w:bottom w:w="40" w:type="dxa"/>
            </w:tcMar>
            <w:vAlign w:val="center"/>
          </w:tcPr>
          <w:p>
            <w:pPr>
              <w:pStyle w:val="TableContents"/>
              <w:bidi w:val="0"/>
              <w:spacing w:before="0" w:after="283"/>
              <w:jc w:val="right"/>
              <w:rPr/>
            </w:pPr>
            <w:r>
              <w:rPr/>
              <w:t>4,078</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40" w:type="dxa"/>
            </w:tcMar>
            <w:vAlign w:val="center"/>
          </w:tcPr>
          <w:p>
            <w:pPr>
              <w:pStyle w:val="TableContents"/>
              <w:bidi w:val="0"/>
              <w:spacing w:before="0" w:after="283"/>
              <w:jc w:val="left"/>
              <w:rPr/>
            </w:pPr>
            <w:r>
              <w:rPr/>
              <w:t> </w:t>
            </w:r>
          </w:p>
        </w:tc>
        <w:tc>
          <w:tcPr>
            <w:tcW w:w="1013" w:type="dxa"/>
            <w:tcBorders>
              <w:bottom w:val="single" w:sz="6" w:space="0" w:color="7F7F7F"/>
            </w:tcBorders>
            <w:tcMar>
              <w:bottom w:w="40" w:type="dxa"/>
            </w:tcMar>
            <w:vAlign w:val="center"/>
          </w:tcPr>
          <w:p>
            <w:pPr>
              <w:pStyle w:val="TableContents"/>
              <w:bidi w:val="0"/>
              <w:spacing w:before="0" w:after="283"/>
              <w:jc w:val="right"/>
              <w:rPr/>
            </w:pPr>
            <w:r>
              <w:rPr/>
              <w:t>17,117</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10,209</w:t>
            </w:r>
          </w:p>
        </w:tc>
        <w:tc>
          <w:tcPr>
            <w:tcW w:w="77"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sz w:val="18"/>
              </w:rPr>
            </w:pPr>
            <w:r>
              <w:rPr>
                <w:rFonts w:ascii="arial" w:hAnsi="arial"/>
                <w:sz w:val="18"/>
              </w:rPr>
              <w:t>Outplacement Services(6)</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40" w:type="dxa"/>
            </w:tcMar>
            <w:vAlign w:val="center"/>
          </w:tcPr>
          <w:p>
            <w:pPr>
              <w:pStyle w:val="TableContents"/>
              <w:bidi w:val="0"/>
              <w:spacing w:before="0" w:after="283"/>
              <w:jc w:val="left"/>
              <w:rPr/>
            </w:pPr>
            <w:r>
              <w:rPr/>
              <w:t> </w:t>
            </w:r>
          </w:p>
        </w:tc>
        <w:tc>
          <w:tcPr>
            <w:tcW w:w="1193" w:type="dxa"/>
            <w:tcBorders>
              <w:bottom w:val="single" w:sz="6" w:space="0" w:color="7F7F7F"/>
            </w:tcBorders>
            <w:tcMar>
              <w:bottom w:w="40" w:type="dxa"/>
            </w:tcMar>
            <w:vAlign w:val="center"/>
          </w:tcPr>
          <w:p>
            <w:pPr>
              <w:pStyle w:val="TableContents"/>
              <w:bidi w:val="0"/>
              <w:spacing w:before="0" w:after="283"/>
              <w:jc w:val="right"/>
              <w:rPr/>
            </w:pPr>
            <w:r>
              <w:rPr/>
              <w:t>10,000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10,000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40" w:type="dxa"/>
            </w:tcMar>
            <w:vAlign w:val="center"/>
          </w:tcPr>
          <w:p>
            <w:pPr>
              <w:pStyle w:val="TableContents"/>
              <w:bidi w:val="0"/>
              <w:spacing w:before="0" w:after="283"/>
              <w:jc w:val="left"/>
              <w:rPr/>
            </w:pPr>
            <w:r>
              <w:rPr/>
              <w:t> </w:t>
            </w:r>
          </w:p>
        </w:tc>
        <w:tc>
          <w:tcPr>
            <w:tcW w:w="1002" w:type="dxa"/>
            <w:tcBorders>
              <w:bottom w:val="single" w:sz="6" w:space="0" w:color="7F7F7F"/>
            </w:tcBorders>
            <w:tcMar>
              <w:bottom w:w="40" w:type="dxa"/>
            </w:tcMar>
            <w:vAlign w:val="center"/>
          </w:tcPr>
          <w:p>
            <w:pPr>
              <w:pStyle w:val="TableContents"/>
              <w:bidi w:val="0"/>
              <w:spacing w:before="0" w:after="283"/>
              <w:jc w:val="right"/>
              <w:rPr/>
            </w:pPr>
            <w:r>
              <w:rPr/>
              <w:t>10,000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40" w:type="dxa"/>
            </w:tcMar>
            <w:vAlign w:val="center"/>
          </w:tcPr>
          <w:p>
            <w:pPr>
              <w:pStyle w:val="TableContents"/>
              <w:bidi w:val="0"/>
              <w:spacing w:before="0" w:after="283"/>
              <w:jc w:val="left"/>
              <w:rPr/>
            </w:pPr>
            <w:r>
              <w:rPr/>
              <w:t> </w:t>
            </w:r>
          </w:p>
        </w:tc>
        <w:tc>
          <w:tcPr>
            <w:tcW w:w="1013" w:type="dxa"/>
            <w:tcBorders>
              <w:bottom w:val="single" w:sz="6" w:space="0" w:color="7F7F7F"/>
            </w:tcBorders>
            <w:tcMar>
              <w:bottom w:w="40" w:type="dxa"/>
            </w:tcMar>
            <w:vAlign w:val="center"/>
          </w:tcPr>
          <w:p>
            <w:pPr>
              <w:pStyle w:val="TableContents"/>
              <w:bidi w:val="0"/>
              <w:spacing w:before="0" w:after="283"/>
              <w:jc w:val="right"/>
              <w:rPr/>
            </w:pPr>
            <w:r>
              <w:rPr/>
              <w:t>10,000</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pPr>
            <w:r>
              <w:rPr/>
              <w:t>10,000</w:t>
            </w:r>
          </w:p>
        </w:tc>
        <w:tc>
          <w:tcPr>
            <w:tcW w:w="77"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bottom w:val="single" w:sz="6" w:space="0" w:color="7F7F7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Total</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72" w:type="dxa"/>
            <w:tcBorders>
              <w:bottom w:val="single" w:sz="6" w:space="0" w:color="7F7F7F"/>
            </w:tcBorders>
            <w:tcMar>
              <w:bottom w:w="40" w:type="dxa"/>
            </w:tcMar>
            <w:vAlign w:val="center"/>
          </w:tcPr>
          <w:p>
            <w:pPr>
              <w:pStyle w:val="TableContents"/>
              <w:bidi w:val="0"/>
              <w:spacing w:before="0" w:after="283"/>
              <w:jc w:val="left"/>
              <w:rPr/>
            </w:pPr>
            <w:r>
              <w:rPr/>
              <w:t> </w:t>
            </w:r>
          </w:p>
        </w:tc>
        <w:tc>
          <w:tcPr>
            <w:tcW w:w="1193" w:type="dxa"/>
            <w:tcBorders>
              <w:bottom w:val="single" w:sz="6" w:space="0" w:color="7F7F7F"/>
            </w:tcBorders>
            <w:tcMar>
              <w:bottom w:w="40" w:type="dxa"/>
            </w:tcMar>
            <w:vAlign w:val="center"/>
          </w:tcPr>
          <w:p>
            <w:pPr>
              <w:pStyle w:val="TableContents"/>
              <w:bidi w:val="0"/>
              <w:spacing w:before="0" w:after="283"/>
              <w:jc w:val="right"/>
              <w:rPr>
                <w:b/>
              </w:rPr>
            </w:pPr>
            <w:r>
              <w:rPr>
                <w:b/>
              </w:rPr>
              <w:t>8,259,276</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b/>
              </w:rPr>
            </w:pPr>
            <w:r>
              <w:rPr>
                <w:b/>
              </w:rPr>
              <w:t>3,687,211</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1" w:type="dxa"/>
            <w:tcBorders>
              <w:bottom w:val="single" w:sz="6" w:space="0" w:color="7F7F7F"/>
            </w:tcBorders>
            <w:tcMar>
              <w:bottom w:w="40" w:type="dxa"/>
            </w:tcMar>
            <w:vAlign w:val="center"/>
          </w:tcPr>
          <w:p>
            <w:pPr>
              <w:pStyle w:val="TableContents"/>
              <w:bidi w:val="0"/>
              <w:spacing w:before="0" w:after="283"/>
              <w:jc w:val="left"/>
              <w:rPr/>
            </w:pPr>
            <w:r>
              <w:rPr/>
              <w:t> </w:t>
            </w:r>
          </w:p>
        </w:tc>
        <w:tc>
          <w:tcPr>
            <w:tcW w:w="1002" w:type="dxa"/>
            <w:tcBorders>
              <w:bottom w:val="single" w:sz="6" w:space="0" w:color="7F7F7F"/>
            </w:tcBorders>
            <w:tcMar>
              <w:bottom w:w="40" w:type="dxa"/>
            </w:tcMar>
            <w:vAlign w:val="center"/>
          </w:tcPr>
          <w:p>
            <w:pPr>
              <w:pStyle w:val="TableContents"/>
              <w:bidi w:val="0"/>
              <w:spacing w:before="0" w:after="283"/>
              <w:jc w:val="right"/>
              <w:rPr>
                <w:b/>
              </w:rPr>
            </w:pPr>
            <w:r>
              <w:rPr>
                <w:b/>
              </w:rPr>
              <w:t>1,784,099</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2" w:type="dxa"/>
            <w:tcBorders>
              <w:bottom w:val="single" w:sz="6" w:space="0" w:color="7F7F7F"/>
            </w:tcBorders>
            <w:tcMar>
              <w:bottom w:w="40" w:type="dxa"/>
            </w:tcMar>
            <w:vAlign w:val="center"/>
          </w:tcPr>
          <w:p>
            <w:pPr>
              <w:pStyle w:val="TableContents"/>
              <w:bidi w:val="0"/>
              <w:spacing w:before="0" w:after="283"/>
              <w:jc w:val="left"/>
              <w:rPr/>
            </w:pPr>
            <w:r>
              <w:rPr/>
              <w:t> </w:t>
            </w:r>
          </w:p>
        </w:tc>
        <w:tc>
          <w:tcPr>
            <w:tcW w:w="1013" w:type="dxa"/>
            <w:tcBorders>
              <w:bottom w:val="single" w:sz="6" w:space="0" w:color="7F7F7F"/>
            </w:tcBorders>
            <w:tcMar>
              <w:bottom w:w="40" w:type="dxa"/>
            </w:tcMar>
            <w:vAlign w:val="center"/>
          </w:tcPr>
          <w:p>
            <w:pPr>
              <w:pStyle w:val="TableContents"/>
              <w:bidi w:val="0"/>
              <w:spacing w:before="0" w:after="283"/>
              <w:jc w:val="right"/>
              <w:rPr>
                <w:b/>
              </w:rPr>
            </w:pPr>
            <w:r>
              <w:rPr>
                <w:b/>
              </w:rPr>
              <w:t>2,474,721</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right"/>
              <w:rPr>
                <w:b/>
              </w:rPr>
            </w:pPr>
            <w:r>
              <w:rPr>
                <w:b/>
              </w:rPr>
              <w:t>1,377,343</w:t>
            </w:r>
          </w:p>
        </w:tc>
        <w:tc>
          <w:tcPr>
            <w:tcW w:w="77" w:type="dxa"/>
            <w:tcBorders>
              <w:bottom w:val="single" w:sz="6" w:space="0" w:color="7F7F7F"/>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0"/>
              <w:jc w:val="left"/>
              <w:rPr>
                <w:rFonts w:ascii="arial" w:hAnsi="arial"/>
                <w:sz w:val="14"/>
              </w:rPr>
            </w:pPr>
            <w:r>
              <w:rPr>
                <w:rFonts w:ascii="arial" w:hAnsi="arial"/>
                <w:sz w:val="14"/>
              </w:rPr>
              <w:t xml:space="preserve">In the event of a named executive officer’s termination of employment due to disability, death, normal retirement (defined as age 62 with five years of service or any combination of age + service = 70 with a minimum age of 60), or termination by the Company without Cause, at the end of the performance period and following approval by the Compensation and Talent Management Committee, the named executive officer (or the named executive officer’s beneficiary) would receive a pro rata portion of the equity-based Performance Award that would have otherwise vested if employment had continued until the end of the performance period, based on the portion of the performance period that the officer was employed and based on the performance level achieved. Amounts shown for termination due to death or disability, reflect actual shares earned for the 2023 Year 1, Year 2 and Year 3, 2024 Year 1 and Year 2, and 2025 Year 1 PSU grants. For termination by the Company without Cause, the named executive officer must have been employed for at least one year following the date of each grant in order to be eligible to receive prorated performance shares. Upon a Change in Control, if awards are not assumed, converted, or replaced by the resulting entity, all vesting restrictions on outstanding Performance Awards shall lapse, with any applicable performance goals deemed to be satisfied as if “target” performance had been achieved and all such Awards become fully vested and exercisable, effective as of the date of such Change in Control. The value under the pro rata settlement or Change in Control settlement (assuming the December 26, 2025 stock value of $8.61) is shown in the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0"/>
              <w:jc w:val="left"/>
              <w:rPr>
                <w:rFonts w:ascii="arial" w:hAnsi="arial"/>
                <w:sz w:val="14"/>
              </w:rPr>
            </w:pPr>
            <w:r>
              <w:rPr>
                <w:rFonts w:ascii="arial" w:hAnsi="arial"/>
                <w:sz w:val="14"/>
              </w:rPr>
              <w:t xml:space="preserve">In the event of a named executive officer’s termination of employment due to disability or death, the named executive officer (or the named executive officer’s beneficiary) would receive a pro rata settlement of unvested restricted shares outstanding at the time of termination. For each grant of restricted stock awards/units, the number of shares settled would equal the total number of restricted shares originally granted times the ratio of days employed since </w:t>
            </w:r>
          </w:p>
        </w:tc>
      </w:tr>
    </w:tbl>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70 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218"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91" descr=""/>
                          <pic:cNvPicPr>
                            <a:picLocks noChangeAspect="1" noChangeArrowheads="1"/>
                          </pic:cNvPicPr>
                        </pic:nvPicPr>
                        <pic:blipFill>
                          <a:blip r:embed="rId203"/>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2025 Executive Compensation Tables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the grant date divided by total number of days in the vesting period less the number of restricted shares already settled on the anniversary dates of the grant. Upon a Change in Control, if awards are not assumed, converted, or replaced by the resulting entity, all vesting restrictions on outstanding Restricted Share awards/units shall lapse, and all such Awards become fully vested and exercisable, effective as of the date of such Change in Control. The value under the prorated settlement or Change in Control settlement (assuming the December 26, 2025 stock value of $8.61) is shown in the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(3)</w:t>
            </w:r>
          </w:p>
        </w:tc>
        <w:tc>
          <w:tcPr>
            <w:tcW w:w="9960" w:type="dxa"/>
            <w:tcBorders/>
            <w:vAlign w:val="center"/>
          </w:tcPr>
          <w:p>
            <w:pPr>
              <w:pStyle w:val="TableContents"/>
              <w:bidi w:val="0"/>
              <w:spacing w:before="0" w:after="0"/>
              <w:jc w:val="left"/>
              <w:rPr>
                <w:rFonts w:ascii="arial" w:hAnsi="arial"/>
                <w:sz w:val="14"/>
              </w:rPr>
            </w:pPr>
            <w:r>
              <w:rPr>
                <w:rFonts w:ascii="arial" w:hAnsi="arial"/>
                <w:sz w:val="14"/>
              </w:rPr>
              <w:t xml:space="preserve">Per the Severance Plan, for involuntary termination by the Company without cause, the value of cash severance includes base salary continuation for Mr. Layden for 24 months, Mr. Anderson and Ms. Williams for 18 months, and Mses. Browning and Soares for 12 months. For payments under Change in Control, with qualifying termination, Mr. Layden would receive a lump sum payment equal to 2 times the sum of his annual base salary and target annual incentive; Mr. Anderson and Ms. Williams would receive a lump sum payment equal to 1.5 times the sum of base salary and target annual incentive; and Mses. Browning and Soares would receive a lump sum payment equal to one time the sum of base salary and target annual incentive.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(4)</w:t>
            </w:r>
          </w:p>
        </w:tc>
        <w:tc>
          <w:tcPr>
            <w:tcW w:w="9964" w:type="dxa"/>
            <w:tcBorders/>
            <w:vAlign w:val="center"/>
          </w:tcPr>
          <w:p>
            <w:pPr>
              <w:pStyle w:val="TableContents"/>
              <w:bidi w:val="0"/>
              <w:spacing w:before="0" w:after="0"/>
              <w:jc w:val="left"/>
              <w:rPr>
                <w:rFonts w:ascii="arial" w:hAnsi="arial"/>
                <w:sz w:val="14"/>
              </w:rPr>
            </w:pPr>
            <w:r>
              <w:rPr>
                <w:rFonts w:ascii="arial" w:hAnsi="arial"/>
                <w:sz w:val="14"/>
              </w:rPr>
              <w:t xml:space="preserve">In the event of an involuntary termination by the Company without cause and not in connection with a change in control, Messrs. Layden and Anderson, and Mses. Browning, Williams and Soares were eligible to receive a pro rata portion of their annual Incentive Compensation for such fiscal year, based on the actual performance results for such year. In the event of an involuntary termination by the Company without cause or termination by the named executive officer for good reason, either occurring in connection with a change in control, Messrs. Layden and Anderson, and Mses. Browning, Williams and Soares were eligible to receive a pro rata portion of their annual Incentive Compensation for such fiscal year, paid at the target level. The value of pro rata target incentive with respect to year of termination represents the calculated target incentive for the named executive officers if they had terminated on December 28,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(5)</w:t>
            </w:r>
          </w:p>
        </w:tc>
        <w:tc>
          <w:tcPr>
            <w:tcW w:w="9955" w:type="dxa"/>
            <w:tcBorders/>
            <w:vAlign w:val="center"/>
          </w:tcPr>
          <w:p>
            <w:pPr>
              <w:pStyle w:val="TableContents"/>
              <w:bidi w:val="0"/>
              <w:spacing w:before="0" w:after="0"/>
              <w:jc w:val="left"/>
              <w:rPr>
                <w:rFonts w:ascii="arial" w:hAnsi="arial"/>
                <w:sz w:val="14"/>
              </w:rPr>
            </w:pPr>
            <w:r>
              <w:rPr>
                <w:rFonts w:ascii="arial" w:hAnsi="arial"/>
                <w:sz w:val="14"/>
              </w:rPr>
              <w:t xml:space="preserve">The value of the health care benefit provided is calculated as the Company-paid portion of the medical plan cost, times the number of months eligible according to the applicable severance plan. Coverage can include medical, dental, and vision (assumes no change in Health Plan or coverage type) and assumes a 10% health care coverage cost increase in second year (as applicable). Named executive officers participating in the Senior Executive Severance Plan continue to pay the employee rate for COBRA coverage during the severance period. </w:t>
            </w:r>
          </w:p>
        </w:tc>
      </w:tr>
    </w:tbl>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305"/>
        <w:gridCol w:w="8450"/>
      </w:tblGrid>
      <w:tr>
        <w:trPr/>
        <w:tc>
          <w:tcPr>
            <w:tcW w:w="305" w:type="dxa"/>
            <w:tcBorders/>
            <w:vAlign w:val="center"/>
          </w:tcPr>
          <w:p>
            <w:pPr>
              <w:pStyle w:val="TableContents"/>
              <w:bidi w:val="0"/>
              <w:spacing w:before="0" w:after="283"/>
              <w:jc w:val="left"/>
              <w:rPr/>
            </w:pPr>
            <w:r>
              <w:rPr/>
              <w:t>(6)</w:t>
            </w:r>
          </w:p>
        </w:tc>
        <w:tc>
          <w:tcPr>
            <w:tcW w:w="8450" w:type="dxa"/>
            <w:tcBorders/>
            <w:vAlign w:val="center"/>
          </w:tcPr>
          <w:p>
            <w:pPr>
              <w:pStyle w:val="TableContents"/>
              <w:bidi w:val="0"/>
              <w:spacing w:before="0" w:after="0"/>
              <w:jc w:val="left"/>
              <w:rPr>
                <w:rFonts w:ascii="arial" w:hAnsi="arial"/>
                <w:sz w:val="14"/>
              </w:rPr>
            </w:pPr>
            <w:r>
              <w:rPr>
                <w:rFonts w:ascii="arial" w:hAnsi="arial"/>
                <w:sz w:val="14"/>
              </w:rPr>
              <w:t xml:space="preserve">Represents the maximum allowed benefit for reimbursement of outplacement services for participants in the applicable Severance Plan. </w:t>
            </w:r>
          </w:p>
        </w:tc>
      </w:tr>
    </w:tbl>
    <w:p>
      <w:pPr>
        <w:pStyle w:val="TextBody"/>
        <w:bidi w:val="0"/>
        <w:spacing w:before="240" w:after="0"/>
        <w:jc w:val="left"/>
        <w:rPr>
          <w:rFonts w:ascii="arial" w:hAnsi="arial"/>
          <w:sz w:val="18"/>
        </w:rPr>
      </w:pPr>
      <w:r>
        <w:rPr>
          <w:rFonts w:ascii="arial" w:hAnsi="arial"/>
          <w:sz w:val="18"/>
        </w:rPr>
        <w:t xml:space="preserve">The named executive officers would also be entitled to the vested benefits included in the Outstanding Equity Awards at Fiscal Year-End table and the Nonqualified Deferred Compensation table. In addition, the amounts shown in the table above do not include payments and benefits to the extent they are provided on a non-discriminatory basis to salaried employees generally upon termination of employment or certain types of termination of employment. These include accrued salary and vacation pay, and life insurance benefits. </w:t>
      </w:r>
    </w:p>
    <w:p>
      <w:pPr>
        <w:pStyle w:val="TextBody"/>
        <w:bidi w:val="0"/>
        <w:spacing w:before="360" w:after="0"/>
        <w:jc w:val="left"/>
        <w:rPr>
          <w:rFonts w:ascii="arial" w:hAnsi="arial"/>
          <w:b/>
          <w:sz w:val="24"/>
        </w:rPr>
      </w:pPr>
      <w:r>
        <w:rPr>
          <w:rFonts w:ascii="arial" w:hAnsi="arial"/>
          <w:b/>
          <w:sz w:val="24"/>
        </w:rPr>
        <w:t xml:space="preserve">Mr. Quigley </w:t>
      </w:r>
    </w:p>
    <w:p>
      <w:pPr>
        <w:pStyle w:val="TextBody"/>
        <w:bidi w:val="0"/>
        <w:spacing w:before="120" w:after="0"/>
        <w:jc w:val="left"/>
        <w:rPr>
          <w:rFonts w:ascii="arial" w:hAnsi="arial"/>
          <w:sz w:val="18"/>
        </w:rPr>
      </w:pPr>
      <w:r>
        <w:rPr>
          <w:rFonts w:ascii="arial" w:hAnsi="arial"/>
          <w:sz w:val="18"/>
        </w:rPr>
        <w:t xml:space="preserve">On November 12, 2025, Kelly Services Inc., and Mr. Quigley entered into a Separation and Transition Advisory Services Agreement (the “Agreement”) providing for Mr. Quigley’s retirement as an officer of the Company, effective as of the successful transition of his successor as President and Chief Executive Officer. Under the terms of the Agreement, following the transition to his successor, Mr. Quigley will resign his corporate position on April 30, 2026 (the “Separation Date”). Mr. Quigley resigned his corporate positions effective November 1, 2025. In this capacity, Mr. Quigley will be entitled to a salary equal to $25,000 per month. He will also be eligible for his 2025 Short Term Incentive, if earned. In addition, his performance and time-based stock grants awarded before April 30, 2026, if earned, will vest according to the Company Executive Incentive Plan, except that shares based on the 2026 performance will be prorated and the remaining shares will be cancelled upon the Separation Date. </w:t>
      </w:r>
    </w:p>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219"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92" descr=""/>
                          <pic:cNvPicPr>
                            <a:picLocks noChangeAspect="1" noChangeArrowheads="1"/>
                          </pic:cNvPicPr>
                        </pic:nvPicPr>
                        <pic:blipFill>
                          <a:blip r:embed="rId204"/>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sz w:val="36"/>
        </w:rPr>
      </w:pPr>
      <w:bookmarkStart w:id="99" w:name="toc37355_79"/>
      <w:bookmarkEnd w:id="99"/>
      <w:r>
        <w:rPr>
          <w:rFonts w:ascii="arial" w:hAnsi="arial"/>
          <w:b/>
          <w:sz w:val="36"/>
        </w:rPr>
        <w:t xml:space="preserve">CEO Pay Ratio </w:t>
      </w:r>
    </w:p>
    <w:p>
      <w:pPr>
        <w:pStyle w:val="TextBody"/>
        <w:bidi w:val="0"/>
        <w:spacing w:before="360" w:after="0"/>
        <w:jc w:val="left"/>
        <w:rPr>
          <w:rFonts w:ascii="arial" w:hAnsi="arial"/>
          <w:sz w:val="18"/>
        </w:rPr>
      </w:pPr>
      <w:r>
        <w:rPr>
          <w:rFonts w:ascii="arial" w:hAnsi="arial"/>
          <w:sz w:val="18"/>
        </w:rPr>
        <w:t xml:space="preserve">As required by Section 953(b) of the Dodd-Frank Act, we are providing the following information about the relationship of the annual total compensation of our employees and the annual total compensation of our CEO. The pay ratio included in this information is a reasonable estimate calculated in a manner that is intended to be consistent with Item 402(u) of Regulation S-K. </w:t>
      </w:r>
    </w:p>
    <w:p>
      <w:pPr>
        <w:pStyle w:val="TextBody"/>
        <w:bidi w:val="0"/>
        <w:spacing w:before="80" w:after="0"/>
        <w:jc w:val="left"/>
        <w:rPr>
          <w:rFonts w:ascii="arial" w:hAnsi="arial"/>
          <w:sz w:val="18"/>
        </w:rPr>
      </w:pPr>
      <w:r>
        <w:rPr>
          <w:rFonts w:ascii="arial" w:hAnsi="arial"/>
          <w:sz w:val="18"/>
        </w:rPr>
        <w:t xml:space="preserve">For fiscal 2025, our last completed fiscal year, our methodology and finding details are as follows: </w:t>
      </w:r>
    </w:p>
    <w:p>
      <w:pPr>
        <w:pStyle w:val="TextBody"/>
        <w:bidi w:val="0"/>
        <w:spacing w:before="240" w:after="0"/>
        <w:jc w:val="left"/>
        <w:rPr>
          <w:rFonts w:ascii="arial" w:hAnsi="arial"/>
          <w:sz w:val="18"/>
        </w:rPr>
      </w:pPr>
      <w:r>
        <w:rPr>
          <w:rFonts w:ascii="arial" w:hAnsi="arial"/>
          <w:sz w:val="18"/>
        </w:rPr>
        <w:t xml:space="preserve">Methodology </w:t>
      </w:r>
    </w:p>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185"/>
        <w:gridCol w:w="60"/>
        <w:gridCol w:w="761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arial" w:hAnsi="arial"/>
                <w:sz w:val="18"/>
              </w:rPr>
            </w:pPr>
            <w:r>
              <w:rPr>
                <w:rFonts w:ascii="arial" w:hAnsi="arial"/>
                <w:sz w:val="18"/>
              </w:rPr>
              <w:t xml:space="preserve">We selected December 28, 2025, as the date we would use to identify our median employee;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As of December 28, 2025, our employee population totaled 87,960 and consisted of all active regular and temporary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about 95% are temporary employees who work anywhere from one week to fifty-two weeks in a calendar year, with approximately 8% located outside of the 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employee compensation outside the U.S. was converted to U.S. dollars using the Company’s 2025 budgeted exchange rates. </w:t>
            </w:r>
          </w:p>
        </w:tc>
      </w:tr>
    </w:tbl>
    <w:p>
      <w:pPr>
        <w:pStyle w:val="TextBody"/>
        <w:bidi w:val="0"/>
        <w:spacing w:before="240" w:after="0"/>
        <w:jc w:val="left"/>
        <w:rPr>
          <w:rFonts w:ascii="arial" w:hAnsi="arial"/>
          <w:sz w:val="18"/>
        </w:rPr>
      </w:pPr>
      <w:r>
        <w:rPr>
          <w:rFonts w:ascii="arial" w:hAnsi="arial"/>
          <w:sz w:val="18"/>
        </w:rPr>
        <w:t xml:space="preserve">Findings </w:t>
      </w:r>
    </w:p>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185"/>
        <w:gridCol w:w="60"/>
        <w:gridCol w:w="9365"/>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arial" w:hAnsi="arial"/>
                <w:sz w:val="18"/>
              </w:rPr>
            </w:pPr>
            <w:r>
              <w:rPr>
                <w:rFonts w:ascii="arial" w:hAnsi="arial"/>
                <w:sz w:val="18"/>
              </w:rPr>
              <w:t xml:space="preserve">The median of the annual total compensation of all employees of our company (other than our CEO), was $11,526; </w:t>
            </w:r>
          </w:p>
        </w:tc>
      </w:tr>
    </w:tbl>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185"/>
        <w:gridCol w:w="60"/>
        <w:gridCol w:w="533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left"/>
              <w:rPr>
                <w:rFonts w:ascii="arial" w:hAnsi="arial"/>
                <w:sz w:val="18"/>
              </w:rPr>
            </w:pPr>
            <w:r>
              <w:rPr>
                <w:rFonts w:ascii="arial" w:hAnsi="arial"/>
                <w:sz w:val="18"/>
              </w:rPr>
              <w:t xml:space="preserve">The annualized total compensation of our CEO, was $5,900,003;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Based on this information, the ratio of the annual total compensation for our CEO to the median of the annual total compensation of all employees is 512 to 1;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Our median employee was a temporary employee located in the U.S. and worked approximately seventeen weeks during 2025. </w:t>
            </w:r>
          </w:p>
        </w:tc>
      </w:tr>
    </w:tbl>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72 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220"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93" descr=""/>
                          <pic:cNvPicPr>
                            <a:picLocks noChangeAspect="1" noChangeArrowheads="1"/>
                          </pic:cNvPicPr>
                        </pic:nvPicPr>
                        <pic:blipFill>
                          <a:blip r:embed="rId205"/>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6"/>
        </w:rPr>
      </w:pPr>
      <w:r>
        <w:rPr>
          <w:rFonts w:ascii="arial" w:hAnsi="arial"/>
          <w:b/>
          <w:sz w:val="36"/>
        </w:rPr>
        <w:t xml:space="preserve">Pay vs.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sz w:val="18"/>
        </w:rPr>
      </w:pPr>
      <w:r>
        <w:rPr>
          <w:rFonts w:ascii="arial" w:hAnsi="arial"/>
          <w:sz w:val="18"/>
        </w:rPr>
        <w:t xml:space="preserve">The following table sets forth the compensation for our Chief Executive Officer (“CEO”), Former Chief Executive Officer and the </w:t>
      </w:r>
    </w:p>
    <w:p>
      <w:pPr>
        <w:pStyle w:val="TextBody"/>
        <w:bidi w:val="0"/>
        <w:spacing w:before="240" w:after="0"/>
        <w:jc w:val="left"/>
        <w:rPr>
          <w:rFonts w:ascii="arial" w:hAnsi="arial"/>
          <w:spacing w:val="0"/>
          <w:sz w:val="18"/>
        </w:rPr>
      </w:pPr>
      <w:r>
        <w:rPr>
          <w:rFonts w:ascii="arial" w:hAnsi="arial"/>
          <w:spacing w:val="0"/>
          <w:sz w:val="18"/>
        </w:rPr>
        <w:t>average</w:t>
      </w:r>
    </w:p>
    <w:p>
      <w:pPr>
        <w:pStyle w:val="TextBody"/>
        <w:bidi w:val="0"/>
        <w:spacing w:before="240" w:after="0"/>
        <w:jc w:val="left"/>
        <w:rPr>
          <w:rFonts w:ascii="arial" w:hAnsi="arial"/>
          <w:spacing w:val="0"/>
          <w:sz w:val="18"/>
        </w:rPr>
      </w:pPr>
      <w:r>
        <w:rPr>
          <w:rFonts w:ascii="arial" w:hAnsi="arial"/>
          <w:spacing w:val="0"/>
          <w:sz w:val="18"/>
        </w:rPr>
        <w:t>compensation</w:t>
      </w:r>
    </w:p>
    <w:p>
      <w:pPr>
        <w:pStyle w:val="TextBody"/>
        <w:bidi w:val="0"/>
        <w:spacing w:before="240" w:after="0"/>
        <w:jc w:val="left"/>
        <w:rPr>
          <w:rFonts w:ascii="arial" w:hAnsi="arial"/>
          <w:sz w:val="18"/>
        </w:rPr>
      </w:pPr>
      <w:r>
        <w:rPr>
          <w:rFonts w:ascii="arial" w:hAnsi="arial"/>
          <w:sz w:val="18"/>
        </w:rPr>
        <w:t xml:space="preserve">for our other </w:t>
      </w:r>
    </w:p>
    <w:p>
      <w:pPr>
        <w:pStyle w:val="TextBody"/>
        <w:bidi w:val="0"/>
        <w:spacing w:before="240" w:after="0"/>
        <w:jc w:val="left"/>
        <w:rPr>
          <w:rFonts w:ascii="arial" w:hAnsi="arial"/>
          <w:spacing w:val="0"/>
          <w:sz w:val="18"/>
        </w:rPr>
      </w:pPr>
      <w:r>
        <w:rPr>
          <w:rFonts w:ascii="arial" w:hAnsi="arial"/>
          <w:spacing w:val="0"/>
          <w:sz w:val="18"/>
        </w:rPr>
        <w:t>non-CEO</w:t>
      </w:r>
    </w:p>
    <w:p>
      <w:pPr>
        <w:pStyle w:val="TextBody"/>
        <w:bidi w:val="0"/>
        <w:spacing w:before="240" w:after="0"/>
        <w:jc w:val="left"/>
        <w:rPr>
          <w:rFonts w:ascii="arial" w:hAnsi="arial"/>
          <w:sz w:val="18"/>
        </w:rPr>
      </w:pPr>
      <w:r>
        <w:rPr>
          <w:rFonts w:ascii="arial" w:hAnsi="arial"/>
          <w:sz w:val="18"/>
        </w:rPr>
        <w:t xml:space="preserve">named executive officers (“NEOs”), both as reported in the Summary Compensation Table (“SCT”) and with certain adjustments to reflect the compensation actually paid (“CAP”) to such individuals, as defined under SEC rules, for the years 2025, 2024, 2023, 2022, and 2021. The table also provides information on our cumulative total shareholder return (“TSR”) for both our Class A and Class B Common Stock; the cumulative TSR of our peer group; Net Earnings; and the Company-Selected Measure (“CSM”), Adjusted Earnings Before Interest Taxes Depreciation and Amortization (“EBITDA”), over such years in accordance with SEC rules. </w:t>
      </w:r>
    </w:p>
    <w:p>
      <w:pPr>
        <w:pStyle w:val="TextBody"/>
        <w:bidi w:val="0"/>
        <w:spacing w:before="360" w:after="0"/>
        <w:jc w:val="left"/>
        <w:rPr>
          <w:rFonts w:ascii="arial" w:hAnsi="arial"/>
          <w:b/>
          <w:sz w:val="24"/>
        </w:rPr>
      </w:pPr>
      <w:r>
        <w:rPr>
          <w:rFonts w:ascii="arial" w:hAnsi="arial"/>
          <w:b/>
          <w:sz w:val="24"/>
        </w:rPr>
        <w:t xml:space="preserve">Pay vs. Performance Table </w:t>
      </w:r>
    </w:p>
    <w:p>
      <w:pPr>
        <w:pStyle w:val="TextBody"/>
        <w:bidi w:val="0"/>
        <w:spacing w:before="0" w:after="0"/>
        <w:jc w:val="left"/>
        <w:rPr/>
      </w:pPr>
      <w:r>
        <w:rPr/>
        <w:t> </w:t>
      </w:r>
    </w:p>
    <w:tbl>
      <w:tblPr>
        <w:tblW w:w="12829" w:type="dxa"/>
        <w:jc w:val="left"/>
        <w:tblInd w:w="0" w:type="dxa"/>
        <w:tblLayout w:type="fixed"/>
        <w:tblCellMar>
          <w:top w:w="0" w:type="dxa"/>
          <w:left w:w="0" w:type="dxa"/>
          <w:bottom w:w="0" w:type="dxa"/>
          <w:right w:w="0" w:type="dxa"/>
        </w:tblCellMar>
      </w:tblPr>
      <w:tblGrid>
        <w:gridCol w:w="395"/>
        <w:gridCol w:w="23"/>
        <w:gridCol w:w="23"/>
        <w:gridCol w:w="140"/>
        <w:gridCol w:w="980"/>
        <w:gridCol w:w="23"/>
        <w:gridCol w:w="23"/>
        <w:gridCol w:w="23"/>
        <w:gridCol w:w="140"/>
        <w:gridCol w:w="980"/>
        <w:gridCol w:w="23"/>
        <w:gridCol w:w="23"/>
        <w:gridCol w:w="23"/>
        <w:gridCol w:w="140"/>
        <w:gridCol w:w="980"/>
        <w:gridCol w:w="23"/>
        <w:gridCol w:w="23"/>
        <w:gridCol w:w="23"/>
        <w:gridCol w:w="140"/>
        <w:gridCol w:w="980"/>
        <w:gridCol w:w="23"/>
        <w:gridCol w:w="23"/>
        <w:gridCol w:w="29"/>
        <w:gridCol w:w="178"/>
        <w:gridCol w:w="1252"/>
        <w:gridCol w:w="31"/>
        <w:gridCol w:w="23"/>
        <w:gridCol w:w="29"/>
        <w:gridCol w:w="178"/>
        <w:gridCol w:w="1252"/>
        <w:gridCol w:w="31"/>
        <w:gridCol w:w="23"/>
        <w:gridCol w:w="26"/>
        <w:gridCol w:w="164"/>
        <w:gridCol w:w="656"/>
        <w:gridCol w:w="29"/>
        <w:gridCol w:w="23"/>
        <w:gridCol w:w="23"/>
        <w:gridCol w:w="140"/>
        <w:gridCol w:w="680"/>
        <w:gridCol w:w="23"/>
        <w:gridCol w:w="23"/>
        <w:gridCol w:w="23"/>
        <w:gridCol w:w="140"/>
        <w:gridCol w:w="680"/>
        <w:gridCol w:w="23"/>
        <w:gridCol w:w="23"/>
        <w:gridCol w:w="25"/>
        <w:gridCol w:w="66"/>
        <w:gridCol w:w="752"/>
        <w:gridCol w:w="107"/>
        <w:gridCol w:w="23"/>
        <w:gridCol w:w="28"/>
        <w:gridCol w:w="73"/>
        <w:gridCol w:w="831"/>
        <w:gridCol w:w="48"/>
      </w:tblGrid>
      <w:tr>
        <w:trPr/>
        <w:tc>
          <w:tcPr>
            <w:tcW w:w="3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r>
      <w:tr>
        <w:trPr/>
        <w:tc>
          <w:tcPr>
            <w:tcW w:w="395" w:type="dxa"/>
            <w:vMerge w:val="restart"/>
            <w:tcBorders>
              <w:bottom w:val="single" w:sz="8" w:space="0" w:color="33302B"/>
            </w:tcBorders>
            <w:tcMar>
              <w:bottom w:w="28" w:type="dxa"/>
            </w:tcMar>
            <w:vAlign w:val="center"/>
          </w:tcPr>
          <w:p>
            <w:pPr>
              <w:pStyle w:val="TableContents"/>
              <w:bidi w:val="0"/>
              <w:spacing w:before="0" w:after="0"/>
              <w:jc w:val="left"/>
              <w:rPr>
                <w:rFonts w:ascii="arial" w:hAnsi="arial"/>
                <w:b/>
                <w:color w:val="00AE4F"/>
                <w:spacing w:val="0"/>
                <w:sz w:val="15"/>
              </w:rPr>
            </w:pPr>
            <w:r>
              <w:rPr>
                <w:rFonts w:ascii="arial" w:hAnsi="arial"/>
                <w:b/>
                <w:color w:val="00AE4F"/>
                <w:spacing w:val="0"/>
                <w:sz w:val="15"/>
              </w:rPr>
              <w:t>Year</w:t>
            </w:r>
          </w:p>
          <w:p>
            <w:pPr>
              <w:pStyle w:val="TableContents"/>
              <w:bidi w:val="0"/>
              <w:spacing w:before="0" w:after="20"/>
              <w:jc w:val="left"/>
              <w:rPr>
                <w:color w:val="00AE4F"/>
                <w:spacing w:val="0"/>
              </w:rPr>
            </w:pPr>
            <w:r>
              <w:rPr>
                <w:color w:val="00AE4F"/>
                <w:spacing w:val="0"/>
              </w:rPr>
              <w:t> </w:t>
            </w:r>
            <w:r>
              <w:rPr>
                <w:rFonts w:ascii="arial" w:hAnsi="arial"/>
                <w:b/>
                <w:color w:val="00AE4F"/>
                <w:spacing w:val="0"/>
                <w:sz w:val="15"/>
              </w:rPr>
              <w:t>(a)</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55" w:type="dxa"/>
            <w:gridSpan w:val="9"/>
            <w:tcBorders>
              <w:bottom w:val="single" w:sz="8" w:space="0" w:color="000000"/>
            </w:tcBorders>
            <w:tcMar>
              <w:bottom w:w="28" w:type="dxa"/>
            </w:tcMar>
            <w:vAlign w:val="center"/>
          </w:tcPr>
          <w:p>
            <w:pPr>
              <w:pStyle w:val="TableContents"/>
              <w:bidi w:val="0"/>
              <w:spacing w:before="0" w:after="0"/>
              <w:jc w:val="center"/>
              <w:rPr>
                <w:b/>
                <w:color w:val="00AE4F"/>
                <w:spacing w:val="0"/>
              </w:rPr>
            </w:pPr>
            <w:r>
              <w:rPr>
                <w:b/>
                <w:color w:val="00AE4F"/>
                <w:spacing w:val="0"/>
              </w:rPr>
              <w:t>Summary Compensation</w:t>
              <w:br/>
              <w:t>Table Total to CEO</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55" w:type="dxa"/>
            <w:gridSpan w:val="9"/>
            <w:tcBorders>
              <w:bottom w:val="single" w:sz="8" w:space="0" w:color="000000"/>
            </w:tcBorders>
            <w:tcMar>
              <w:bottom w:w="28" w:type="dxa"/>
            </w:tcMar>
            <w:vAlign w:val="center"/>
          </w:tcPr>
          <w:p>
            <w:pPr>
              <w:pStyle w:val="TableContents"/>
              <w:bidi w:val="0"/>
              <w:spacing w:before="0" w:after="0"/>
              <w:jc w:val="center"/>
              <w:rPr>
                <w:b/>
                <w:color w:val="00AE4F"/>
                <w:spacing w:val="0"/>
              </w:rPr>
            </w:pPr>
            <w:r>
              <w:rPr>
                <w:b/>
                <w:color w:val="00AE4F"/>
                <w:spacing w:val="0"/>
              </w:rPr>
              <w:t>Compensation Actually</w:t>
              <w:br/>
              <w:t>Paid CEO</w:t>
            </w:r>
          </w:p>
          <w:p>
            <w:pPr>
              <w:pStyle w:val="TableContents"/>
              <w:bidi w:val="0"/>
              <w:spacing w:before="0" w:after="0"/>
              <w:jc w:val="center"/>
              <w:rPr>
                <w:b/>
                <w:color w:val="00AE4F"/>
                <w:spacing w:val="0"/>
                <w:sz w:val="9"/>
              </w:rPr>
            </w:pPr>
            <w:r>
              <w:rPr>
                <w:b/>
                <w:color w:val="00AE4F"/>
                <w:spacing w:val="0"/>
                <w:sz w:val="9"/>
              </w:rPr>
              <w:t>(1)(2)</w:t>
            </w:r>
          </w:p>
        </w:tc>
        <w:tc>
          <w:tcPr>
            <w:tcW w:w="23" w:type="dxa"/>
            <w:vMerge w:val="restart"/>
            <w:tcBorders/>
            <w:vAlign w:val="center"/>
          </w:tcPr>
          <w:p>
            <w:pPr>
              <w:pStyle w:val="TableContents"/>
              <w:bidi w:val="0"/>
              <w:spacing w:before="0" w:after="283"/>
              <w:jc w:val="left"/>
              <w:rPr>
                <w:sz w:val="4"/>
                <w:szCs w:val="4"/>
              </w:rPr>
            </w:pPr>
            <w:r>
              <w:rPr>
                <w:sz w:val="4"/>
                <w:szCs w:val="4"/>
              </w:rPr>
            </w:r>
          </w:p>
        </w:tc>
        <w:tc>
          <w:tcPr>
            <w:tcW w:w="1490" w:type="dxa"/>
            <w:gridSpan w:val="4"/>
            <w:vMerge w:val="restart"/>
            <w:tcBorders/>
            <w:vAlign w:val="center"/>
          </w:tcPr>
          <w:p>
            <w:pPr>
              <w:pStyle w:val="TableContents"/>
              <w:bidi w:val="0"/>
              <w:spacing w:before="0" w:after="0"/>
              <w:jc w:val="center"/>
              <w:rPr>
                <w:b/>
                <w:color w:val="00AE4F"/>
                <w:spacing w:val="0"/>
              </w:rPr>
            </w:pPr>
            <w:r>
              <w:rPr>
                <w:b/>
                <w:color w:val="00AE4F"/>
                <w:spacing w:val="0"/>
              </w:rPr>
              <w:t>Average</w:t>
              <w:br/>
              <w:t>Summary</w:t>
              <w:br/>
              <w:t>Compensation</w:t>
              <w:br/>
              <w:t>Table Total</w:t>
              <w:br/>
              <w:t xml:space="preserve">for </w:t>
            </w:r>
          </w:p>
          <w:p>
            <w:pPr>
              <w:pStyle w:val="TableContents"/>
              <w:bidi w:val="0"/>
              <w:spacing w:before="0" w:after="0"/>
              <w:jc w:val="center"/>
              <w:rPr>
                <w:b/>
                <w:color w:val="00AE4F"/>
                <w:spacing w:val="0"/>
              </w:rPr>
            </w:pPr>
            <w:r>
              <w:rPr>
                <w:b/>
                <w:color w:val="00AE4F"/>
                <w:spacing w:val="0"/>
              </w:rPr>
              <w:t>Non-CEO</w:t>
            </w:r>
          </w:p>
          <w:p>
            <w:pPr>
              <w:pStyle w:val="TableContents"/>
              <w:bidi w:val="0"/>
              <w:spacing w:before="0" w:after="0"/>
              <w:jc w:val="center"/>
              <w:rPr>
                <w:b/>
                <w:color w:val="00AE4F"/>
                <w:spacing w:val="0"/>
              </w:rPr>
            </w:pPr>
            <w:r>
              <w:rPr>
                <w:b/>
                <w:color w:val="00AE4F"/>
                <w:spacing w:val="0"/>
              </w:rPr>
              <w:br/>
              <w:t>NEOs</w:t>
            </w:r>
          </w:p>
        </w:tc>
        <w:tc>
          <w:tcPr>
            <w:tcW w:w="23" w:type="dxa"/>
            <w:vMerge w:val="restart"/>
            <w:tcBorders/>
            <w:vAlign w:val="center"/>
          </w:tcPr>
          <w:p>
            <w:pPr>
              <w:pStyle w:val="TableContents"/>
              <w:bidi w:val="0"/>
              <w:spacing w:before="0" w:after="283"/>
              <w:jc w:val="left"/>
              <w:rPr>
                <w:sz w:val="4"/>
                <w:szCs w:val="4"/>
              </w:rPr>
            </w:pPr>
            <w:r>
              <w:rPr>
                <w:sz w:val="4"/>
                <w:szCs w:val="4"/>
              </w:rPr>
            </w:r>
          </w:p>
        </w:tc>
        <w:tc>
          <w:tcPr>
            <w:tcW w:w="1490" w:type="dxa"/>
            <w:gridSpan w:val="4"/>
            <w:vMerge w:val="restart"/>
            <w:tcBorders/>
            <w:vAlign w:val="center"/>
          </w:tcPr>
          <w:p>
            <w:pPr>
              <w:pStyle w:val="TableContents"/>
              <w:bidi w:val="0"/>
              <w:spacing w:before="0" w:after="0"/>
              <w:jc w:val="center"/>
              <w:rPr>
                <w:b/>
                <w:color w:val="00AE4F"/>
                <w:spacing w:val="0"/>
              </w:rPr>
            </w:pPr>
            <w:r>
              <w:rPr>
                <w:b/>
                <w:color w:val="00AE4F"/>
                <w:spacing w:val="0"/>
              </w:rPr>
              <w:t>Average</w:t>
              <w:br/>
              <w:t>Compensation</w:t>
              <w:br/>
              <w:t>Actually Paid</w:t>
              <w:br/>
              <w:t xml:space="preserve">to </w:t>
            </w:r>
          </w:p>
          <w:p>
            <w:pPr>
              <w:pStyle w:val="TableContents"/>
              <w:bidi w:val="0"/>
              <w:spacing w:before="0" w:after="0"/>
              <w:jc w:val="center"/>
              <w:rPr>
                <w:b/>
                <w:color w:val="00AE4F"/>
                <w:spacing w:val="0"/>
              </w:rPr>
            </w:pPr>
            <w:r>
              <w:rPr>
                <w:b/>
                <w:color w:val="00AE4F"/>
                <w:spacing w:val="0"/>
              </w:rPr>
              <w:t>Non-CEO</w:t>
            </w:r>
          </w:p>
          <w:p>
            <w:pPr>
              <w:pStyle w:val="TableContents"/>
              <w:bidi w:val="0"/>
              <w:spacing w:before="0" w:after="0"/>
              <w:jc w:val="center"/>
              <w:rPr>
                <w:b/>
                <w:color w:val="00AE4F"/>
                <w:spacing w:val="0"/>
              </w:rPr>
            </w:pPr>
            <w:r>
              <w:rPr>
                <w:b/>
                <w:color w:val="00AE4F"/>
                <w:spacing w:val="0"/>
              </w:rPr>
              <w:br/>
              <w:t>NEOs</w:t>
            </w:r>
          </w:p>
          <w:p>
            <w:pPr>
              <w:pStyle w:val="TableContents"/>
              <w:bidi w:val="0"/>
              <w:spacing w:before="0" w:after="0"/>
              <w:jc w:val="center"/>
              <w:rPr>
                <w:b/>
                <w:color w:val="00AE4F"/>
                <w:spacing w:val="0"/>
                <w:sz w:val="9"/>
              </w:rPr>
            </w:pPr>
            <w:r>
              <w:rPr>
                <w:b/>
                <w:color w:val="00AE4F"/>
                <w:spacing w:val="0"/>
                <w:sz w:val="9"/>
              </w:rPr>
              <w:t>(1)(2)</w:t>
            </w:r>
          </w:p>
        </w:tc>
        <w:tc>
          <w:tcPr>
            <w:tcW w:w="23" w:type="dxa"/>
            <w:vMerge w:val="restart"/>
            <w:tcBorders/>
            <w:vAlign w:val="center"/>
          </w:tcPr>
          <w:p>
            <w:pPr>
              <w:pStyle w:val="TableContents"/>
              <w:bidi w:val="0"/>
              <w:spacing w:before="0" w:after="283"/>
              <w:jc w:val="left"/>
              <w:rPr>
                <w:sz w:val="4"/>
                <w:szCs w:val="4"/>
              </w:rPr>
            </w:pPr>
            <w:r>
              <w:rPr>
                <w:sz w:val="4"/>
                <w:szCs w:val="4"/>
              </w:rPr>
            </w:r>
          </w:p>
        </w:tc>
        <w:tc>
          <w:tcPr>
            <w:tcW w:w="875" w:type="dxa"/>
            <w:gridSpan w:val="4"/>
            <w:vMerge w:val="restart"/>
            <w:tcBorders/>
            <w:vAlign w:val="center"/>
          </w:tcPr>
          <w:p>
            <w:pPr>
              <w:pStyle w:val="TableContents"/>
              <w:bidi w:val="0"/>
              <w:spacing w:before="0" w:after="0"/>
              <w:jc w:val="center"/>
              <w:rPr>
                <w:b/>
                <w:color w:val="00AE4F"/>
                <w:spacing w:val="0"/>
              </w:rPr>
            </w:pPr>
            <w:r>
              <w:rPr>
                <w:b/>
                <w:color w:val="00AE4F"/>
                <w:spacing w:val="0"/>
              </w:rPr>
              <w:t>TSR</w:t>
              <w:br/>
              <w:t>(Class A)</w:t>
            </w:r>
          </w:p>
        </w:tc>
        <w:tc>
          <w:tcPr>
            <w:tcW w:w="23" w:type="dxa"/>
            <w:vMerge w:val="restart"/>
            <w:tcBorders/>
            <w:vAlign w:val="center"/>
          </w:tcPr>
          <w:p>
            <w:pPr>
              <w:pStyle w:val="TableContents"/>
              <w:bidi w:val="0"/>
              <w:spacing w:before="0" w:after="283"/>
              <w:jc w:val="left"/>
              <w:rPr>
                <w:sz w:val="4"/>
                <w:szCs w:val="4"/>
              </w:rPr>
            </w:pPr>
            <w:r>
              <w:rPr>
                <w:sz w:val="4"/>
                <w:szCs w:val="4"/>
              </w:rPr>
            </w:r>
          </w:p>
        </w:tc>
        <w:tc>
          <w:tcPr>
            <w:tcW w:w="866" w:type="dxa"/>
            <w:gridSpan w:val="4"/>
            <w:vMerge w:val="restart"/>
            <w:tcBorders/>
            <w:vAlign w:val="center"/>
          </w:tcPr>
          <w:p>
            <w:pPr>
              <w:pStyle w:val="TableContents"/>
              <w:bidi w:val="0"/>
              <w:spacing w:before="0" w:after="0"/>
              <w:jc w:val="center"/>
              <w:rPr>
                <w:b/>
                <w:color w:val="00AE4F"/>
                <w:spacing w:val="0"/>
              </w:rPr>
            </w:pPr>
            <w:r>
              <w:rPr>
                <w:b/>
                <w:color w:val="00AE4F"/>
                <w:spacing w:val="0"/>
              </w:rPr>
              <w:t>TSR</w:t>
              <w:br/>
              <w:t>(Class B)</w:t>
            </w:r>
          </w:p>
        </w:tc>
        <w:tc>
          <w:tcPr>
            <w:tcW w:w="23" w:type="dxa"/>
            <w:vMerge w:val="restart"/>
            <w:tcBorders/>
            <w:vAlign w:val="center"/>
          </w:tcPr>
          <w:p>
            <w:pPr>
              <w:pStyle w:val="TableContents"/>
              <w:bidi w:val="0"/>
              <w:spacing w:before="0" w:after="283"/>
              <w:jc w:val="left"/>
              <w:rPr>
                <w:sz w:val="4"/>
                <w:szCs w:val="4"/>
              </w:rPr>
            </w:pPr>
            <w:r>
              <w:rPr>
                <w:sz w:val="4"/>
                <w:szCs w:val="4"/>
              </w:rPr>
            </w:r>
          </w:p>
        </w:tc>
        <w:tc>
          <w:tcPr>
            <w:tcW w:w="866" w:type="dxa"/>
            <w:gridSpan w:val="4"/>
            <w:vMerge w:val="restart"/>
            <w:tcBorders/>
            <w:vAlign w:val="center"/>
          </w:tcPr>
          <w:p>
            <w:pPr>
              <w:pStyle w:val="TableContents"/>
              <w:bidi w:val="0"/>
              <w:spacing w:before="0" w:after="0"/>
              <w:jc w:val="center"/>
              <w:rPr>
                <w:b/>
                <w:color w:val="00AE4F"/>
                <w:spacing w:val="0"/>
              </w:rPr>
            </w:pPr>
            <w:r>
              <w:rPr>
                <w:b/>
                <w:color w:val="00AE4F"/>
                <w:spacing w:val="0"/>
              </w:rPr>
              <w:t>Peer</w:t>
              <w:br/>
              <w:t>TSR</w:t>
            </w:r>
          </w:p>
          <w:p>
            <w:pPr>
              <w:pStyle w:val="TableContents"/>
              <w:bidi w:val="0"/>
              <w:spacing w:before="0" w:after="0"/>
              <w:jc w:val="center"/>
              <w:rPr>
                <w:b/>
                <w:color w:val="00AE4F"/>
                <w:spacing w:val="0"/>
                <w:sz w:val="9"/>
              </w:rPr>
            </w:pPr>
            <w:r>
              <w:rPr>
                <w:b/>
                <w:color w:val="00AE4F"/>
                <w:spacing w:val="0"/>
                <w:sz w:val="9"/>
              </w:rPr>
              <w:t>(3)</w:t>
            </w:r>
          </w:p>
        </w:tc>
        <w:tc>
          <w:tcPr>
            <w:tcW w:w="23" w:type="dxa"/>
            <w:vMerge w:val="restart"/>
            <w:tcBorders/>
            <w:vAlign w:val="center"/>
          </w:tcPr>
          <w:p>
            <w:pPr>
              <w:pStyle w:val="TableContents"/>
              <w:bidi w:val="0"/>
              <w:spacing w:before="0" w:after="283"/>
              <w:jc w:val="left"/>
              <w:rPr>
                <w:sz w:val="4"/>
                <w:szCs w:val="4"/>
              </w:rPr>
            </w:pPr>
            <w:r>
              <w:rPr>
                <w:sz w:val="4"/>
                <w:szCs w:val="4"/>
              </w:rPr>
            </w:r>
          </w:p>
        </w:tc>
        <w:tc>
          <w:tcPr>
            <w:tcW w:w="950" w:type="dxa"/>
            <w:gridSpan w:val="4"/>
            <w:vMerge w:val="restart"/>
            <w:tcBorders/>
            <w:vAlign w:val="center"/>
          </w:tcPr>
          <w:p>
            <w:pPr>
              <w:pStyle w:val="TableContents"/>
              <w:bidi w:val="0"/>
              <w:spacing w:before="0" w:after="0"/>
              <w:jc w:val="center"/>
              <w:rPr>
                <w:b/>
                <w:color w:val="00AE4F"/>
                <w:spacing w:val="0"/>
              </w:rPr>
            </w:pPr>
            <w:r>
              <w:rPr>
                <w:b/>
                <w:color w:val="00AE4F"/>
                <w:spacing w:val="0"/>
              </w:rPr>
              <w:t>Net</w:t>
              <w:br/>
              <w:t>Earnings</w:t>
              <w:br/>
              <w:t>(Loss) in</w:t>
              <w:br/>
              <w:t>millions</w:t>
            </w:r>
          </w:p>
        </w:tc>
        <w:tc>
          <w:tcPr>
            <w:tcW w:w="23" w:type="dxa"/>
            <w:vMerge w:val="restart"/>
            <w:tcBorders/>
            <w:vAlign w:val="center"/>
          </w:tcPr>
          <w:p>
            <w:pPr>
              <w:pStyle w:val="TableContents"/>
              <w:bidi w:val="0"/>
              <w:spacing w:before="0" w:after="283"/>
              <w:jc w:val="left"/>
              <w:rPr>
                <w:sz w:val="4"/>
                <w:szCs w:val="4"/>
              </w:rPr>
            </w:pPr>
            <w:r>
              <w:rPr>
                <w:sz w:val="4"/>
                <w:szCs w:val="4"/>
              </w:rPr>
            </w:r>
          </w:p>
        </w:tc>
        <w:tc>
          <w:tcPr>
            <w:tcW w:w="980" w:type="dxa"/>
            <w:gridSpan w:val="4"/>
            <w:vMerge w:val="restart"/>
            <w:tcBorders/>
            <w:vAlign w:val="center"/>
          </w:tcPr>
          <w:p>
            <w:pPr>
              <w:pStyle w:val="TableContents"/>
              <w:bidi w:val="0"/>
              <w:spacing w:before="0" w:after="0"/>
              <w:jc w:val="center"/>
              <w:rPr>
                <w:b/>
                <w:color w:val="00AE4F"/>
                <w:spacing w:val="0"/>
              </w:rPr>
            </w:pPr>
            <w:r>
              <w:rPr>
                <w:b/>
                <w:color w:val="00AE4F"/>
                <w:spacing w:val="0"/>
              </w:rPr>
              <w:t>CSM:</w:t>
              <w:br/>
              <w:t>Adjusted</w:t>
              <w:br/>
              <w:t>EBITDA</w:t>
              <w:br/>
              <w:t>in</w:t>
              <w:br/>
              <w:t>millions</w:t>
            </w:r>
          </w:p>
          <w:p>
            <w:pPr>
              <w:pStyle w:val="TableContents"/>
              <w:bidi w:val="0"/>
              <w:spacing w:before="0" w:after="0"/>
              <w:jc w:val="center"/>
              <w:rPr>
                <w:b/>
                <w:color w:val="00AE4F"/>
                <w:spacing w:val="0"/>
                <w:sz w:val="9"/>
              </w:rPr>
            </w:pPr>
            <w:r>
              <w:rPr>
                <w:b/>
                <w:color w:val="00AE4F"/>
                <w:spacing w:val="0"/>
                <w:sz w:val="9"/>
              </w:rPr>
              <w:t>(4)</w:t>
            </w:r>
          </w:p>
        </w:tc>
      </w:tr>
      <w:tr>
        <w:trPr/>
        <w:tc>
          <w:tcPr>
            <w:tcW w:w="395" w:type="dxa"/>
            <w:vMerge w:val="continue"/>
            <w:tcBorders>
              <w:bottom w:val="single" w:sz="8" w:space="0" w:color="33302B"/>
            </w:tcBorders>
            <w:tcMar>
              <w:bottom w:w="28" w:type="dxa"/>
            </w:tcMar>
            <w:vAlign w:val="center"/>
          </w:tcPr>
          <w:p>
            <w:pPr>
              <w:pStyle w:val="Normal"/>
              <w:bidi w:val="0"/>
              <w:jc w:val="left"/>
              <w:rPr/>
            </w:pPr>
            <w:r>
              <w:rPr/>
            </w:r>
          </w:p>
        </w:tc>
        <w:tc>
          <w:tcPr>
            <w:tcW w:w="23" w:type="dxa"/>
            <w:vMerge w:val="restart"/>
            <w:tcBorders>
              <w:bottom w:val="single" w:sz="8" w:space="0" w:color="33302B"/>
            </w:tcBorders>
            <w:tcMar>
              <w:bottom w:w="28" w:type="dxa"/>
            </w:tcMar>
            <w:vAlign w:val="center"/>
          </w:tcPr>
          <w:p>
            <w:pPr>
              <w:pStyle w:val="TableContents"/>
              <w:bidi w:val="0"/>
              <w:spacing w:before="0" w:after="283"/>
              <w:jc w:val="left"/>
              <w:rPr>
                <w:sz w:val="4"/>
                <w:szCs w:val="4"/>
              </w:rPr>
            </w:pPr>
            <w:r>
              <w:rPr>
                <w:sz w:val="4"/>
                <w:szCs w:val="4"/>
              </w:rPr>
            </w:r>
          </w:p>
        </w:tc>
        <w:tc>
          <w:tcPr>
            <w:tcW w:w="1166" w:type="dxa"/>
            <w:gridSpan w:val="4"/>
            <w:vMerge w:val="restart"/>
            <w:tcBorders>
              <w:bottom w:val="single" w:sz="8" w:space="0" w:color="000000"/>
            </w:tcBorders>
            <w:tcMar>
              <w:bottom w:w="28" w:type="dxa"/>
            </w:tcMar>
            <w:vAlign w:val="center"/>
          </w:tcPr>
          <w:p>
            <w:pPr>
              <w:pStyle w:val="TableContents"/>
              <w:bidi w:val="0"/>
              <w:spacing w:before="0" w:after="0"/>
              <w:jc w:val="center"/>
              <w:rPr>
                <w:b/>
                <w:color w:val="00AE4F"/>
                <w:spacing w:val="0"/>
              </w:rPr>
            </w:pPr>
            <w:r>
              <w:rPr>
                <w:b/>
                <w:color w:val="00AE4F"/>
                <w:spacing w:val="0"/>
              </w:rPr>
              <w:t>CEO</w:t>
            </w:r>
          </w:p>
          <w:p>
            <w:pPr>
              <w:pStyle w:val="TableContents"/>
              <w:bidi w:val="0"/>
              <w:spacing w:before="0" w:after="0"/>
              <w:jc w:val="center"/>
              <w:rPr/>
            </w:pPr>
            <w:r>
              <w:rPr/>
            </w:r>
          </w:p>
          <w:p>
            <w:pPr>
              <w:pStyle w:val="TableContents"/>
              <w:bidi w:val="0"/>
              <w:spacing w:before="0" w:after="0"/>
              <w:jc w:val="center"/>
              <w:rPr>
                <w:b/>
                <w:color w:val="00AE4F"/>
                <w:spacing w:val="0"/>
              </w:rPr>
            </w:pPr>
            <w:r>
              <w:rPr>
                <w:b/>
                <w:color w:val="00AE4F"/>
                <w:spacing w:val="0"/>
              </w:rPr>
              <w:t>(b)</w:t>
            </w:r>
          </w:p>
        </w:tc>
        <w:tc>
          <w:tcPr>
            <w:tcW w:w="23" w:type="dxa"/>
            <w:vMerge w:val="restart"/>
            <w:tcBorders>
              <w:bottom w:val="single" w:sz="8" w:space="0" w:color="33302B"/>
            </w:tcBorders>
            <w:tcMar>
              <w:bottom w:w="28" w:type="dxa"/>
            </w:tcMar>
            <w:vAlign w:val="center"/>
          </w:tcPr>
          <w:p>
            <w:pPr>
              <w:pStyle w:val="TableContents"/>
              <w:bidi w:val="0"/>
              <w:spacing w:before="0" w:after="283"/>
              <w:jc w:val="left"/>
              <w:rPr>
                <w:sz w:val="4"/>
                <w:szCs w:val="4"/>
              </w:rPr>
            </w:pPr>
            <w:r>
              <w:rPr>
                <w:sz w:val="4"/>
                <w:szCs w:val="4"/>
              </w:rPr>
            </w:r>
          </w:p>
        </w:tc>
        <w:tc>
          <w:tcPr>
            <w:tcW w:w="1166" w:type="dxa"/>
            <w:gridSpan w:val="4"/>
            <w:vMerge w:val="restart"/>
            <w:tcBorders>
              <w:bottom w:val="single" w:sz="8" w:space="0" w:color="000000"/>
            </w:tcBorders>
            <w:tcMar>
              <w:bottom w:w="28" w:type="dxa"/>
            </w:tcMar>
            <w:vAlign w:val="center"/>
          </w:tcPr>
          <w:p>
            <w:pPr>
              <w:pStyle w:val="TableContents"/>
              <w:bidi w:val="0"/>
              <w:spacing w:before="0" w:after="0"/>
              <w:jc w:val="center"/>
              <w:rPr>
                <w:b/>
                <w:color w:val="00AE4F"/>
                <w:spacing w:val="0"/>
              </w:rPr>
            </w:pPr>
            <w:r>
              <w:rPr>
                <w:b/>
                <w:color w:val="00AE4F"/>
                <w:spacing w:val="0"/>
              </w:rPr>
              <w:t>Former</w:t>
              <w:br/>
              <w:t>CEO</w:t>
            </w:r>
          </w:p>
          <w:p>
            <w:pPr>
              <w:pStyle w:val="TableContents"/>
              <w:bidi w:val="0"/>
              <w:spacing w:before="0" w:after="0"/>
              <w:jc w:val="center"/>
              <w:rPr/>
            </w:pPr>
            <w:r>
              <w:rPr/>
            </w:r>
          </w:p>
          <w:p>
            <w:pPr>
              <w:pStyle w:val="TableContents"/>
              <w:bidi w:val="0"/>
              <w:spacing w:before="0" w:after="0"/>
              <w:jc w:val="center"/>
              <w:rPr>
                <w:b/>
                <w:color w:val="00AE4F"/>
                <w:spacing w:val="0"/>
              </w:rPr>
            </w:pPr>
            <w:r>
              <w:rPr>
                <w:b/>
                <w:color w:val="00AE4F"/>
                <w:spacing w:val="0"/>
              </w:rPr>
              <w:t>(c)</w:t>
            </w:r>
          </w:p>
        </w:tc>
        <w:tc>
          <w:tcPr>
            <w:tcW w:w="23" w:type="dxa"/>
            <w:vMerge w:val="restart"/>
            <w:tcBorders>
              <w:bottom w:val="single" w:sz="8" w:space="0" w:color="33302B"/>
            </w:tcBorders>
            <w:tcMar>
              <w:bottom w:w="28" w:type="dxa"/>
            </w:tcMar>
            <w:vAlign w:val="center"/>
          </w:tcPr>
          <w:p>
            <w:pPr>
              <w:pStyle w:val="TableContents"/>
              <w:bidi w:val="0"/>
              <w:spacing w:before="0" w:after="283"/>
              <w:jc w:val="left"/>
              <w:rPr>
                <w:sz w:val="4"/>
                <w:szCs w:val="4"/>
              </w:rPr>
            </w:pPr>
            <w:r>
              <w:rPr>
                <w:sz w:val="4"/>
                <w:szCs w:val="4"/>
              </w:rPr>
            </w:r>
          </w:p>
        </w:tc>
        <w:tc>
          <w:tcPr>
            <w:tcW w:w="1166" w:type="dxa"/>
            <w:gridSpan w:val="4"/>
            <w:vMerge w:val="restart"/>
            <w:tcBorders>
              <w:bottom w:val="single" w:sz="8" w:space="0" w:color="000000"/>
            </w:tcBorders>
            <w:tcMar>
              <w:bottom w:w="28" w:type="dxa"/>
            </w:tcMar>
            <w:vAlign w:val="center"/>
          </w:tcPr>
          <w:p>
            <w:pPr>
              <w:pStyle w:val="TableContents"/>
              <w:bidi w:val="0"/>
              <w:spacing w:before="0" w:after="0"/>
              <w:jc w:val="center"/>
              <w:rPr>
                <w:b/>
                <w:color w:val="00AE4F"/>
                <w:spacing w:val="0"/>
              </w:rPr>
            </w:pPr>
            <w:r>
              <w:rPr>
                <w:b/>
                <w:color w:val="00AE4F"/>
                <w:spacing w:val="0"/>
              </w:rPr>
              <w:t>CEO</w:t>
            </w:r>
          </w:p>
          <w:p>
            <w:pPr>
              <w:pStyle w:val="TableContents"/>
              <w:bidi w:val="0"/>
              <w:spacing w:before="0" w:after="0"/>
              <w:jc w:val="center"/>
              <w:rPr/>
            </w:pPr>
            <w:r>
              <w:rPr/>
            </w:r>
          </w:p>
          <w:p>
            <w:pPr>
              <w:pStyle w:val="TableContents"/>
              <w:bidi w:val="0"/>
              <w:spacing w:before="0" w:after="0"/>
              <w:jc w:val="center"/>
              <w:rPr>
                <w:b/>
                <w:color w:val="00AE4F"/>
                <w:spacing w:val="0"/>
              </w:rPr>
            </w:pPr>
            <w:r>
              <w:rPr>
                <w:b/>
                <w:color w:val="00AE4F"/>
                <w:spacing w:val="0"/>
              </w:rPr>
              <w:t>(d)</w:t>
            </w:r>
          </w:p>
        </w:tc>
        <w:tc>
          <w:tcPr>
            <w:tcW w:w="23" w:type="dxa"/>
            <w:vMerge w:val="restart"/>
            <w:tcBorders>
              <w:bottom w:val="single" w:sz="8" w:space="0" w:color="33302B"/>
            </w:tcBorders>
            <w:tcMar>
              <w:bottom w:w="28" w:type="dxa"/>
            </w:tcMar>
            <w:vAlign w:val="center"/>
          </w:tcPr>
          <w:p>
            <w:pPr>
              <w:pStyle w:val="TableContents"/>
              <w:bidi w:val="0"/>
              <w:spacing w:before="0" w:after="283"/>
              <w:jc w:val="left"/>
              <w:rPr>
                <w:sz w:val="4"/>
                <w:szCs w:val="4"/>
              </w:rPr>
            </w:pPr>
            <w:r>
              <w:rPr>
                <w:sz w:val="4"/>
                <w:szCs w:val="4"/>
              </w:rPr>
            </w:r>
          </w:p>
        </w:tc>
        <w:tc>
          <w:tcPr>
            <w:tcW w:w="1166" w:type="dxa"/>
            <w:gridSpan w:val="4"/>
            <w:vMerge w:val="restart"/>
            <w:tcBorders>
              <w:bottom w:val="single" w:sz="8" w:space="0" w:color="000000"/>
            </w:tcBorders>
            <w:tcMar>
              <w:bottom w:w="28" w:type="dxa"/>
            </w:tcMar>
            <w:vAlign w:val="center"/>
          </w:tcPr>
          <w:p>
            <w:pPr>
              <w:pStyle w:val="TableContents"/>
              <w:bidi w:val="0"/>
              <w:spacing w:before="0" w:after="0"/>
              <w:jc w:val="center"/>
              <w:rPr>
                <w:b/>
                <w:color w:val="00AE4F"/>
                <w:spacing w:val="0"/>
              </w:rPr>
            </w:pPr>
            <w:r>
              <w:rPr>
                <w:b/>
                <w:color w:val="00AE4F"/>
                <w:spacing w:val="0"/>
              </w:rPr>
              <w:t>Former</w:t>
              <w:br/>
              <w:t>CEO</w:t>
            </w:r>
          </w:p>
          <w:p>
            <w:pPr>
              <w:pStyle w:val="TableContents"/>
              <w:bidi w:val="0"/>
              <w:spacing w:before="0" w:after="0"/>
              <w:jc w:val="center"/>
              <w:rPr/>
            </w:pPr>
            <w:r>
              <w:rPr/>
            </w:r>
          </w:p>
          <w:p>
            <w:pPr>
              <w:pStyle w:val="TableContents"/>
              <w:bidi w:val="0"/>
              <w:spacing w:before="0" w:after="0"/>
              <w:jc w:val="center"/>
              <w:rPr>
                <w:b/>
                <w:color w:val="00AE4F"/>
                <w:spacing w:val="0"/>
              </w:rPr>
            </w:pPr>
            <w:r>
              <w:rPr>
                <w:b/>
                <w:color w:val="00AE4F"/>
                <w:spacing w:val="0"/>
              </w:rPr>
              <w:t>(e)</w:t>
            </w:r>
          </w:p>
        </w:tc>
        <w:tc>
          <w:tcPr>
            <w:tcW w:w="23" w:type="dxa"/>
            <w:vMerge w:val="continue"/>
            <w:tcBorders/>
            <w:vAlign w:val="center"/>
          </w:tcPr>
          <w:p>
            <w:pPr>
              <w:pStyle w:val="Normal"/>
              <w:bidi w:val="0"/>
              <w:jc w:val="left"/>
              <w:rPr/>
            </w:pPr>
            <w:r>
              <w:rPr/>
            </w:r>
          </w:p>
        </w:tc>
        <w:tc>
          <w:tcPr>
            <w:tcW w:w="1490" w:type="dxa"/>
            <w:gridSpan w:val="4"/>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1490" w:type="dxa"/>
            <w:gridSpan w:val="4"/>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875" w:type="dxa"/>
            <w:gridSpan w:val="4"/>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866" w:type="dxa"/>
            <w:gridSpan w:val="4"/>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866" w:type="dxa"/>
            <w:gridSpan w:val="4"/>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950" w:type="dxa"/>
            <w:gridSpan w:val="4"/>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980" w:type="dxa"/>
            <w:gridSpan w:val="4"/>
            <w:vMerge w:val="continue"/>
            <w:tcBorders/>
            <w:vAlign w:val="center"/>
          </w:tcPr>
          <w:p>
            <w:pPr>
              <w:pStyle w:val="Normal"/>
              <w:bidi w:val="0"/>
              <w:jc w:val="left"/>
              <w:rPr/>
            </w:pPr>
            <w:r>
              <w:rPr/>
            </w:r>
          </w:p>
        </w:tc>
      </w:tr>
      <w:tr>
        <w:trPr/>
        <w:tc>
          <w:tcPr>
            <w:tcW w:w="395" w:type="dxa"/>
            <w:vMerge w:val="continue"/>
            <w:tcBorders>
              <w:bottom w:val="single" w:sz="8" w:space="0" w:color="33302B"/>
            </w:tcBorders>
            <w:tcMar>
              <w:bottom w:w="28" w:type="dxa"/>
            </w:tcMar>
            <w:vAlign w:val="center"/>
          </w:tcPr>
          <w:p>
            <w:pPr>
              <w:pStyle w:val="Normal"/>
              <w:bidi w:val="0"/>
              <w:jc w:val="left"/>
              <w:rPr/>
            </w:pPr>
            <w:r>
              <w:rPr/>
            </w:r>
          </w:p>
        </w:tc>
        <w:tc>
          <w:tcPr>
            <w:tcW w:w="23" w:type="dxa"/>
            <w:vMerge w:val="continue"/>
            <w:tcBorders>
              <w:bottom w:val="single" w:sz="8" w:space="0" w:color="33302B"/>
            </w:tcBorders>
            <w:tcMar>
              <w:bottom w:w="28" w:type="dxa"/>
            </w:tcMar>
            <w:vAlign w:val="center"/>
          </w:tcPr>
          <w:p>
            <w:pPr>
              <w:pStyle w:val="Normal"/>
              <w:bidi w:val="0"/>
              <w:jc w:val="left"/>
              <w:rPr/>
            </w:pPr>
            <w:r>
              <w:rPr/>
            </w:r>
          </w:p>
        </w:tc>
        <w:tc>
          <w:tcPr>
            <w:tcW w:w="1166" w:type="dxa"/>
            <w:gridSpan w:val="4"/>
            <w:vMerge w:val="continue"/>
            <w:tcBorders>
              <w:bottom w:val="single" w:sz="8" w:space="0" w:color="000000"/>
            </w:tcBorders>
            <w:tcMar>
              <w:bottom w:w="28" w:type="dxa"/>
            </w:tcMar>
            <w:vAlign w:val="center"/>
          </w:tcPr>
          <w:p>
            <w:pPr>
              <w:pStyle w:val="Normal"/>
              <w:bidi w:val="0"/>
              <w:jc w:val="left"/>
              <w:rPr/>
            </w:pPr>
            <w:r>
              <w:rPr/>
            </w:r>
          </w:p>
        </w:tc>
        <w:tc>
          <w:tcPr>
            <w:tcW w:w="23" w:type="dxa"/>
            <w:vMerge w:val="continue"/>
            <w:tcBorders>
              <w:bottom w:val="single" w:sz="8" w:space="0" w:color="000000"/>
            </w:tcBorders>
            <w:tcMar>
              <w:bottom w:w="28" w:type="dxa"/>
            </w:tcMar>
            <w:vAlign w:val="center"/>
          </w:tcPr>
          <w:p>
            <w:pPr>
              <w:pStyle w:val="Normal"/>
              <w:bidi w:val="0"/>
              <w:jc w:val="left"/>
              <w:rPr/>
            </w:pPr>
            <w:r>
              <w:rPr/>
            </w:r>
          </w:p>
        </w:tc>
        <w:tc>
          <w:tcPr>
            <w:tcW w:w="1166" w:type="dxa"/>
            <w:gridSpan w:val="4"/>
            <w:vMerge w:val="continue"/>
            <w:tcBorders>
              <w:bottom w:val="single" w:sz="8" w:space="0" w:color="33302B"/>
            </w:tcBorders>
            <w:tcMar>
              <w:bottom w:w="28" w:type="dxa"/>
            </w:tcMar>
            <w:vAlign w:val="center"/>
          </w:tcPr>
          <w:p>
            <w:pPr>
              <w:pStyle w:val="Normal"/>
              <w:bidi w:val="0"/>
              <w:jc w:val="left"/>
              <w:rPr/>
            </w:pPr>
            <w:r>
              <w:rPr/>
            </w:r>
          </w:p>
        </w:tc>
        <w:tc>
          <w:tcPr>
            <w:tcW w:w="23" w:type="dxa"/>
            <w:vMerge w:val="continue"/>
            <w:tcBorders>
              <w:bottom w:val="single" w:sz="8" w:space="0" w:color="33302B"/>
            </w:tcBorders>
            <w:tcMar>
              <w:bottom w:w="28" w:type="dxa"/>
            </w:tcMar>
            <w:vAlign w:val="center"/>
          </w:tcPr>
          <w:p>
            <w:pPr>
              <w:pStyle w:val="Normal"/>
              <w:bidi w:val="0"/>
              <w:jc w:val="left"/>
              <w:rPr/>
            </w:pPr>
            <w:r>
              <w:rPr/>
            </w:r>
          </w:p>
        </w:tc>
        <w:tc>
          <w:tcPr>
            <w:tcW w:w="1166" w:type="dxa"/>
            <w:gridSpan w:val="4"/>
            <w:vMerge w:val="continue"/>
            <w:tcBorders>
              <w:bottom w:val="single" w:sz="8" w:space="0" w:color="000000"/>
            </w:tcBorders>
            <w:tcMar>
              <w:bottom w:w="28" w:type="dxa"/>
            </w:tcMar>
            <w:vAlign w:val="center"/>
          </w:tcPr>
          <w:p>
            <w:pPr>
              <w:pStyle w:val="Normal"/>
              <w:bidi w:val="0"/>
              <w:jc w:val="left"/>
              <w:rPr/>
            </w:pPr>
            <w:r>
              <w:rPr/>
            </w:r>
          </w:p>
        </w:tc>
        <w:tc>
          <w:tcPr>
            <w:tcW w:w="23" w:type="dxa"/>
            <w:vMerge w:val="continue"/>
            <w:tcBorders>
              <w:bottom w:val="single" w:sz="8" w:space="0" w:color="33302B"/>
            </w:tcBorders>
            <w:tcMar>
              <w:bottom w:w="28" w:type="dxa"/>
            </w:tcMar>
            <w:vAlign w:val="center"/>
          </w:tcPr>
          <w:p>
            <w:pPr>
              <w:pStyle w:val="Normal"/>
              <w:bidi w:val="0"/>
              <w:jc w:val="left"/>
              <w:rPr/>
            </w:pPr>
            <w:r>
              <w:rPr/>
            </w:r>
          </w:p>
        </w:tc>
        <w:tc>
          <w:tcPr>
            <w:tcW w:w="1166" w:type="dxa"/>
            <w:gridSpan w:val="4"/>
            <w:vMerge w:val="continue"/>
            <w:tcBorders>
              <w:bottom w:val="single" w:sz="8" w:space="0" w:color="000000"/>
            </w:tcBorders>
            <w:tcMar>
              <w:bottom w:w="28" w:type="dxa"/>
            </w:tcMar>
            <w:vAlign w:val="center"/>
          </w:tcPr>
          <w:p>
            <w:pPr>
              <w:pStyle w:val="Normal"/>
              <w:bidi w:val="0"/>
              <w:jc w:val="left"/>
              <w:rPr/>
            </w:pPr>
            <w:r>
              <w:rPr/>
            </w:r>
          </w:p>
        </w:tc>
        <w:tc>
          <w:tcPr>
            <w:tcW w:w="23" w:type="dxa"/>
            <w:tcBorders>
              <w:bottom w:val="single" w:sz="8" w:space="0" w:color="33302B"/>
            </w:tcBorders>
            <w:tcMar>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33302B"/>
            </w:tcBorders>
            <w:tcMar>
              <w:bottom w:w="28" w:type="dxa"/>
            </w:tcMar>
            <w:vAlign w:val="center"/>
          </w:tcPr>
          <w:p>
            <w:pPr>
              <w:pStyle w:val="TableContents"/>
              <w:bidi w:val="0"/>
              <w:spacing w:before="0" w:after="0"/>
              <w:jc w:val="center"/>
              <w:rPr>
                <w:b/>
                <w:color w:val="00AE4F"/>
                <w:spacing w:val="0"/>
              </w:rPr>
            </w:pPr>
            <w:r>
              <w:rPr>
                <w:b/>
                <w:color w:val="00AE4F"/>
                <w:spacing w:val="0"/>
              </w:rPr>
              <w:t>(f)</w:t>
            </w:r>
          </w:p>
        </w:tc>
        <w:tc>
          <w:tcPr>
            <w:tcW w:w="23" w:type="dxa"/>
            <w:tcBorders>
              <w:bottom w:val="single" w:sz="8" w:space="0" w:color="33302B"/>
            </w:tcBorders>
            <w:tcMar>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33302B"/>
            </w:tcBorders>
            <w:tcMar>
              <w:bottom w:w="28" w:type="dxa"/>
            </w:tcMar>
            <w:vAlign w:val="center"/>
          </w:tcPr>
          <w:p>
            <w:pPr>
              <w:pStyle w:val="TableContents"/>
              <w:bidi w:val="0"/>
              <w:spacing w:before="0" w:after="0"/>
              <w:jc w:val="center"/>
              <w:rPr>
                <w:b/>
                <w:color w:val="00AE4F"/>
                <w:spacing w:val="0"/>
              </w:rPr>
            </w:pPr>
            <w:r>
              <w:rPr>
                <w:b/>
                <w:color w:val="00AE4F"/>
                <w:spacing w:val="0"/>
              </w:rPr>
              <w:t>(g)</w:t>
            </w:r>
          </w:p>
        </w:tc>
        <w:tc>
          <w:tcPr>
            <w:tcW w:w="23" w:type="dxa"/>
            <w:tcBorders>
              <w:bottom w:val="single" w:sz="8" w:space="0" w:color="33302B"/>
            </w:tcBorders>
            <w:tcMar>
              <w:bottom w:w="28" w:type="dxa"/>
            </w:tcMar>
            <w:vAlign w:val="center"/>
          </w:tcPr>
          <w:p>
            <w:pPr>
              <w:pStyle w:val="TableContents"/>
              <w:bidi w:val="0"/>
              <w:spacing w:before="0" w:after="283"/>
              <w:jc w:val="left"/>
              <w:rPr>
                <w:sz w:val="4"/>
                <w:szCs w:val="4"/>
              </w:rPr>
            </w:pPr>
            <w:r>
              <w:rPr>
                <w:sz w:val="4"/>
                <w:szCs w:val="4"/>
              </w:rPr>
            </w:r>
          </w:p>
        </w:tc>
        <w:tc>
          <w:tcPr>
            <w:tcW w:w="875" w:type="dxa"/>
            <w:gridSpan w:val="4"/>
            <w:tcBorders>
              <w:bottom w:val="single" w:sz="8" w:space="0" w:color="33302B"/>
            </w:tcBorders>
            <w:tcMar>
              <w:bottom w:w="28" w:type="dxa"/>
            </w:tcMar>
            <w:vAlign w:val="center"/>
          </w:tcPr>
          <w:p>
            <w:pPr>
              <w:pStyle w:val="TableContents"/>
              <w:bidi w:val="0"/>
              <w:spacing w:before="0" w:after="0"/>
              <w:jc w:val="center"/>
              <w:rPr>
                <w:b/>
                <w:color w:val="00AE4F"/>
                <w:spacing w:val="0"/>
              </w:rPr>
            </w:pPr>
            <w:r>
              <w:rPr>
                <w:b/>
                <w:color w:val="00AE4F"/>
                <w:spacing w:val="0"/>
              </w:rPr>
              <w:t>(h)</w:t>
            </w:r>
          </w:p>
        </w:tc>
        <w:tc>
          <w:tcPr>
            <w:tcW w:w="23" w:type="dxa"/>
            <w:tcBorders>
              <w:bottom w:val="single" w:sz="8" w:space="0" w:color="33302B"/>
            </w:tcBorders>
            <w:tcMar>
              <w:bottom w:w="28" w:type="dxa"/>
            </w:tcMar>
            <w:vAlign w:val="center"/>
          </w:tcPr>
          <w:p>
            <w:pPr>
              <w:pStyle w:val="TableContents"/>
              <w:bidi w:val="0"/>
              <w:spacing w:before="0" w:after="283"/>
              <w:jc w:val="left"/>
              <w:rPr>
                <w:sz w:val="4"/>
                <w:szCs w:val="4"/>
              </w:rPr>
            </w:pPr>
            <w:r>
              <w:rPr>
                <w:sz w:val="4"/>
                <w:szCs w:val="4"/>
              </w:rPr>
            </w:r>
          </w:p>
        </w:tc>
        <w:tc>
          <w:tcPr>
            <w:tcW w:w="866" w:type="dxa"/>
            <w:gridSpan w:val="4"/>
            <w:tcBorders>
              <w:bottom w:val="single" w:sz="8" w:space="0" w:color="33302B"/>
            </w:tcBorders>
            <w:tcMar>
              <w:bottom w:w="28" w:type="dxa"/>
            </w:tcMar>
            <w:vAlign w:val="center"/>
          </w:tcPr>
          <w:p>
            <w:pPr>
              <w:pStyle w:val="TableContents"/>
              <w:bidi w:val="0"/>
              <w:spacing w:before="0" w:after="0"/>
              <w:jc w:val="center"/>
              <w:rPr>
                <w:b/>
                <w:color w:val="00AE4F"/>
                <w:spacing w:val="0"/>
              </w:rPr>
            </w:pPr>
            <w:r>
              <w:rPr>
                <w:b/>
                <w:color w:val="00AE4F"/>
                <w:spacing w:val="0"/>
              </w:rPr>
              <w:t>(i)</w:t>
            </w:r>
          </w:p>
        </w:tc>
        <w:tc>
          <w:tcPr>
            <w:tcW w:w="23" w:type="dxa"/>
            <w:tcBorders>
              <w:bottom w:val="single" w:sz="8" w:space="0" w:color="33302B"/>
            </w:tcBorders>
            <w:tcMar>
              <w:bottom w:w="28" w:type="dxa"/>
            </w:tcMar>
            <w:vAlign w:val="center"/>
          </w:tcPr>
          <w:p>
            <w:pPr>
              <w:pStyle w:val="TableContents"/>
              <w:bidi w:val="0"/>
              <w:spacing w:before="0" w:after="283"/>
              <w:jc w:val="left"/>
              <w:rPr>
                <w:sz w:val="4"/>
                <w:szCs w:val="4"/>
              </w:rPr>
            </w:pPr>
            <w:r>
              <w:rPr>
                <w:sz w:val="4"/>
                <w:szCs w:val="4"/>
              </w:rPr>
            </w:r>
          </w:p>
        </w:tc>
        <w:tc>
          <w:tcPr>
            <w:tcW w:w="866" w:type="dxa"/>
            <w:gridSpan w:val="4"/>
            <w:tcBorders>
              <w:bottom w:val="single" w:sz="8" w:space="0" w:color="33302B"/>
            </w:tcBorders>
            <w:tcMar>
              <w:bottom w:w="28" w:type="dxa"/>
            </w:tcMar>
            <w:vAlign w:val="center"/>
          </w:tcPr>
          <w:p>
            <w:pPr>
              <w:pStyle w:val="TableContents"/>
              <w:bidi w:val="0"/>
              <w:spacing w:before="0" w:after="0"/>
              <w:jc w:val="center"/>
              <w:rPr>
                <w:b/>
                <w:color w:val="00AE4F"/>
                <w:spacing w:val="0"/>
              </w:rPr>
            </w:pPr>
            <w:r>
              <w:rPr>
                <w:b/>
                <w:color w:val="00AE4F"/>
                <w:spacing w:val="0"/>
              </w:rPr>
              <w:t>(j)</w:t>
            </w:r>
          </w:p>
        </w:tc>
        <w:tc>
          <w:tcPr>
            <w:tcW w:w="23" w:type="dxa"/>
            <w:tcBorders>
              <w:bottom w:val="single" w:sz="8" w:space="0" w:color="33302B"/>
            </w:tcBorders>
            <w:tcMar>
              <w:bottom w:w="28" w:type="dxa"/>
            </w:tcMar>
            <w:vAlign w:val="center"/>
          </w:tcPr>
          <w:p>
            <w:pPr>
              <w:pStyle w:val="TableContents"/>
              <w:bidi w:val="0"/>
              <w:spacing w:before="0" w:after="283"/>
              <w:jc w:val="left"/>
              <w:rPr>
                <w:sz w:val="4"/>
                <w:szCs w:val="4"/>
              </w:rPr>
            </w:pPr>
            <w:r>
              <w:rPr>
                <w:sz w:val="4"/>
                <w:szCs w:val="4"/>
              </w:rPr>
            </w:r>
          </w:p>
        </w:tc>
        <w:tc>
          <w:tcPr>
            <w:tcW w:w="950" w:type="dxa"/>
            <w:gridSpan w:val="4"/>
            <w:tcBorders>
              <w:bottom w:val="single" w:sz="8" w:space="0" w:color="33302B"/>
            </w:tcBorders>
            <w:tcMar>
              <w:bottom w:w="28" w:type="dxa"/>
            </w:tcMar>
            <w:vAlign w:val="center"/>
          </w:tcPr>
          <w:p>
            <w:pPr>
              <w:pStyle w:val="TableContents"/>
              <w:bidi w:val="0"/>
              <w:spacing w:before="0" w:after="0"/>
              <w:jc w:val="center"/>
              <w:rPr>
                <w:b/>
                <w:color w:val="00AE4F"/>
                <w:spacing w:val="0"/>
              </w:rPr>
            </w:pPr>
            <w:r>
              <w:rPr>
                <w:b/>
                <w:color w:val="00AE4F"/>
                <w:spacing w:val="0"/>
              </w:rPr>
              <w:t>(k)</w:t>
            </w:r>
          </w:p>
        </w:tc>
        <w:tc>
          <w:tcPr>
            <w:tcW w:w="23" w:type="dxa"/>
            <w:tcBorders>
              <w:bottom w:val="single" w:sz="8" w:space="0" w:color="33302B"/>
            </w:tcBorders>
            <w:tcMar>
              <w:bottom w:w="28" w:type="dxa"/>
            </w:tcMar>
            <w:vAlign w:val="center"/>
          </w:tcPr>
          <w:p>
            <w:pPr>
              <w:pStyle w:val="TableContents"/>
              <w:bidi w:val="0"/>
              <w:spacing w:before="0" w:after="283"/>
              <w:jc w:val="left"/>
              <w:rPr>
                <w:sz w:val="4"/>
                <w:szCs w:val="4"/>
              </w:rPr>
            </w:pPr>
            <w:r>
              <w:rPr>
                <w:sz w:val="4"/>
                <w:szCs w:val="4"/>
              </w:rPr>
            </w:r>
          </w:p>
        </w:tc>
        <w:tc>
          <w:tcPr>
            <w:tcW w:w="980" w:type="dxa"/>
            <w:gridSpan w:val="4"/>
            <w:tcBorders>
              <w:bottom w:val="single" w:sz="8" w:space="0" w:color="33302B"/>
            </w:tcBorders>
            <w:tcMar>
              <w:bottom w:w="28" w:type="dxa"/>
            </w:tcMar>
            <w:vAlign w:val="center"/>
          </w:tcPr>
          <w:p>
            <w:pPr>
              <w:pStyle w:val="TableContents"/>
              <w:bidi w:val="0"/>
              <w:spacing w:before="0" w:after="0"/>
              <w:jc w:val="center"/>
              <w:rPr>
                <w:b/>
                <w:color w:val="00AE4F"/>
                <w:spacing w:val="0"/>
              </w:rPr>
            </w:pPr>
            <w:r>
              <w:rPr>
                <w:b/>
                <w:color w:val="00AE4F"/>
                <w:spacing w:val="0"/>
              </w:rPr>
              <w:t>(l)</w:t>
            </w:r>
          </w:p>
        </w:tc>
      </w:tr>
      <w:tr>
        <w:trPr/>
        <w:tc>
          <w:tcPr>
            <w:tcW w:w="395" w:type="dxa"/>
            <w:tcBorders/>
            <w:vAlign w:val="center"/>
          </w:tcPr>
          <w:p>
            <w:pPr>
              <w:pStyle w:val="TableContents"/>
              <w:bidi w:val="0"/>
              <w:spacing w:before="0" w:after="283"/>
              <w:jc w:val="left"/>
              <w:rPr>
                <w:sz w:val="4"/>
                <w:szCs w:val="4"/>
              </w:rPr>
            </w:pPr>
            <w:r>
              <w:rPr>
                <w:sz w:val="4"/>
                <w:szCs w:val="4"/>
              </w:rPr>
            </w:r>
          </w:p>
        </w:tc>
        <w:tc>
          <w:tcPr>
            <w:tcW w:w="1189" w:type="dxa"/>
            <w:gridSpan w:val="5"/>
            <w:tcBorders/>
            <w:vAlign w:val="center"/>
          </w:tcPr>
          <w:p>
            <w:pPr>
              <w:pStyle w:val="TableContents"/>
              <w:bidi w:val="0"/>
              <w:spacing w:before="0" w:after="283"/>
              <w:jc w:val="left"/>
              <w:rPr>
                <w:sz w:val="4"/>
                <w:szCs w:val="4"/>
              </w:rPr>
            </w:pPr>
            <w:r>
              <w:rPr>
                <w:sz w:val="4"/>
                <w:szCs w:val="4"/>
              </w:rPr>
            </w:r>
          </w:p>
        </w:tc>
        <w:tc>
          <w:tcPr>
            <w:tcW w:w="1189" w:type="dxa"/>
            <w:gridSpan w:val="5"/>
            <w:tcBorders/>
            <w:vAlign w:val="center"/>
          </w:tcPr>
          <w:p>
            <w:pPr>
              <w:pStyle w:val="TableContents"/>
              <w:bidi w:val="0"/>
              <w:spacing w:before="0" w:after="283"/>
              <w:jc w:val="left"/>
              <w:rPr>
                <w:sz w:val="4"/>
                <w:szCs w:val="4"/>
              </w:rPr>
            </w:pPr>
            <w:r>
              <w:rPr>
                <w:sz w:val="4"/>
                <w:szCs w:val="4"/>
              </w:rPr>
            </w:r>
          </w:p>
        </w:tc>
        <w:tc>
          <w:tcPr>
            <w:tcW w:w="1189" w:type="dxa"/>
            <w:gridSpan w:val="5"/>
            <w:tcBorders/>
            <w:vAlign w:val="center"/>
          </w:tcPr>
          <w:p>
            <w:pPr>
              <w:pStyle w:val="TableContents"/>
              <w:bidi w:val="0"/>
              <w:spacing w:before="0" w:after="283"/>
              <w:jc w:val="left"/>
              <w:rPr>
                <w:sz w:val="4"/>
                <w:szCs w:val="4"/>
              </w:rPr>
            </w:pPr>
            <w:r>
              <w:rPr>
                <w:sz w:val="4"/>
                <w:szCs w:val="4"/>
              </w:rPr>
            </w:r>
          </w:p>
        </w:tc>
        <w:tc>
          <w:tcPr>
            <w:tcW w:w="1189"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898" w:type="dxa"/>
            <w:gridSpan w:val="5"/>
            <w:tcBorders/>
            <w:vAlign w:val="center"/>
          </w:tcPr>
          <w:p>
            <w:pPr>
              <w:pStyle w:val="TableContents"/>
              <w:bidi w:val="0"/>
              <w:spacing w:before="0" w:after="283"/>
              <w:jc w:val="left"/>
              <w:rPr>
                <w:sz w:val="4"/>
                <w:szCs w:val="4"/>
              </w:rPr>
            </w:pPr>
            <w:r>
              <w:rPr>
                <w:sz w:val="4"/>
                <w:szCs w:val="4"/>
              </w:rPr>
            </w:r>
          </w:p>
        </w:tc>
        <w:tc>
          <w:tcPr>
            <w:tcW w:w="889" w:type="dxa"/>
            <w:gridSpan w:val="5"/>
            <w:tcBorders/>
            <w:vAlign w:val="center"/>
          </w:tcPr>
          <w:p>
            <w:pPr>
              <w:pStyle w:val="TableContents"/>
              <w:bidi w:val="0"/>
              <w:spacing w:before="0" w:after="283"/>
              <w:jc w:val="left"/>
              <w:rPr>
                <w:sz w:val="4"/>
                <w:szCs w:val="4"/>
              </w:rPr>
            </w:pPr>
            <w:r>
              <w:rPr>
                <w:sz w:val="4"/>
                <w:szCs w:val="4"/>
              </w:rPr>
            </w:r>
          </w:p>
        </w:tc>
        <w:tc>
          <w:tcPr>
            <w:tcW w:w="889" w:type="dxa"/>
            <w:gridSpan w:val="5"/>
            <w:tcBorders/>
            <w:vAlign w:val="center"/>
          </w:tcPr>
          <w:p>
            <w:pPr>
              <w:pStyle w:val="TableContents"/>
              <w:bidi w:val="0"/>
              <w:spacing w:before="0" w:after="283"/>
              <w:jc w:val="left"/>
              <w:rPr>
                <w:sz w:val="4"/>
                <w:szCs w:val="4"/>
              </w:rPr>
            </w:pPr>
            <w:r>
              <w:rPr>
                <w:sz w:val="4"/>
                <w:szCs w:val="4"/>
              </w:rPr>
            </w:r>
          </w:p>
        </w:tc>
        <w:tc>
          <w:tcPr>
            <w:tcW w:w="973" w:type="dxa"/>
            <w:gridSpan w:val="5"/>
            <w:tcBorders/>
            <w:vAlign w:val="center"/>
          </w:tcPr>
          <w:p>
            <w:pPr>
              <w:pStyle w:val="TableContents"/>
              <w:bidi w:val="0"/>
              <w:spacing w:before="0" w:after="283"/>
              <w:jc w:val="left"/>
              <w:rPr>
                <w:sz w:val="4"/>
                <w:szCs w:val="4"/>
              </w:rPr>
            </w:pPr>
            <w:r>
              <w:rPr>
                <w:sz w:val="4"/>
                <w:szCs w:val="4"/>
              </w:rPr>
            </w:r>
          </w:p>
        </w:tc>
        <w:tc>
          <w:tcPr>
            <w:tcW w:w="1003" w:type="dxa"/>
            <w:gridSpan w:val="5"/>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2025</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980" w:type="dxa"/>
            <w:tcBorders>
              <w:bottom w:val="single" w:sz="6" w:space="0" w:color="7F7F7F"/>
            </w:tcBorders>
            <w:tcMar>
              <w:bottom w:w="40" w:type="dxa"/>
            </w:tcMar>
            <w:vAlign w:val="center"/>
          </w:tcPr>
          <w:p>
            <w:pPr>
              <w:pStyle w:val="TableContents"/>
              <w:bidi w:val="0"/>
              <w:spacing w:before="0" w:after="283"/>
              <w:jc w:val="right"/>
              <w:rPr/>
            </w:pPr>
            <w:r>
              <w:rPr/>
              <w:t>5,207,696</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980" w:type="dxa"/>
            <w:tcBorders>
              <w:bottom w:val="single" w:sz="6" w:space="0" w:color="7F7F7F"/>
            </w:tcBorders>
            <w:tcMar>
              <w:bottom w:w="40" w:type="dxa"/>
            </w:tcMar>
            <w:vAlign w:val="center"/>
          </w:tcPr>
          <w:p>
            <w:pPr>
              <w:pStyle w:val="TableContents"/>
              <w:bidi w:val="0"/>
              <w:spacing w:before="0" w:after="283"/>
              <w:jc w:val="right"/>
              <w:rPr/>
            </w:pPr>
            <w:r>
              <w:rPr/>
              <w:t>3,327,152</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980" w:type="dxa"/>
            <w:tcBorders>
              <w:bottom w:val="single" w:sz="6" w:space="0" w:color="7F7F7F"/>
            </w:tcBorders>
            <w:tcMar>
              <w:bottom w:w="40" w:type="dxa"/>
            </w:tcMar>
            <w:vAlign w:val="center"/>
          </w:tcPr>
          <w:p>
            <w:pPr>
              <w:pStyle w:val="TableContents"/>
              <w:bidi w:val="0"/>
              <w:spacing w:before="0" w:after="283"/>
              <w:jc w:val="right"/>
              <w:rPr/>
            </w:pPr>
            <w:r>
              <w:rPr/>
              <w:t>3,728,739</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980" w:type="dxa"/>
            <w:tcBorders>
              <w:bottom w:val="single" w:sz="6" w:space="0" w:color="7F7F7F"/>
            </w:tcBorders>
            <w:tcMar>
              <w:bottom w:w="40" w:type="dxa"/>
            </w:tcMar>
            <w:vAlign w:val="center"/>
          </w:tcPr>
          <w:p>
            <w:pPr>
              <w:pStyle w:val="TableContents"/>
              <w:bidi w:val="0"/>
              <w:spacing w:before="0" w:after="283"/>
              <w:jc w:val="right"/>
              <w:rPr/>
            </w:pPr>
            <w:r>
              <w:rPr/>
              <w:t>947,848</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78" w:type="dxa"/>
            <w:tcBorders>
              <w:bottom w:val="single" w:sz="6" w:space="0" w:color="7F7F7F"/>
            </w:tcBorders>
            <w:tcMar>
              <w:bottom w:w="40" w:type="dxa"/>
            </w:tcMar>
            <w:vAlign w:val="center"/>
          </w:tcPr>
          <w:p>
            <w:pPr>
              <w:pStyle w:val="TableContents"/>
              <w:bidi w:val="0"/>
              <w:spacing w:before="0" w:after="283"/>
              <w:jc w:val="left"/>
              <w:rPr/>
            </w:pPr>
            <w:r>
              <w:rPr/>
              <w:t>$</w:t>
            </w:r>
          </w:p>
        </w:tc>
        <w:tc>
          <w:tcPr>
            <w:tcW w:w="1252" w:type="dxa"/>
            <w:tcBorders>
              <w:bottom w:val="single" w:sz="6" w:space="0" w:color="7F7F7F"/>
            </w:tcBorders>
            <w:tcMar>
              <w:bottom w:w="40" w:type="dxa"/>
            </w:tcMar>
            <w:vAlign w:val="center"/>
          </w:tcPr>
          <w:p>
            <w:pPr>
              <w:pStyle w:val="TableContents"/>
              <w:bidi w:val="0"/>
              <w:spacing w:before="0" w:after="283"/>
              <w:jc w:val="right"/>
              <w:rPr/>
            </w:pPr>
            <w:r>
              <w:rPr/>
              <w:t>1,223,008</w:t>
            </w:r>
          </w:p>
        </w:tc>
        <w:tc>
          <w:tcPr>
            <w:tcW w:w="3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78" w:type="dxa"/>
            <w:tcBorders>
              <w:bottom w:val="single" w:sz="6" w:space="0" w:color="7F7F7F"/>
            </w:tcBorders>
            <w:tcMar>
              <w:bottom w:w="40" w:type="dxa"/>
            </w:tcMar>
            <w:vAlign w:val="center"/>
          </w:tcPr>
          <w:p>
            <w:pPr>
              <w:pStyle w:val="TableContents"/>
              <w:bidi w:val="0"/>
              <w:spacing w:before="0" w:after="283"/>
              <w:jc w:val="left"/>
              <w:rPr/>
            </w:pPr>
            <w:r>
              <w:rPr/>
              <w:t>$</w:t>
            </w:r>
          </w:p>
        </w:tc>
        <w:tc>
          <w:tcPr>
            <w:tcW w:w="1252" w:type="dxa"/>
            <w:tcBorders>
              <w:bottom w:val="single" w:sz="6" w:space="0" w:color="7F7F7F"/>
            </w:tcBorders>
            <w:tcMar>
              <w:bottom w:w="40" w:type="dxa"/>
            </w:tcMar>
            <w:vAlign w:val="center"/>
          </w:tcPr>
          <w:p>
            <w:pPr>
              <w:pStyle w:val="TableContents"/>
              <w:bidi w:val="0"/>
              <w:spacing w:before="0" w:after="283"/>
              <w:jc w:val="right"/>
              <w:rPr/>
            </w:pPr>
            <w:r>
              <w:rPr/>
              <w:t>648,211</w:t>
            </w:r>
          </w:p>
        </w:tc>
        <w:tc>
          <w:tcPr>
            <w:tcW w:w="3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7F7F7F"/>
            </w:tcBorders>
            <w:tcMar>
              <w:bottom w:w="40" w:type="dxa"/>
            </w:tcMar>
            <w:vAlign w:val="center"/>
          </w:tcPr>
          <w:p>
            <w:pPr>
              <w:pStyle w:val="TableContents"/>
              <w:bidi w:val="0"/>
              <w:spacing w:before="0" w:after="283"/>
              <w:jc w:val="left"/>
              <w:rPr/>
            </w:pPr>
            <w:r>
              <w:rPr/>
              <w:t>$</w:t>
            </w:r>
          </w:p>
        </w:tc>
        <w:tc>
          <w:tcPr>
            <w:tcW w:w="656" w:type="dxa"/>
            <w:tcBorders>
              <w:bottom w:val="single" w:sz="6" w:space="0" w:color="7F7F7F"/>
            </w:tcBorders>
            <w:tcMar>
              <w:bottom w:w="40" w:type="dxa"/>
            </w:tcMar>
            <w:vAlign w:val="center"/>
          </w:tcPr>
          <w:p>
            <w:pPr>
              <w:pStyle w:val="TableContents"/>
              <w:bidi w:val="0"/>
              <w:spacing w:before="0" w:after="283"/>
              <w:jc w:val="right"/>
              <w:rPr/>
            </w:pPr>
            <w:r>
              <w:rPr/>
              <w:t>46.20</w:t>
            </w:r>
          </w:p>
        </w:tc>
        <w:tc>
          <w:tcPr>
            <w:tcW w:w="29"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680" w:type="dxa"/>
            <w:tcBorders>
              <w:bottom w:val="single" w:sz="6" w:space="0" w:color="7F7F7F"/>
            </w:tcBorders>
            <w:tcMar>
              <w:bottom w:w="40" w:type="dxa"/>
            </w:tcMar>
            <w:vAlign w:val="center"/>
          </w:tcPr>
          <w:p>
            <w:pPr>
              <w:pStyle w:val="TableContents"/>
              <w:bidi w:val="0"/>
              <w:spacing w:before="0" w:after="283"/>
              <w:jc w:val="right"/>
              <w:rPr/>
            </w:pPr>
            <w:r>
              <w:rPr/>
              <w:t>45.97</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680" w:type="dxa"/>
            <w:tcBorders>
              <w:bottom w:val="single" w:sz="6" w:space="0" w:color="7F7F7F"/>
            </w:tcBorders>
            <w:tcMar>
              <w:bottom w:w="40" w:type="dxa"/>
            </w:tcMar>
            <w:vAlign w:val="center"/>
          </w:tcPr>
          <w:p>
            <w:pPr>
              <w:pStyle w:val="TableContents"/>
              <w:bidi w:val="0"/>
              <w:spacing w:before="0" w:after="283"/>
              <w:jc w:val="right"/>
              <w:rPr/>
            </w:pPr>
            <w:r>
              <w:rPr/>
              <w:t>121.68</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7F7F7F"/>
            </w:tcBorders>
            <w:tcMar>
              <w:bottom w:w="40" w:type="dxa"/>
            </w:tcMar>
            <w:vAlign w:val="center"/>
          </w:tcPr>
          <w:p>
            <w:pPr>
              <w:pStyle w:val="TableContents"/>
              <w:bidi w:val="0"/>
              <w:spacing w:before="0" w:after="283"/>
              <w:jc w:val="left"/>
              <w:rPr/>
            </w:pPr>
            <w:r>
              <w:rPr/>
              <w:t> </w:t>
            </w:r>
          </w:p>
        </w:tc>
        <w:tc>
          <w:tcPr>
            <w:tcW w:w="752" w:type="dxa"/>
            <w:tcBorders>
              <w:bottom w:val="single" w:sz="6" w:space="0" w:color="7F7F7F"/>
            </w:tcBorders>
            <w:tcMar>
              <w:bottom w:w="40" w:type="dxa"/>
            </w:tcMar>
            <w:vAlign w:val="center"/>
          </w:tcPr>
          <w:p>
            <w:pPr>
              <w:pStyle w:val="TableContents"/>
              <w:bidi w:val="0"/>
              <w:spacing w:before="0" w:after="283"/>
              <w:jc w:val="right"/>
              <w:rPr/>
            </w:pPr>
            <w:r>
              <w:rPr/>
              <w:t>($0.6</w:t>
            </w:r>
          </w:p>
        </w:tc>
        <w:tc>
          <w:tcPr>
            <w:tcW w:w="107" w:type="dxa"/>
            <w:tcBorders>
              <w:bottom w:val="single" w:sz="6" w:space="0" w:color="7F7F7F"/>
            </w:tcBorders>
            <w:tcMar>
              <w:bottom w:w="40" w:type="dxa"/>
            </w:tcMar>
            <w:vAlign w:val="center"/>
          </w:tcPr>
          <w:p>
            <w:pPr>
              <w:pStyle w:val="TableContents"/>
              <w:bidi w:val="0"/>
              <w:spacing w:before="0" w:after="283"/>
              <w:jc w:val="left"/>
              <w:rPr/>
            </w:pPr>
            <w:r>
              <w:rPr/>
              <w:t>)</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7F7F7F"/>
            </w:tcBorders>
            <w:tcMar>
              <w:bottom w:w="40" w:type="dxa"/>
            </w:tcMar>
            <w:vAlign w:val="center"/>
          </w:tcPr>
          <w:p>
            <w:pPr>
              <w:pStyle w:val="TableContents"/>
              <w:bidi w:val="0"/>
              <w:spacing w:before="0" w:after="283"/>
              <w:jc w:val="left"/>
              <w:rPr/>
            </w:pPr>
            <w:r>
              <w:rPr/>
              <w:t> </w:t>
            </w:r>
          </w:p>
        </w:tc>
        <w:tc>
          <w:tcPr>
            <w:tcW w:w="831" w:type="dxa"/>
            <w:tcBorders>
              <w:bottom w:val="single" w:sz="6" w:space="0" w:color="7F7F7F"/>
            </w:tcBorders>
            <w:tcMar>
              <w:bottom w:w="40" w:type="dxa"/>
            </w:tcMar>
            <w:vAlign w:val="center"/>
          </w:tcPr>
          <w:p>
            <w:pPr>
              <w:pStyle w:val="TableContents"/>
              <w:bidi w:val="0"/>
              <w:spacing w:before="0" w:after="283"/>
              <w:jc w:val="center"/>
              <w:rPr/>
            </w:pPr>
            <w:r>
              <w:rPr/>
              <w:t>$143.5</w:t>
            </w:r>
          </w:p>
        </w:tc>
        <w:tc>
          <w:tcPr>
            <w:tcW w:w="48"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sz w:val="4"/>
                <w:szCs w:val="4"/>
              </w:rPr>
            </w:pPr>
            <w:r>
              <w:rPr>
                <w:sz w:val="4"/>
                <w:szCs w:val="4"/>
              </w:rPr>
            </w:r>
          </w:p>
        </w:tc>
        <w:tc>
          <w:tcPr>
            <w:tcW w:w="1189" w:type="dxa"/>
            <w:gridSpan w:val="5"/>
            <w:tcBorders/>
            <w:vAlign w:val="center"/>
          </w:tcPr>
          <w:p>
            <w:pPr>
              <w:pStyle w:val="TableContents"/>
              <w:bidi w:val="0"/>
              <w:spacing w:before="0" w:after="283"/>
              <w:jc w:val="left"/>
              <w:rPr>
                <w:sz w:val="4"/>
                <w:szCs w:val="4"/>
              </w:rPr>
            </w:pPr>
            <w:r>
              <w:rPr>
                <w:sz w:val="4"/>
                <w:szCs w:val="4"/>
              </w:rPr>
            </w:r>
          </w:p>
        </w:tc>
        <w:tc>
          <w:tcPr>
            <w:tcW w:w="1189" w:type="dxa"/>
            <w:gridSpan w:val="5"/>
            <w:tcBorders/>
            <w:vAlign w:val="center"/>
          </w:tcPr>
          <w:p>
            <w:pPr>
              <w:pStyle w:val="TableContents"/>
              <w:bidi w:val="0"/>
              <w:spacing w:before="0" w:after="283"/>
              <w:jc w:val="left"/>
              <w:rPr>
                <w:sz w:val="4"/>
                <w:szCs w:val="4"/>
              </w:rPr>
            </w:pPr>
            <w:r>
              <w:rPr>
                <w:sz w:val="4"/>
                <w:szCs w:val="4"/>
              </w:rPr>
            </w:r>
          </w:p>
        </w:tc>
        <w:tc>
          <w:tcPr>
            <w:tcW w:w="1189" w:type="dxa"/>
            <w:gridSpan w:val="5"/>
            <w:tcBorders/>
            <w:vAlign w:val="center"/>
          </w:tcPr>
          <w:p>
            <w:pPr>
              <w:pStyle w:val="TableContents"/>
              <w:bidi w:val="0"/>
              <w:spacing w:before="0" w:after="283"/>
              <w:jc w:val="left"/>
              <w:rPr>
                <w:sz w:val="4"/>
                <w:szCs w:val="4"/>
              </w:rPr>
            </w:pPr>
            <w:r>
              <w:rPr>
                <w:sz w:val="4"/>
                <w:szCs w:val="4"/>
              </w:rPr>
            </w:r>
          </w:p>
        </w:tc>
        <w:tc>
          <w:tcPr>
            <w:tcW w:w="1189"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898" w:type="dxa"/>
            <w:gridSpan w:val="5"/>
            <w:tcBorders/>
            <w:vAlign w:val="center"/>
          </w:tcPr>
          <w:p>
            <w:pPr>
              <w:pStyle w:val="TableContents"/>
              <w:bidi w:val="0"/>
              <w:spacing w:before="0" w:after="283"/>
              <w:jc w:val="left"/>
              <w:rPr>
                <w:sz w:val="4"/>
                <w:szCs w:val="4"/>
              </w:rPr>
            </w:pPr>
            <w:r>
              <w:rPr>
                <w:sz w:val="4"/>
                <w:szCs w:val="4"/>
              </w:rPr>
            </w:r>
          </w:p>
        </w:tc>
        <w:tc>
          <w:tcPr>
            <w:tcW w:w="889" w:type="dxa"/>
            <w:gridSpan w:val="5"/>
            <w:tcBorders/>
            <w:vAlign w:val="center"/>
          </w:tcPr>
          <w:p>
            <w:pPr>
              <w:pStyle w:val="TableContents"/>
              <w:bidi w:val="0"/>
              <w:spacing w:before="0" w:after="283"/>
              <w:jc w:val="left"/>
              <w:rPr>
                <w:sz w:val="4"/>
                <w:szCs w:val="4"/>
              </w:rPr>
            </w:pPr>
            <w:r>
              <w:rPr>
                <w:sz w:val="4"/>
                <w:szCs w:val="4"/>
              </w:rPr>
            </w:r>
          </w:p>
        </w:tc>
        <w:tc>
          <w:tcPr>
            <w:tcW w:w="889" w:type="dxa"/>
            <w:gridSpan w:val="5"/>
            <w:tcBorders/>
            <w:vAlign w:val="center"/>
          </w:tcPr>
          <w:p>
            <w:pPr>
              <w:pStyle w:val="TableContents"/>
              <w:bidi w:val="0"/>
              <w:spacing w:before="0" w:after="283"/>
              <w:jc w:val="left"/>
              <w:rPr>
                <w:sz w:val="4"/>
                <w:szCs w:val="4"/>
              </w:rPr>
            </w:pPr>
            <w:r>
              <w:rPr>
                <w:sz w:val="4"/>
                <w:szCs w:val="4"/>
              </w:rPr>
            </w:r>
          </w:p>
        </w:tc>
        <w:tc>
          <w:tcPr>
            <w:tcW w:w="973" w:type="dxa"/>
            <w:gridSpan w:val="5"/>
            <w:tcBorders/>
            <w:vAlign w:val="center"/>
          </w:tcPr>
          <w:p>
            <w:pPr>
              <w:pStyle w:val="TableContents"/>
              <w:bidi w:val="0"/>
              <w:spacing w:before="0" w:after="283"/>
              <w:jc w:val="left"/>
              <w:rPr>
                <w:sz w:val="4"/>
                <w:szCs w:val="4"/>
              </w:rPr>
            </w:pPr>
            <w:r>
              <w:rPr>
                <w:sz w:val="4"/>
                <w:szCs w:val="4"/>
              </w:rPr>
            </w:r>
          </w:p>
        </w:tc>
        <w:tc>
          <w:tcPr>
            <w:tcW w:w="1003" w:type="dxa"/>
            <w:gridSpan w:val="5"/>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2024</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center"/>
              <w:rPr/>
            </w:pPr>
            <w:r>
              <w:rPr/>
              <w:t>n/a</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980" w:type="dxa"/>
            <w:tcBorders>
              <w:bottom w:val="single" w:sz="6" w:space="0" w:color="7F7F7F"/>
            </w:tcBorders>
            <w:tcMar>
              <w:bottom w:w="40" w:type="dxa"/>
            </w:tcMar>
            <w:vAlign w:val="center"/>
          </w:tcPr>
          <w:p>
            <w:pPr>
              <w:pStyle w:val="TableContents"/>
              <w:bidi w:val="0"/>
              <w:spacing w:before="0" w:after="283"/>
              <w:jc w:val="right"/>
              <w:rPr/>
            </w:pPr>
            <w:r>
              <w:rPr/>
              <w:t>4,128,439</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center"/>
              <w:rPr/>
            </w:pPr>
            <w:r>
              <w:rPr/>
              <w:t>n/a</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980" w:type="dxa"/>
            <w:tcBorders>
              <w:bottom w:val="single" w:sz="6" w:space="0" w:color="7F7F7F"/>
            </w:tcBorders>
            <w:tcMar>
              <w:bottom w:w="40" w:type="dxa"/>
            </w:tcMar>
            <w:vAlign w:val="center"/>
          </w:tcPr>
          <w:p>
            <w:pPr>
              <w:pStyle w:val="TableContents"/>
              <w:bidi w:val="0"/>
              <w:spacing w:before="0" w:after="283"/>
              <w:jc w:val="right"/>
              <w:rPr/>
            </w:pPr>
            <w:r>
              <w:rPr/>
              <w:t>1,118,668</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78" w:type="dxa"/>
            <w:tcBorders>
              <w:bottom w:val="single" w:sz="6" w:space="0" w:color="7F7F7F"/>
            </w:tcBorders>
            <w:tcMar>
              <w:bottom w:w="40" w:type="dxa"/>
            </w:tcMar>
            <w:vAlign w:val="center"/>
          </w:tcPr>
          <w:p>
            <w:pPr>
              <w:pStyle w:val="TableContents"/>
              <w:bidi w:val="0"/>
              <w:spacing w:before="0" w:after="283"/>
              <w:jc w:val="left"/>
              <w:rPr/>
            </w:pPr>
            <w:r>
              <w:rPr/>
              <w:t>$</w:t>
            </w:r>
          </w:p>
        </w:tc>
        <w:tc>
          <w:tcPr>
            <w:tcW w:w="1252" w:type="dxa"/>
            <w:tcBorders>
              <w:bottom w:val="single" w:sz="6" w:space="0" w:color="7F7F7F"/>
            </w:tcBorders>
            <w:tcMar>
              <w:bottom w:w="40" w:type="dxa"/>
            </w:tcMar>
            <w:vAlign w:val="center"/>
          </w:tcPr>
          <w:p>
            <w:pPr>
              <w:pStyle w:val="TableContents"/>
              <w:bidi w:val="0"/>
              <w:spacing w:before="0" w:after="283"/>
              <w:jc w:val="right"/>
              <w:rPr/>
            </w:pPr>
            <w:r>
              <w:rPr/>
              <w:t>1,980,551</w:t>
            </w:r>
          </w:p>
        </w:tc>
        <w:tc>
          <w:tcPr>
            <w:tcW w:w="3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78" w:type="dxa"/>
            <w:tcBorders>
              <w:bottom w:val="single" w:sz="6" w:space="0" w:color="7F7F7F"/>
            </w:tcBorders>
            <w:tcMar>
              <w:bottom w:w="40" w:type="dxa"/>
            </w:tcMar>
            <w:vAlign w:val="center"/>
          </w:tcPr>
          <w:p>
            <w:pPr>
              <w:pStyle w:val="TableContents"/>
              <w:bidi w:val="0"/>
              <w:spacing w:before="0" w:after="283"/>
              <w:jc w:val="left"/>
              <w:rPr/>
            </w:pPr>
            <w:r>
              <w:rPr/>
              <w:t>$</w:t>
            </w:r>
          </w:p>
        </w:tc>
        <w:tc>
          <w:tcPr>
            <w:tcW w:w="1252" w:type="dxa"/>
            <w:tcBorders>
              <w:bottom w:val="single" w:sz="6" w:space="0" w:color="7F7F7F"/>
            </w:tcBorders>
            <w:tcMar>
              <w:bottom w:w="40" w:type="dxa"/>
            </w:tcMar>
            <w:vAlign w:val="center"/>
          </w:tcPr>
          <w:p>
            <w:pPr>
              <w:pStyle w:val="TableContents"/>
              <w:bidi w:val="0"/>
              <w:spacing w:before="0" w:after="283"/>
              <w:jc w:val="right"/>
              <w:rPr/>
            </w:pPr>
            <w:r>
              <w:rPr/>
              <w:t>1,100,670</w:t>
            </w:r>
          </w:p>
        </w:tc>
        <w:tc>
          <w:tcPr>
            <w:tcW w:w="3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7F7F7F"/>
            </w:tcBorders>
            <w:tcMar>
              <w:bottom w:w="40" w:type="dxa"/>
            </w:tcMar>
            <w:vAlign w:val="center"/>
          </w:tcPr>
          <w:p>
            <w:pPr>
              <w:pStyle w:val="TableContents"/>
              <w:bidi w:val="0"/>
              <w:spacing w:before="0" w:after="283"/>
              <w:jc w:val="left"/>
              <w:rPr/>
            </w:pPr>
            <w:r>
              <w:rPr/>
              <w:t>$</w:t>
            </w:r>
          </w:p>
        </w:tc>
        <w:tc>
          <w:tcPr>
            <w:tcW w:w="656" w:type="dxa"/>
            <w:tcBorders>
              <w:bottom w:val="single" w:sz="6" w:space="0" w:color="7F7F7F"/>
            </w:tcBorders>
            <w:tcMar>
              <w:bottom w:w="40" w:type="dxa"/>
            </w:tcMar>
            <w:vAlign w:val="center"/>
          </w:tcPr>
          <w:p>
            <w:pPr>
              <w:pStyle w:val="TableContents"/>
              <w:bidi w:val="0"/>
              <w:spacing w:before="0" w:after="283"/>
              <w:jc w:val="right"/>
              <w:rPr/>
            </w:pPr>
            <w:r>
              <w:rPr/>
              <w:t>65.24</w:t>
            </w:r>
          </w:p>
        </w:tc>
        <w:tc>
          <w:tcPr>
            <w:tcW w:w="29"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680" w:type="dxa"/>
            <w:tcBorders>
              <w:bottom w:val="single" w:sz="6" w:space="0" w:color="7F7F7F"/>
            </w:tcBorders>
            <w:tcMar>
              <w:bottom w:w="40" w:type="dxa"/>
            </w:tcMar>
            <w:vAlign w:val="center"/>
          </w:tcPr>
          <w:p>
            <w:pPr>
              <w:pStyle w:val="TableContents"/>
              <w:bidi w:val="0"/>
              <w:spacing w:before="0" w:after="283"/>
              <w:jc w:val="right"/>
              <w:rPr/>
            </w:pPr>
            <w:r>
              <w:rPr/>
              <w:t>67.64</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680" w:type="dxa"/>
            <w:tcBorders>
              <w:bottom w:val="single" w:sz="6" w:space="0" w:color="7F7F7F"/>
            </w:tcBorders>
            <w:tcMar>
              <w:bottom w:w="40" w:type="dxa"/>
            </w:tcMar>
            <w:vAlign w:val="center"/>
          </w:tcPr>
          <w:p>
            <w:pPr>
              <w:pStyle w:val="TableContents"/>
              <w:bidi w:val="0"/>
              <w:spacing w:before="0" w:after="283"/>
              <w:jc w:val="right"/>
              <w:rPr/>
            </w:pPr>
            <w:r>
              <w:rPr/>
              <w:t>143.93</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7F7F7F"/>
            </w:tcBorders>
            <w:tcMar>
              <w:bottom w:w="40" w:type="dxa"/>
            </w:tcMar>
            <w:vAlign w:val="center"/>
          </w:tcPr>
          <w:p>
            <w:pPr>
              <w:pStyle w:val="TableContents"/>
              <w:bidi w:val="0"/>
              <w:spacing w:before="0" w:after="283"/>
              <w:jc w:val="left"/>
              <w:rPr/>
            </w:pPr>
            <w:r>
              <w:rPr/>
              <w:t> </w:t>
            </w:r>
          </w:p>
        </w:tc>
        <w:tc>
          <w:tcPr>
            <w:tcW w:w="752" w:type="dxa"/>
            <w:tcBorders>
              <w:bottom w:val="single" w:sz="6" w:space="0" w:color="7F7F7F"/>
            </w:tcBorders>
            <w:tcMar>
              <w:bottom w:w="40" w:type="dxa"/>
            </w:tcMar>
            <w:vAlign w:val="center"/>
          </w:tcPr>
          <w:p>
            <w:pPr>
              <w:pStyle w:val="TableContents"/>
              <w:bidi w:val="0"/>
              <w:spacing w:before="0" w:after="283"/>
              <w:jc w:val="right"/>
              <w:rPr/>
            </w:pPr>
            <w:r>
              <w:rPr/>
              <w:t>($0.6</w:t>
            </w:r>
          </w:p>
        </w:tc>
        <w:tc>
          <w:tcPr>
            <w:tcW w:w="107" w:type="dxa"/>
            <w:tcBorders>
              <w:bottom w:val="single" w:sz="6" w:space="0" w:color="7F7F7F"/>
            </w:tcBorders>
            <w:tcMar>
              <w:bottom w:w="40" w:type="dxa"/>
            </w:tcMar>
            <w:vAlign w:val="center"/>
          </w:tcPr>
          <w:p>
            <w:pPr>
              <w:pStyle w:val="TableContents"/>
              <w:bidi w:val="0"/>
              <w:spacing w:before="0" w:after="283"/>
              <w:jc w:val="left"/>
              <w:rPr/>
            </w:pPr>
            <w:r>
              <w:rPr/>
              <w:t>)</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7F7F7F"/>
            </w:tcBorders>
            <w:tcMar>
              <w:bottom w:w="40" w:type="dxa"/>
            </w:tcMar>
            <w:vAlign w:val="center"/>
          </w:tcPr>
          <w:p>
            <w:pPr>
              <w:pStyle w:val="TableContents"/>
              <w:bidi w:val="0"/>
              <w:spacing w:before="0" w:after="283"/>
              <w:jc w:val="left"/>
              <w:rPr/>
            </w:pPr>
            <w:r>
              <w:rPr/>
              <w:t> </w:t>
            </w:r>
          </w:p>
        </w:tc>
        <w:tc>
          <w:tcPr>
            <w:tcW w:w="831" w:type="dxa"/>
            <w:tcBorders>
              <w:bottom w:val="single" w:sz="6" w:space="0" w:color="7F7F7F"/>
            </w:tcBorders>
            <w:tcMar>
              <w:bottom w:w="40" w:type="dxa"/>
            </w:tcMar>
            <w:vAlign w:val="center"/>
          </w:tcPr>
          <w:p>
            <w:pPr>
              <w:pStyle w:val="TableContents"/>
              <w:bidi w:val="0"/>
              <w:spacing w:before="0" w:after="283"/>
              <w:jc w:val="center"/>
              <w:rPr/>
            </w:pPr>
            <w:r>
              <w:rPr/>
              <w:t>$143.5</w:t>
            </w:r>
          </w:p>
        </w:tc>
        <w:tc>
          <w:tcPr>
            <w:tcW w:w="48"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sz w:val="4"/>
                <w:szCs w:val="4"/>
              </w:rPr>
            </w:pPr>
            <w:r>
              <w:rPr>
                <w:sz w:val="4"/>
                <w:szCs w:val="4"/>
              </w:rPr>
            </w:r>
          </w:p>
        </w:tc>
        <w:tc>
          <w:tcPr>
            <w:tcW w:w="1189" w:type="dxa"/>
            <w:gridSpan w:val="5"/>
            <w:tcBorders/>
            <w:vAlign w:val="center"/>
          </w:tcPr>
          <w:p>
            <w:pPr>
              <w:pStyle w:val="TableContents"/>
              <w:bidi w:val="0"/>
              <w:spacing w:before="0" w:after="283"/>
              <w:jc w:val="left"/>
              <w:rPr>
                <w:sz w:val="4"/>
                <w:szCs w:val="4"/>
              </w:rPr>
            </w:pPr>
            <w:r>
              <w:rPr>
                <w:sz w:val="4"/>
                <w:szCs w:val="4"/>
              </w:rPr>
            </w:r>
          </w:p>
        </w:tc>
        <w:tc>
          <w:tcPr>
            <w:tcW w:w="1189" w:type="dxa"/>
            <w:gridSpan w:val="5"/>
            <w:tcBorders/>
            <w:vAlign w:val="center"/>
          </w:tcPr>
          <w:p>
            <w:pPr>
              <w:pStyle w:val="TableContents"/>
              <w:bidi w:val="0"/>
              <w:spacing w:before="0" w:after="283"/>
              <w:jc w:val="left"/>
              <w:rPr>
                <w:sz w:val="4"/>
                <w:szCs w:val="4"/>
              </w:rPr>
            </w:pPr>
            <w:r>
              <w:rPr>
                <w:sz w:val="4"/>
                <w:szCs w:val="4"/>
              </w:rPr>
            </w:r>
          </w:p>
        </w:tc>
        <w:tc>
          <w:tcPr>
            <w:tcW w:w="1189" w:type="dxa"/>
            <w:gridSpan w:val="5"/>
            <w:tcBorders/>
            <w:vAlign w:val="center"/>
          </w:tcPr>
          <w:p>
            <w:pPr>
              <w:pStyle w:val="TableContents"/>
              <w:bidi w:val="0"/>
              <w:spacing w:before="0" w:after="283"/>
              <w:jc w:val="left"/>
              <w:rPr>
                <w:sz w:val="4"/>
                <w:szCs w:val="4"/>
              </w:rPr>
            </w:pPr>
            <w:r>
              <w:rPr>
                <w:sz w:val="4"/>
                <w:szCs w:val="4"/>
              </w:rPr>
            </w:r>
          </w:p>
        </w:tc>
        <w:tc>
          <w:tcPr>
            <w:tcW w:w="1189"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898" w:type="dxa"/>
            <w:gridSpan w:val="5"/>
            <w:tcBorders/>
            <w:vAlign w:val="center"/>
          </w:tcPr>
          <w:p>
            <w:pPr>
              <w:pStyle w:val="TableContents"/>
              <w:bidi w:val="0"/>
              <w:spacing w:before="0" w:after="283"/>
              <w:jc w:val="left"/>
              <w:rPr>
                <w:sz w:val="4"/>
                <w:szCs w:val="4"/>
              </w:rPr>
            </w:pPr>
            <w:r>
              <w:rPr>
                <w:sz w:val="4"/>
                <w:szCs w:val="4"/>
              </w:rPr>
            </w:r>
          </w:p>
        </w:tc>
        <w:tc>
          <w:tcPr>
            <w:tcW w:w="889" w:type="dxa"/>
            <w:gridSpan w:val="5"/>
            <w:tcBorders/>
            <w:vAlign w:val="center"/>
          </w:tcPr>
          <w:p>
            <w:pPr>
              <w:pStyle w:val="TableContents"/>
              <w:bidi w:val="0"/>
              <w:spacing w:before="0" w:after="283"/>
              <w:jc w:val="left"/>
              <w:rPr>
                <w:sz w:val="4"/>
                <w:szCs w:val="4"/>
              </w:rPr>
            </w:pPr>
            <w:r>
              <w:rPr>
                <w:sz w:val="4"/>
                <w:szCs w:val="4"/>
              </w:rPr>
            </w:r>
          </w:p>
        </w:tc>
        <w:tc>
          <w:tcPr>
            <w:tcW w:w="889" w:type="dxa"/>
            <w:gridSpan w:val="5"/>
            <w:tcBorders/>
            <w:vAlign w:val="center"/>
          </w:tcPr>
          <w:p>
            <w:pPr>
              <w:pStyle w:val="TableContents"/>
              <w:bidi w:val="0"/>
              <w:spacing w:before="0" w:after="283"/>
              <w:jc w:val="left"/>
              <w:rPr>
                <w:sz w:val="4"/>
                <w:szCs w:val="4"/>
              </w:rPr>
            </w:pPr>
            <w:r>
              <w:rPr>
                <w:sz w:val="4"/>
                <w:szCs w:val="4"/>
              </w:rPr>
            </w:r>
          </w:p>
        </w:tc>
        <w:tc>
          <w:tcPr>
            <w:tcW w:w="973" w:type="dxa"/>
            <w:gridSpan w:val="5"/>
            <w:tcBorders/>
            <w:vAlign w:val="center"/>
          </w:tcPr>
          <w:p>
            <w:pPr>
              <w:pStyle w:val="TableContents"/>
              <w:bidi w:val="0"/>
              <w:spacing w:before="0" w:after="283"/>
              <w:jc w:val="left"/>
              <w:rPr>
                <w:sz w:val="4"/>
                <w:szCs w:val="4"/>
              </w:rPr>
            </w:pPr>
            <w:r>
              <w:rPr>
                <w:sz w:val="4"/>
                <w:szCs w:val="4"/>
              </w:rPr>
            </w:r>
          </w:p>
        </w:tc>
        <w:tc>
          <w:tcPr>
            <w:tcW w:w="1003" w:type="dxa"/>
            <w:gridSpan w:val="5"/>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2023</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center"/>
              <w:rPr/>
            </w:pPr>
            <w:r>
              <w:rPr/>
              <w:t>n/a</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980" w:type="dxa"/>
            <w:tcBorders>
              <w:bottom w:val="single" w:sz="6" w:space="0" w:color="7F7F7F"/>
            </w:tcBorders>
            <w:tcMar>
              <w:bottom w:w="40" w:type="dxa"/>
            </w:tcMar>
            <w:vAlign w:val="center"/>
          </w:tcPr>
          <w:p>
            <w:pPr>
              <w:pStyle w:val="TableContents"/>
              <w:bidi w:val="0"/>
              <w:spacing w:before="0" w:after="283"/>
              <w:jc w:val="right"/>
              <w:rPr/>
            </w:pPr>
            <w:r>
              <w:rPr/>
              <w:t>4,163,424</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center"/>
              <w:rPr/>
            </w:pPr>
            <w:r>
              <w:rPr/>
              <w:t>n/a</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980" w:type="dxa"/>
            <w:tcBorders>
              <w:bottom w:val="single" w:sz="6" w:space="0" w:color="7F7F7F"/>
            </w:tcBorders>
            <w:tcMar>
              <w:bottom w:w="40" w:type="dxa"/>
            </w:tcMar>
            <w:vAlign w:val="center"/>
          </w:tcPr>
          <w:p>
            <w:pPr>
              <w:pStyle w:val="TableContents"/>
              <w:bidi w:val="0"/>
              <w:spacing w:before="0" w:after="283"/>
              <w:jc w:val="right"/>
              <w:rPr/>
            </w:pPr>
            <w:r>
              <w:rPr/>
              <w:t>4,313,597</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78" w:type="dxa"/>
            <w:tcBorders>
              <w:bottom w:val="single" w:sz="6" w:space="0" w:color="7F7F7F"/>
            </w:tcBorders>
            <w:tcMar>
              <w:bottom w:w="40" w:type="dxa"/>
            </w:tcMar>
            <w:vAlign w:val="center"/>
          </w:tcPr>
          <w:p>
            <w:pPr>
              <w:pStyle w:val="TableContents"/>
              <w:bidi w:val="0"/>
              <w:spacing w:before="0" w:after="283"/>
              <w:jc w:val="left"/>
              <w:rPr/>
            </w:pPr>
            <w:r>
              <w:rPr/>
              <w:t>$</w:t>
            </w:r>
          </w:p>
        </w:tc>
        <w:tc>
          <w:tcPr>
            <w:tcW w:w="1252" w:type="dxa"/>
            <w:tcBorders>
              <w:bottom w:val="single" w:sz="6" w:space="0" w:color="7F7F7F"/>
            </w:tcBorders>
            <w:tcMar>
              <w:bottom w:w="40" w:type="dxa"/>
            </w:tcMar>
            <w:vAlign w:val="center"/>
          </w:tcPr>
          <w:p>
            <w:pPr>
              <w:pStyle w:val="TableContents"/>
              <w:bidi w:val="0"/>
              <w:spacing w:before="0" w:after="283"/>
              <w:jc w:val="right"/>
              <w:rPr/>
            </w:pPr>
            <w:r>
              <w:rPr/>
              <w:t>1,407,120</w:t>
            </w:r>
          </w:p>
        </w:tc>
        <w:tc>
          <w:tcPr>
            <w:tcW w:w="3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78" w:type="dxa"/>
            <w:tcBorders>
              <w:bottom w:val="single" w:sz="6" w:space="0" w:color="7F7F7F"/>
            </w:tcBorders>
            <w:tcMar>
              <w:bottom w:w="40" w:type="dxa"/>
            </w:tcMar>
            <w:vAlign w:val="center"/>
          </w:tcPr>
          <w:p>
            <w:pPr>
              <w:pStyle w:val="TableContents"/>
              <w:bidi w:val="0"/>
              <w:spacing w:before="0" w:after="283"/>
              <w:jc w:val="left"/>
              <w:rPr/>
            </w:pPr>
            <w:r>
              <w:rPr/>
              <w:t>$</w:t>
            </w:r>
          </w:p>
        </w:tc>
        <w:tc>
          <w:tcPr>
            <w:tcW w:w="1252" w:type="dxa"/>
            <w:tcBorders>
              <w:bottom w:val="single" w:sz="6" w:space="0" w:color="7F7F7F"/>
            </w:tcBorders>
            <w:tcMar>
              <w:bottom w:w="40" w:type="dxa"/>
            </w:tcMar>
            <w:vAlign w:val="center"/>
          </w:tcPr>
          <w:p>
            <w:pPr>
              <w:pStyle w:val="TableContents"/>
              <w:bidi w:val="0"/>
              <w:spacing w:before="0" w:after="283"/>
              <w:jc w:val="right"/>
              <w:rPr/>
            </w:pPr>
            <w:r>
              <w:rPr/>
              <w:t>1,555,635</w:t>
            </w:r>
          </w:p>
        </w:tc>
        <w:tc>
          <w:tcPr>
            <w:tcW w:w="3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7F7F7F"/>
            </w:tcBorders>
            <w:tcMar>
              <w:bottom w:w="40" w:type="dxa"/>
            </w:tcMar>
            <w:vAlign w:val="center"/>
          </w:tcPr>
          <w:p>
            <w:pPr>
              <w:pStyle w:val="TableContents"/>
              <w:bidi w:val="0"/>
              <w:spacing w:before="0" w:after="283"/>
              <w:jc w:val="left"/>
              <w:rPr/>
            </w:pPr>
            <w:r>
              <w:rPr/>
              <w:t>$</w:t>
            </w:r>
          </w:p>
        </w:tc>
        <w:tc>
          <w:tcPr>
            <w:tcW w:w="656" w:type="dxa"/>
            <w:tcBorders>
              <w:bottom w:val="single" w:sz="6" w:space="0" w:color="7F7F7F"/>
            </w:tcBorders>
            <w:tcMar>
              <w:bottom w:w="40" w:type="dxa"/>
            </w:tcMar>
            <w:vAlign w:val="center"/>
          </w:tcPr>
          <w:p>
            <w:pPr>
              <w:pStyle w:val="TableContents"/>
              <w:bidi w:val="0"/>
              <w:spacing w:before="0" w:after="283"/>
              <w:jc w:val="right"/>
              <w:rPr/>
            </w:pPr>
            <w:r>
              <w:rPr/>
              <w:t>99.65</w:t>
            </w:r>
          </w:p>
        </w:tc>
        <w:tc>
          <w:tcPr>
            <w:tcW w:w="29"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680" w:type="dxa"/>
            <w:tcBorders>
              <w:bottom w:val="single" w:sz="6" w:space="0" w:color="7F7F7F"/>
            </w:tcBorders>
            <w:tcMar>
              <w:bottom w:w="40" w:type="dxa"/>
            </w:tcMar>
            <w:vAlign w:val="center"/>
          </w:tcPr>
          <w:p>
            <w:pPr>
              <w:pStyle w:val="TableContents"/>
              <w:bidi w:val="0"/>
              <w:spacing w:before="0" w:after="283"/>
              <w:jc w:val="right"/>
              <w:rPr/>
            </w:pPr>
            <w:r>
              <w:rPr/>
              <w:t>103.53</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680" w:type="dxa"/>
            <w:tcBorders>
              <w:bottom w:val="single" w:sz="6" w:space="0" w:color="7F7F7F"/>
            </w:tcBorders>
            <w:tcMar>
              <w:bottom w:w="40" w:type="dxa"/>
            </w:tcMar>
            <w:vAlign w:val="center"/>
          </w:tcPr>
          <w:p>
            <w:pPr>
              <w:pStyle w:val="TableContents"/>
              <w:bidi w:val="0"/>
              <w:spacing w:before="0" w:after="283"/>
              <w:jc w:val="right"/>
              <w:rPr/>
            </w:pPr>
            <w:r>
              <w:rPr/>
              <w:t>121.22</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7F7F7F"/>
            </w:tcBorders>
            <w:tcMar>
              <w:bottom w:w="40" w:type="dxa"/>
            </w:tcMar>
            <w:vAlign w:val="center"/>
          </w:tcPr>
          <w:p>
            <w:pPr>
              <w:pStyle w:val="TableContents"/>
              <w:bidi w:val="0"/>
              <w:spacing w:before="0" w:after="283"/>
              <w:jc w:val="left"/>
              <w:rPr/>
            </w:pPr>
            <w:r>
              <w:rPr/>
              <w:t> </w:t>
            </w:r>
          </w:p>
        </w:tc>
        <w:tc>
          <w:tcPr>
            <w:tcW w:w="752" w:type="dxa"/>
            <w:tcBorders>
              <w:bottom w:val="single" w:sz="6" w:space="0" w:color="7F7F7F"/>
            </w:tcBorders>
            <w:tcMar>
              <w:bottom w:w="40" w:type="dxa"/>
            </w:tcMar>
            <w:vAlign w:val="center"/>
          </w:tcPr>
          <w:p>
            <w:pPr>
              <w:pStyle w:val="TableContents"/>
              <w:bidi w:val="0"/>
              <w:spacing w:before="0" w:after="283"/>
              <w:jc w:val="right"/>
              <w:rPr/>
            </w:pPr>
            <w:r>
              <w:rPr/>
              <w:t>$36.4</w:t>
            </w:r>
          </w:p>
        </w:tc>
        <w:tc>
          <w:tcPr>
            <w:tcW w:w="107"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7F7F7F"/>
            </w:tcBorders>
            <w:tcMar>
              <w:bottom w:w="40" w:type="dxa"/>
            </w:tcMar>
            <w:vAlign w:val="center"/>
          </w:tcPr>
          <w:p>
            <w:pPr>
              <w:pStyle w:val="TableContents"/>
              <w:bidi w:val="0"/>
              <w:spacing w:before="0" w:after="283"/>
              <w:jc w:val="left"/>
              <w:rPr/>
            </w:pPr>
            <w:r>
              <w:rPr/>
              <w:t> </w:t>
            </w:r>
          </w:p>
        </w:tc>
        <w:tc>
          <w:tcPr>
            <w:tcW w:w="831" w:type="dxa"/>
            <w:tcBorders>
              <w:bottom w:val="single" w:sz="6" w:space="0" w:color="7F7F7F"/>
            </w:tcBorders>
            <w:tcMar>
              <w:bottom w:w="40" w:type="dxa"/>
            </w:tcMar>
            <w:vAlign w:val="center"/>
          </w:tcPr>
          <w:p>
            <w:pPr>
              <w:pStyle w:val="TableContents"/>
              <w:bidi w:val="0"/>
              <w:spacing w:before="0" w:after="283"/>
              <w:jc w:val="center"/>
              <w:rPr/>
            </w:pPr>
            <w:r>
              <w:rPr/>
              <w:t>$109.4</w:t>
            </w:r>
          </w:p>
        </w:tc>
        <w:tc>
          <w:tcPr>
            <w:tcW w:w="48"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sz w:val="4"/>
                <w:szCs w:val="4"/>
              </w:rPr>
            </w:pPr>
            <w:r>
              <w:rPr>
                <w:sz w:val="4"/>
                <w:szCs w:val="4"/>
              </w:rPr>
            </w:r>
          </w:p>
        </w:tc>
        <w:tc>
          <w:tcPr>
            <w:tcW w:w="1189" w:type="dxa"/>
            <w:gridSpan w:val="5"/>
            <w:tcBorders/>
            <w:vAlign w:val="center"/>
          </w:tcPr>
          <w:p>
            <w:pPr>
              <w:pStyle w:val="TableContents"/>
              <w:bidi w:val="0"/>
              <w:spacing w:before="0" w:after="283"/>
              <w:jc w:val="left"/>
              <w:rPr>
                <w:sz w:val="4"/>
                <w:szCs w:val="4"/>
              </w:rPr>
            </w:pPr>
            <w:r>
              <w:rPr>
                <w:sz w:val="4"/>
                <w:szCs w:val="4"/>
              </w:rPr>
            </w:r>
          </w:p>
        </w:tc>
        <w:tc>
          <w:tcPr>
            <w:tcW w:w="1189" w:type="dxa"/>
            <w:gridSpan w:val="5"/>
            <w:tcBorders/>
            <w:vAlign w:val="center"/>
          </w:tcPr>
          <w:p>
            <w:pPr>
              <w:pStyle w:val="TableContents"/>
              <w:bidi w:val="0"/>
              <w:spacing w:before="0" w:after="283"/>
              <w:jc w:val="left"/>
              <w:rPr>
                <w:sz w:val="4"/>
                <w:szCs w:val="4"/>
              </w:rPr>
            </w:pPr>
            <w:r>
              <w:rPr>
                <w:sz w:val="4"/>
                <w:szCs w:val="4"/>
              </w:rPr>
            </w:r>
          </w:p>
        </w:tc>
        <w:tc>
          <w:tcPr>
            <w:tcW w:w="1189" w:type="dxa"/>
            <w:gridSpan w:val="5"/>
            <w:tcBorders/>
            <w:vAlign w:val="center"/>
          </w:tcPr>
          <w:p>
            <w:pPr>
              <w:pStyle w:val="TableContents"/>
              <w:bidi w:val="0"/>
              <w:spacing w:before="0" w:after="283"/>
              <w:jc w:val="left"/>
              <w:rPr>
                <w:sz w:val="4"/>
                <w:szCs w:val="4"/>
              </w:rPr>
            </w:pPr>
            <w:r>
              <w:rPr>
                <w:sz w:val="4"/>
                <w:szCs w:val="4"/>
              </w:rPr>
            </w:r>
          </w:p>
        </w:tc>
        <w:tc>
          <w:tcPr>
            <w:tcW w:w="1189"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898" w:type="dxa"/>
            <w:gridSpan w:val="5"/>
            <w:tcBorders/>
            <w:vAlign w:val="center"/>
          </w:tcPr>
          <w:p>
            <w:pPr>
              <w:pStyle w:val="TableContents"/>
              <w:bidi w:val="0"/>
              <w:spacing w:before="0" w:after="283"/>
              <w:jc w:val="left"/>
              <w:rPr>
                <w:sz w:val="4"/>
                <w:szCs w:val="4"/>
              </w:rPr>
            </w:pPr>
            <w:r>
              <w:rPr>
                <w:sz w:val="4"/>
                <w:szCs w:val="4"/>
              </w:rPr>
            </w:r>
          </w:p>
        </w:tc>
        <w:tc>
          <w:tcPr>
            <w:tcW w:w="889" w:type="dxa"/>
            <w:gridSpan w:val="5"/>
            <w:tcBorders/>
            <w:vAlign w:val="center"/>
          </w:tcPr>
          <w:p>
            <w:pPr>
              <w:pStyle w:val="TableContents"/>
              <w:bidi w:val="0"/>
              <w:spacing w:before="0" w:after="283"/>
              <w:jc w:val="left"/>
              <w:rPr>
                <w:sz w:val="4"/>
                <w:szCs w:val="4"/>
              </w:rPr>
            </w:pPr>
            <w:r>
              <w:rPr>
                <w:sz w:val="4"/>
                <w:szCs w:val="4"/>
              </w:rPr>
            </w:r>
          </w:p>
        </w:tc>
        <w:tc>
          <w:tcPr>
            <w:tcW w:w="889" w:type="dxa"/>
            <w:gridSpan w:val="5"/>
            <w:tcBorders/>
            <w:vAlign w:val="center"/>
          </w:tcPr>
          <w:p>
            <w:pPr>
              <w:pStyle w:val="TableContents"/>
              <w:bidi w:val="0"/>
              <w:spacing w:before="0" w:after="283"/>
              <w:jc w:val="left"/>
              <w:rPr>
                <w:sz w:val="4"/>
                <w:szCs w:val="4"/>
              </w:rPr>
            </w:pPr>
            <w:r>
              <w:rPr>
                <w:sz w:val="4"/>
                <w:szCs w:val="4"/>
              </w:rPr>
            </w:r>
          </w:p>
        </w:tc>
        <w:tc>
          <w:tcPr>
            <w:tcW w:w="973" w:type="dxa"/>
            <w:gridSpan w:val="5"/>
            <w:tcBorders/>
            <w:vAlign w:val="center"/>
          </w:tcPr>
          <w:p>
            <w:pPr>
              <w:pStyle w:val="TableContents"/>
              <w:bidi w:val="0"/>
              <w:spacing w:before="0" w:after="283"/>
              <w:jc w:val="left"/>
              <w:rPr>
                <w:sz w:val="4"/>
                <w:szCs w:val="4"/>
              </w:rPr>
            </w:pPr>
            <w:r>
              <w:rPr>
                <w:sz w:val="4"/>
                <w:szCs w:val="4"/>
              </w:rPr>
            </w:r>
          </w:p>
        </w:tc>
        <w:tc>
          <w:tcPr>
            <w:tcW w:w="1003" w:type="dxa"/>
            <w:gridSpan w:val="5"/>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2022</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center"/>
              <w:rPr/>
            </w:pPr>
            <w:r>
              <w:rPr/>
              <w:t>n/a</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980" w:type="dxa"/>
            <w:tcBorders>
              <w:bottom w:val="single" w:sz="6" w:space="0" w:color="7F7F7F"/>
            </w:tcBorders>
            <w:tcMar>
              <w:bottom w:w="40" w:type="dxa"/>
            </w:tcMar>
            <w:vAlign w:val="center"/>
          </w:tcPr>
          <w:p>
            <w:pPr>
              <w:pStyle w:val="TableContents"/>
              <w:bidi w:val="0"/>
              <w:spacing w:before="0" w:after="283"/>
              <w:jc w:val="right"/>
              <w:rPr/>
            </w:pPr>
            <w:r>
              <w:rPr/>
              <w:t>3,535,281</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center"/>
              <w:rPr/>
            </w:pPr>
            <w:r>
              <w:rPr/>
              <w:t>n/a</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980" w:type="dxa"/>
            <w:tcBorders>
              <w:bottom w:val="single" w:sz="6" w:space="0" w:color="7F7F7F"/>
            </w:tcBorders>
            <w:tcMar>
              <w:bottom w:w="40" w:type="dxa"/>
            </w:tcMar>
            <w:vAlign w:val="center"/>
          </w:tcPr>
          <w:p>
            <w:pPr>
              <w:pStyle w:val="TableContents"/>
              <w:bidi w:val="0"/>
              <w:spacing w:before="0" w:after="283"/>
              <w:jc w:val="right"/>
              <w:rPr/>
            </w:pPr>
            <w:r>
              <w:rPr/>
              <w:t>2,762,629</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78" w:type="dxa"/>
            <w:tcBorders>
              <w:bottom w:val="single" w:sz="6" w:space="0" w:color="7F7F7F"/>
            </w:tcBorders>
            <w:tcMar>
              <w:bottom w:w="40" w:type="dxa"/>
            </w:tcMar>
            <w:vAlign w:val="center"/>
          </w:tcPr>
          <w:p>
            <w:pPr>
              <w:pStyle w:val="TableContents"/>
              <w:bidi w:val="0"/>
              <w:spacing w:before="0" w:after="283"/>
              <w:jc w:val="left"/>
              <w:rPr/>
            </w:pPr>
            <w:r>
              <w:rPr/>
              <w:t>$</w:t>
            </w:r>
          </w:p>
        </w:tc>
        <w:tc>
          <w:tcPr>
            <w:tcW w:w="1252" w:type="dxa"/>
            <w:tcBorders>
              <w:bottom w:val="single" w:sz="6" w:space="0" w:color="7F7F7F"/>
            </w:tcBorders>
            <w:tcMar>
              <w:bottom w:w="40" w:type="dxa"/>
            </w:tcMar>
            <w:vAlign w:val="center"/>
          </w:tcPr>
          <w:p>
            <w:pPr>
              <w:pStyle w:val="TableContents"/>
              <w:bidi w:val="0"/>
              <w:spacing w:before="0" w:after="283"/>
              <w:jc w:val="right"/>
              <w:rPr/>
            </w:pPr>
            <w:r>
              <w:rPr/>
              <w:t>1,331,744</w:t>
            </w:r>
          </w:p>
        </w:tc>
        <w:tc>
          <w:tcPr>
            <w:tcW w:w="3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78" w:type="dxa"/>
            <w:tcBorders>
              <w:bottom w:val="single" w:sz="6" w:space="0" w:color="7F7F7F"/>
            </w:tcBorders>
            <w:tcMar>
              <w:bottom w:w="40" w:type="dxa"/>
            </w:tcMar>
            <w:vAlign w:val="center"/>
          </w:tcPr>
          <w:p>
            <w:pPr>
              <w:pStyle w:val="TableContents"/>
              <w:bidi w:val="0"/>
              <w:spacing w:before="0" w:after="283"/>
              <w:jc w:val="left"/>
              <w:rPr/>
            </w:pPr>
            <w:r>
              <w:rPr/>
              <w:t>$</w:t>
            </w:r>
          </w:p>
        </w:tc>
        <w:tc>
          <w:tcPr>
            <w:tcW w:w="1252" w:type="dxa"/>
            <w:tcBorders>
              <w:bottom w:val="single" w:sz="6" w:space="0" w:color="7F7F7F"/>
            </w:tcBorders>
            <w:tcMar>
              <w:bottom w:w="40" w:type="dxa"/>
            </w:tcMar>
            <w:vAlign w:val="center"/>
          </w:tcPr>
          <w:p>
            <w:pPr>
              <w:pStyle w:val="TableContents"/>
              <w:bidi w:val="0"/>
              <w:spacing w:before="0" w:after="283"/>
              <w:jc w:val="right"/>
              <w:rPr/>
            </w:pPr>
            <w:r>
              <w:rPr/>
              <w:t>1,150,597</w:t>
            </w:r>
          </w:p>
        </w:tc>
        <w:tc>
          <w:tcPr>
            <w:tcW w:w="3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7F7F7F"/>
            </w:tcBorders>
            <w:tcMar>
              <w:bottom w:w="40" w:type="dxa"/>
            </w:tcMar>
            <w:vAlign w:val="center"/>
          </w:tcPr>
          <w:p>
            <w:pPr>
              <w:pStyle w:val="TableContents"/>
              <w:bidi w:val="0"/>
              <w:spacing w:before="0" w:after="283"/>
              <w:jc w:val="left"/>
              <w:rPr/>
            </w:pPr>
            <w:r>
              <w:rPr/>
              <w:t>$</w:t>
            </w:r>
          </w:p>
        </w:tc>
        <w:tc>
          <w:tcPr>
            <w:tcW w:w="656" w:type="dxa"/>
            <w:tcBorders>
              <w:bottom w:val="single" w:sz="6" w:space="0" w:color="7F7F7F"/>
            </w:tcBorders>
            <w:tcMar>
              <w:bottom w:w="40" w:type="dxa"/>
            </w:tcMar>
            <w:vAlign w:val="center"/>
          </w:tcPr>
          <w:p>
            <w:pPr>
              <w:pStyle w:val="TableContents"/>
              <w:bidi w:val="0"/>
              <w:spacing w:before="0" w:after="283"/>
              <w:jc w:val="right"/>
              <w:rPr/>
            </w:pPr>
            <w:r>
              <w:rPr/>
              <w:t>76.65</w:t>
            </w:r>
          </w:p>
        </w:tc>
        <w:tc>
          <w:tcPr>
            <w:tcW w:w="29"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680" w:type="dxa"/>
            <w:tcBorders>
              <w:bottom w:val="single" w:sz="6" w:space="0" w:color="7F7F7F"/>
            </w:tcBorders>
            <w:tcMar>
              <w:bottom w:w="40" w:type="dxa"/>
            </w:tcMar>
            <w:vAlign w:val="center"/>
          </w:tcPr>
          <w:p>
            <w:pPr>
              <w:pStyle w:val="TableContents"/>
              <w:bidi w:val="0"/>
              <w:spacing w:before="0" w:after="283"/>
              <w:jc w:val="right"/>
              <w:rPr/>
            </w:pPr>
            <w:r>
              <w:rPr/>
              <w:t>81.19</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680" w:type="dxa"/>
            <w:tcBorders>
              <w:bottom w:val="single" w:sz="6" w:space="0" w:color="7F7F7F"/>
            </w:tcBorders>
            <w:tcMar>
              <w:bottom w:w="40" w:type="dxa"/>
            </w:tcMar>
            <w:vAlign w:val="center"/>
          </w:tcPr>
          <w:p>
            <w:pPr>
              <w:pStyle w:val="TableContents"/>
              <w:bidi w:val="0"/>
              <w:spacing w:before="0" w:after="283"/>
              <w:jc w:val="right"/>
              <w:rPr/>
            </w:pPr>
            <w:r>
              <w:rPr/>
              <w:t>113.87</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7F7F7F"/>
            </w:tcBorders>
            <w:tcMar>
              <w:bottom w:w="40" w:type="dxa"/>
            </w:tcMar>
            <w:vAlign w:val="center"/>
          </w:tcPr>
          <w:p>
            <w:pPr>
              <w:pStyle w:val="TableContents"/>
              <w:bidi w:val="0"/>
              <w:spacing w:before="0" w:after="283"/>
              <w:jc w:val="left"/>
              <w:rPr/>
            </w:pPr>
            <w:r>
              <w:rPr/>
              <w:t> </w:t>
            </w:r>
          </w:p>
        </w:tc>
        <w:tc>
          <w:tcPr>
            <w:tcW w:w="752" w:type="dxa"/>
            <w:tcBorders>
              <w:bottom w:val="single" w:sz="6" w:space="0" w:color="7F7F7F"/>
            </w:tcBorders>
            <w:tcMar>
              <w:bottom w:w="40" w:type="dxa"/>
            </w:tcMar>
            <w:vAlign w:val="center"/>
          </w:tcPr>
          <w:p>
            <w:pPr>
              <w:pStyle w:val="TableContents"/>
              <w:bidi w:val="0"/>
              <w:spacing w:before="0" w:after="283"/>
              <w:jc w:val="right"/>
              <w:rPr/>
            </w:pPr>
            <w:r>
              <w:rPr/>
              <w:t>($62.5</w:t>
            </w:r>
          </w:p>
        </w:tc>
        <w:tc>
          <w:tcPr>
            <w:tcW w:w="107" w:type="dxa"/>
            <w:tcBorders>
              <w:bottom w:val="single" w:sz="6" w:space="0" w:color="7F7F7F"/>
            </w:tcBorders>
            <w:tcMar>
              <w:bottom w:w="40" w:type="dxa"/>
            </w:tcMar>
            <w:vAlign w:val="center"/>
          </w:tcPr>
          <w:p>
            <w:pPr>
              <w:pStyle w:val="TableContents"/>
              <w:bidi w:val="0"/>
              <w:spacing w:before="0" w:after="283"/>
              <w:jc w:val="left"/>
              <w:rPr/>
            </w:pPr>
            <w:r>
              <w:rPr/>
              <w:t>)</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7F7F7F"/>
            </w:tcBorders>
            <w:tcMar>
              <w:bottom w:w="40" w:type="dxa"/>
            </w:tcMar>
            <w:vAlign w:val="center"/>
          </w:tcPr>
          <w:p>
            <w:pPr>
              <w:pStyle w:val="TableContents"/>
              <w:bidi w:val="0"/>
              <w:spacing w:before="0" w:after="283"/>
              <w:jc w:val="left"/>
              <w:rPr/>
            </w:pPr>
            <w:r>
              <w:rPr/>
              <w:t> </w:t>
            </w:r>
          </w:p>
        </w:tc>
        <w:tc>
          <w:tcPr>
            <w:tcW w:w="831" w:type="dxa"/>
            <w:tcBorders>
              <w:bottom w:val="single" w:sz="6" w:space="0" w:color="7F7F7F"/>
            </w:tcBorders>
            <w:tcMar>
              <w:bottom w:w="40" w:type="dxa"/>
            </w:tcMar>
            <w:vAlign w:val="center"/>
          </w:tcPr>
          <w:p>
            <w:pPr>
              <w:pStyle w:val="TableContents"/>
              <w:bidi w:val="0"/>
              <w:spacing w:before="0" w:after="283"/>
              <w:jc w:val="center"/>
              <w:rPr/>
            </w:pPr>
            <w:r>
              <w:rPr/>
              <w:t>$105.6</w:t>
            </w:r>
          </w:p>
        </w:tc>
        <w:tc>
          <w:tcPr>
            <w:tcW w:w="48"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sz w:val="4"/>
                <w:szCs w:val="4"/>
              </w:rPr>
            </w:pPr>
            <w:r>
              <w:rPr>
                <w:sz w:val="4"/>
                <w:szCs w:val="4"/>
              </w:rPr>
            </w:r>
          </w:p>
        </w:tc>
        <w:tc>
          <w:tcPr>
            <w:tcW w:w="1189" w:type="dxa"/>
            <w:gridSpan w:val="5"/>
            <w:tcBorders/>
            <w:vAlign w:val="center"/>
          </w:tcPr>
          <w:p>
            <w:pPr>
              <w:pStyle w:val="TableContents"/>
              <w:bidi w:val="0"/>
              <w:spacing w:before="0" w:after="283"/>
              <w:jc w:val="left"/>
              <w:rPr>
                <w:sz w:val="4"/>
                <w:szCs w:val="4"/>
              </w:rPr>
            </w:pPr>
            <w:r>
              <w:rPr>
                <w:sz w:val="4"/>
                <w:szCs w:val="4"/>
              </w:rPr>
            </w:r>
          </w:p>
        </w:tc>
        <w:tc>
          <w:tcPr>
            <w:tcW w:w="1189" w:type="dxa"/>
            <w:gridSpan w:val="5"/>
            <w:tcBorders/>
            <w:vAlign w:val="center"/>
          </w:tcPr>
          <w:p>
            <w:pPr>
              <w:pStyle w:val="TableContents"/>
              <w:bidi w:val="0"/>
              <w:spacing w:before="0" w:after="283"/>
              <w:jc w:val="left"/>
              <w:rPr>
                <w:sz w:val="4"/>
                <w:szCs w:val="4"/>
              </w:rPr>
            </w:pPr>
            <w:r>
              <w:rPr>
                <w:sz w:val="4"/>
                <w:szCs w:val="4"/>
              </w:rPr>
            </w:r>
          </w:p>
        </w:tc>
        <w:tc>
          <w:tcPr>
            <w:tcW w:w="1189" w:type="dxa"/>
            <w:gridSpan w:val="5"/>
            <w:tcBorders/>
            <w:vAlign w:val="center"/>
          </w:tcPr>
          <w:p>
            <w:pPr>
              <w:pStyle w:val="TableContents"/>
              <w:bidi w:val="0"/>
              <w:spacing w:before="0" w:after="283"/>
              <w:jc w:val="left"/>
              <w:rPr>
                <w:sz w:val="4"/>
                <w:szCs w:val="4"/>
              </w:rPr>
            </w:pPr>
            <w:r>
              <w:rPr>
                <w:sz w:val="4"/>
                <w:szCs w:val="4"/>
              </w:rPr>
            </w:r>
          </w:p>
        </w:tc>
        <w:tc>
          <w:tcPr>
            <w:tcW w:w="1189"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898" w:type="dxa"/>
            <w:gridSpan w:val="5"/>
            <w:tcBorders/>
            <w:vAlign w:val="center"/>
          </w:tcPr>
          <w:p>
            <w:pPr>
              <w:pStyle w:val="TableContents"/>
              <w:bidi w:val="0"/>
              <w:spacing w:before="0" w:after="283"/>
              <w:jc w:val="left"/>
              <w:rPr>
                <w:sz w:val="4"/>
                <w:szCs w:val="4"/>
              </w:rPr>
            </w:pPr>
            <w:r>
              <w:rPr>
                <w:sz w:val="4"/>
                <w:szCs w:val="4"/>
              </w:rPr>
            </w:r>
          </w:p>
        </w:tc>
        <w:tc>
          <w:tcPr>
            <w:tcW w:w="889" w:type="dxa"/>
            <w:gridSpan w:val="5"/>
            <w:tcBorders/>
            <w:vAlign w:val="center"/>
          </w:tcPr>
          <w:p>
            <w:pPr>
              <w:pStyle w:val="TableContents"/>
              <w:bidi w:val="0"/>
              <w:spacing w:before="0" w:after="283"/>
              <w:jc w:val="left"/>
              <w:rPr>
                <w:sz w:val="4"/>
                <w:szCs w:val="4"/>
              </w:rPr>
            </w:pPr>
            <w:r>
              <w:rPr>
                <w:sz w:val="4"/>
                <w:szCs w:val="4"/>
              </w:rPr>
            </w:r>
          </w:p>
        </w:tc>
        <w:tc>
          <w:tcPr>
            <w:tcW w:w="889" w:type="dxa"/>
            <w:gridSpan w:val="5"/>
            <w:tcBorders/>
            <w:vAlign w:val="center"/>
          </w:tcPr>
          <w:p>
            <w:pPr>
              <w:pStyle w:val="TableContents"/>
              <w:bidi w:val="0"/>
              <w:spacing w:before="0" w:after="283"/>
              <w:jc w:val="left"/>
              <w:rPr>
                <w:sz w:val="4"/>
                <w:szCs w:val="4"/>
              </w:rPr>
            </w:pPr>
            <w:r>
              <w:rPr>
                <w:sz w:val="4"/>
                <w:szCs w:val="4"/>
              </w:rPr>
            </w:r>
          </w:p>
        </w:tc>
        <w:tc>
          <w:tcPr>
            <w:tcW w:w="973" w:type="dxa"/>
            <w:gridSpan w:val="5"/>
            <w:tcBorders/>
            <w:vAlign w:val="center"/>
          </w:tcPr>
          <w:p>
            <w:pPr>
              <w:pStyle w:val="TableContents"/>
              <w:bidi w:val="0"/>
              <w:spacing w:before="0" w:after="283"/>
              <w:jc w:val="left"/>
              <w:rPr>
                <w:sz w:val="4"/>
                <w:szCs w:val="4"/>
              </w:rPr>
            </w:pPr>
            <w:r>
              <w:rPr>
                <w:sz w:val="4"/>
                <w:szCs w:val="4"/>
              </w:rPr>
            </w:r>
          </w:p>
        </w:tc>
        <w:tc>
          <w:tcPr>
            <w:tcW w:w="1003" w:type="dxa"/>
            <w:gridSpan w:val="5"/>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2021</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center"/>
              <w:rPr/>
            </w:pPr>
            <w:r>
              <w:rPr/>
              <w:t>n/a</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980" w:type="dxa"/>
            <w:tcBorders>
              <w:bottom w:val="single" w:sz="6" w:space="0" w:color="7F7F7F"/>
            </w:tcBorders>
            <w:tcMar>
              <w:bottom w:w="40" w:type="dxa"/>
            </w:tcMar>
            <w:vAlign w:val="center"/>
          </w:tcPr>
          <w:p>
            <w:pPr>
              <w:pStyle w:val="TableContents"/>
              <w:bidi w:val="0"/>
              <w:spacing w:before="0" w:after="283"/>
              <w:jc w:val="right"/>
              <w:rPr/>
            </w:pPr>
            <w:r>
              <w:rPr/>
              <w:t>3,938,608</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 </w:t>
            </w:r>
          </w:p>
        </w:tc>
        <w:tc>
          <w:tcPr>
            <w:tcW w:w="980" w:type="dxa"/>
            <w:tcBorders>
              <w:bottom w:val="single" w:sz="6" w:space="0" w:color="7F7F7F"/>
            </w:tcBorders>
            <w:tcMar>
              <w:bottom w:w="40" w:type="dxa"/>
            </w:tcMar>
            <w:vAlign w:val="center"/>
          </w:tcPr>
          <w:p>
            <w:pPr>
              <w:pStyle w:val="TableContents"/>
              <w:bidi w:val="0"/>
              <w:spacing w:before="0" w:after="283"/>
              <w:jc w:val="center"/>
              <w:rPr/>
            </w:pPr>
            <w:r>
              <w:rPr/>
              <w:t>n/a</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980" w:type="dxa"/>
            <w:tcBorders>
              <w:bottom w:val="single" w:sz="6" w:space="0" w:color="7F7F7F"/>
            </w:tcBorders>
            <w:tcMar>
              <w:bottom w:w="40" w:type="dxa"/>
            </w:tcMar>
            <w:vAlign w:val="center"/>
          </w:tcPr>
          <w:p>
            <w:pPr>
              <w:pStyle w:val="TableContents"/>
              <w:bidi w:val="0"/>
              <w:spacing w:before="0" w:after="283"/>
              <w:jc w:val="right"/>
              <w:rPr/>
            </w:pPr>
            <w:r>
              <w:rPr/>
              <w:t>2,864,364</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78" w:type="dxa"/>
            <w:tcBorders>
              <w:bottom w:val="single" w:sz="6" w:space="0" w:color="7F7F7F"/>
            </w:tcBorders>
            <w:tcMar>
              <w:bottom w:w="40" w:type="dxa"/>
            </w:tcMar>
            <w:vAlign w:val="center"/>
          </w:tcPr>
          <w:p>
            <w:pPr>
              <w:pStyle w:val="TableContents"/>
              <w:bidi w:val="0"/>
              <w:spacing w:before="0" w:after="283"/>
              <w:jc w:val="left"/>
              <w:rPr/>
            </w:pPr>
            <w:r>
              <w:rPr/>
              <w:t>$</w:t>
            </w:r>
          </w:p>
        </w:tc>
        <w:tc>
          <w:tcPr>
            <w:tcW w:w="1252" w:type="dxa"/>
            <w:tcBorders>
              <w:bottom w:val="single" w:sz="6" w:space="0" w:color="7F7F7F"/>
            </w:tcBorders>
            <w:tcMar>
              <w:bottom w:w="40" w:type="dxa"/>
            </w:tcMar>
            <w:vAlign w:val="center"/>
          </w:tcPr>
          <w:p>
            <w:pPr>
              <w:pStyle w:val="TableContents"/>
              <w:bidi w:val="0"/>
              <w:spacing w:before="0" w:after="283"/>
              <w:jc w:val="right"/>
              <w:rPr/>
            </w:pPr>
            <w:r>
              <w:rPr/>
              <w:t>1,640,264</w:t>
            </w:r>
          </w:p>
        </w:tc>
        <w:tc>
          <w:tcPr>
            <w:tcW w:w="3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78" w:type="dxa"/>
            <w:tcBorders>
              <w:bottom w:val="single" w:sz="6" w:space="0" w:color="7F7F7F"/>
            </w:tcBorders>
            <w:tcMar>
              <w:bottom w:w="40" w:type="dxa"/>
            </w:tcMar>
            <w:vAlign w:val="center"/>
          </w:tcPr>
          <w:p>
            <w:pPr>
              <w:pStyle w:val="TableContents"/>
              <w:bidi w:val="0"/>
              <w:spacing w:before="0" w:after="283"/>
              <w:jc w:val="left"/>
              <w:rPr/>
            </w:pPr>
            <w:r>
              <w:rPr/>
              <w:t>$</w:t>
            </w:r>
          </w:p>
        </w:tc>
        <w:tc>
          <w:tcPr>
            <w:tcW w:w="1252" w:type="dxa"/>
            <w:tcBorders>
              <w:bottom w:val="single" w:sz="6" w:space="0" w:color="7F7F7F"/>
            </w:tcBorders>
            <w:tcMar>
              <w:bottom w:w="40" w:type="dxa"/>
            </w:tcMar>
            <w:vAlign w:val="center"/>
          </w:tcPr>
          <w:p>
            <w:pPr>
              <w:pStyle w:val="TableContents"/>
              <w:bidi w:val="0"/>
              <w:spacing w:before="0" w:after="283"/>
              <w:jc w:val="right"/>
              <w:rPr/>
            </w:pPr>
            <w:r>
              <w:rPr/>
              <w:t>1,362,908</w:t>
            </w:r>
          </w:p>
        </w:tc>
        <w:tc>
          <w:tcPr>
            <w:tcW w:w="31"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7F7F7F"/>
            </w:tcBorders>
            <w:tcMar>
              <w:bottom w:w="40" w:type="dxa"/>
            </w:tcMar>
            <w:vAlign w:val="center"/>
          </w:tcPr>
          <w:p>
            <w:pPr>
              <w:pStyle w:val="TableContents"/>
              <w:bidi w:val="0"/>
              <w:spacing w:before="0" w:after="283"/>
              <w:jc w:val="left"/>
              <w:rPr/>
            </w:pPr>
            <w:r>
              <w:rPr/>
              <w:t>$</w:t>
            </w:r>
          </w:p>
        </w:tc>
        <w:tc>
          <w:tcPr>
            <w:tcW w:w="656" w:type="dxa"/>
            <w:tcBorders>
              <w:bottom w:val="single" w:sz="6" w:space="0" w:color="7F7F7F"/>
            </w:tcBorders>
            <w:tcMar>
              <w:bottom w:w="40" w:type="dxa"/>
            </w:tcMar>
            <w:vAlign w:val="center"/>
          </w:tcPr>
          <w:p>
            <w:pPr>
              <w:pStyle w:val="TableContents"/>
              <w:bidi w:val="0"/>
              <w:spacing w:before="0" w:after="283"/>
              <w:jc w:val="right"/>
              <w:rPr/>
            </w:pPr>
            <w:r>
              <w:rPr/>
              <w:t>74.94</w:t>
            </w:r>
          </w:p>
        </w:tc>
        <w:tc>
          <w:tcPr>
            <w:tcW w:w="29"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680" w:type="dxa"/>
            <w:tcBorders>
              <w:bottom w:val="single" w:sz="6" w:space="0" w:color="7F7F7F"/>
            </w:tcBorders>
            <w:tcMar>
              <w:bottom w:w="40" w:type="dxa"/>
            </w:tcMar>
            <w:vAlign w:val="center"/>
          </w:tcPr>
          <w:p>
            <w:pPr>
              <w:pStyle w:val="TableContents"/>
              <w:bidi w:val="0"/>
              <w:spacing w:before="0" w:after="283"/>
              <w:jc w:val="right"/>
              <w:rPr/>
            </w:pPr>
            <w:r>
              <w:rPr/>
              <w:t>78.78</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F7F7F"/>
            </w:tcBorders>
            <w:tcMar>
              <w:bottom w:w="40" w:type="dxa"/>
            </w:tcMar>
            <w:vAlign w:val="center"/>
          </w:tcPr>
          <w:p>
            <w:pPr>
              <w:pStyle w:val="TableContents"/>
              <w:bidi w:val="0"/>
              <w:spacing w:before="0" w:after="283"/>
              <w:jc w:val="left"/>
              <w:rPr/>
            </w:pPr>
            <w:r>
              <w:rPr/>
              <w:t>$</w:t>
            </w:r>
          </w:p>
        </w:tc>
        <w:tc>
          <w:tcPr>
            <w:tcW w:w="680" w:type="dxa"/>
            <w:tcBorders>
              <w:bottom w:val="single" w:sz="6" w:space="0" w:color="7F7F7F"/>
            </w:tcBorders>
            <w:tcMar>
              <w:bottom w:w="40" w:type="dxa"/>
            </w:tcMar>
            <w:vAlign w:val="center"/>
          </w:tcPr>
          <w:p>
            <w:pPr>
              <w:pStyle w:val="TableContents"/>
              <w:bidi w:val="0"/>
              <w:spacing w:before="0" w:after="283"/>
              <w:jc w:val="right"/>
              <w:rPr/>
            </w:pPr>
            <w:r>
              <w:rPr/>
              <w:t>152.43</w:t>
            </w:r>
          </w:p>
        </w:tc>
        <w:tc>
          <w:tcPr>
            <w:tcW w:w="23"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7F7F7F"/>
            </w:tcBorders>
            <w:tcMar>
              <w:bottom w:w="40" w:type="dxa"/>
            </w:tcMar>
            <w:vAlign w:val="center"/>
          </w:tcPr>
          <w:p>
            <w:pPr>
              <w:pStyle w:val="TableContents"/>
              <w:bidi w:val="0"/>
              <w:spacing w:before="0" w:after="283"/>
              <w:jc w:val="left"/>
              <w:rPr/>
            </w:pPr>
            <w:r>
              <w:rPr/>
              <w:t> </w:t>
            </w:r>
          </w:p>
        </w:tc>
        <w:tc>
          <w:tcPr>
            <w:tcW w:w="752" w:type="dxa"/>
            <w:tcBorders>
              <w:bottom w:val="single" w:sz="6" w:space="0" w:color="7F7F7F"/>
            </w:tcBorders>
            <w:tcMar>
              <w:bottom w:w="40" w:type="dxa"/>
            </w:tcMar>
            <w:vAlign w:val="center"/>
          </w:tcPr>
          <w:p>
            <w:pPr>
              <w:pStyle w:val="TableContents"/>
              <w:bidi w:val="0"/>
              <w:spacing w:before="0" w:after="283"/>
              <w:jc w:val="right"/>
              <w:rPr/>
            </w:pPr>
            <w:r>
              <w:rPr/>
              <w:t>$156.1</w:t>
            </w:r>
          </w:p>
        </w:tc>
        <w:tc>
          <w:tcPr>
            <w:tcW w:w="107"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7F7F7F"/>
            </w:tcBorders>
            <w:tcMar>
              <w:bottom w:w="40" w:type="dxa"/>
            </w:tcMar>
            <w:vAlign w:val="center"/>
          </w:tcPr>
          <w:p>
            <w:pPr>
              <w:pStyle w:val="TableContents"/>
              <w:bidi w:val="0"/>
              <w:spacing w:before="0" w:after="283"/>
              <w:jc w:val="left"/>
              <w:rPr/>
            </w:pPr>
            <w:r>
              <w:rPr/>
              <w:t> </w:t>
            </w:r>
          </w:p>
        </w:tc>
        <w:tc>
          <w:tcPr>
            <w:tcW w:w="831" w:type="dxa"/>
            <w:tcBorders>
              <w:bottom w:val="single" w:sz="6" w:space="0" w:color="7F7F7F"/>
            </w:tcBorders>
            <w:tcMar>
              <w:bottom w:w="40" w:type="dxa"/>
            </w:tcMar>
            <w:vAlign w:val="center"/>
          </w:tcPr>
          <w:p>
            <w:pPr>
              <w:pStyle w:val="TableContents"/>
              <w:bidi w:val="0"/>
              <w:spacing w:before="0" w:after="283"/>
              <w:jc w:val="center"/>
              <w:rPr/>
            </w:pPr>
            <w:r>
              <w:rPr/>
              <w:t>$84.1</w:t>
            </w:r>
          </w:p>
        </w:tc>
        <w:tc>
          <w:tcPr>
            <w:tcW w:w="48"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left"/>
              <w:rPr>
                <w:rFonts w:ascii="arial" w:hAnsi="arial"/>
                <w:sz w:val="14"/>
              </w:rPr>
            </w:pPr>
            <w:r>
              <w:rPr>
                <w:rFonts w:ascii="arial" w:hAnsi="arial"/>
                <w:sz w:val="14"/>
              </w:rPr>
              <w:t xml:space="preserve">SEC rules require certain adjustments to be made to the Summary Compensation Table totals to determine compensation actually paid as reported in the Pay versus Performance Table. Compensation actually paid, generally, is calculated as Summary Compensation Table total compensation adjusted to include the fair market value of equity awards as of the end of the fiscal year for the applicable year or, if earlier, the vesting date (rather than the grant date). We do not offer pension plan benefits; therefore, there was no change in pension value for any of the years reflective in this table. To calculate CAP, the following amounts were deducted from and added to SCT total compensation: </w:t>
            </w:r>
          </w:p>
        </w:tc>
      </w:tr>
    </w:tbl>
    <w:p>
      <w:pPr>
        <w:pStyle w:val="TextBody"/>
        <w:bidi w:val="0"/>
        <w:spacing w:before="360" w:after="0"/>
        <w:jc w:val="left"/>
        <w:rPr>
          <w:rFonts w:ascii="arial" w:hAnsi="arial"/>
          <w:b/>
          <w:sz w:val="24"/>
        </w:rPr>
      </w:pPr>
      <w:r>
        <w:rPr>
          <w:rFonts w:ascii="arial" w:hAnsi="arial"/>
          <w:b/>
          <w:sz w:val="24"/>
        </w:rPr>
        <w:t xml:space="preserve">CEO, Former CEO and </w:t>
      </w:r>
    </w:p>
    <w:p>
      <w:pPr>
        <w:pStyle w:val="TextBody"/>
        <w:bidi w:val="0"/>
        <w:spacing w:before="360" w:after="0"/>
        <w:jc w:val="left"/>
        <w:rPr>
          <w:rFonts w:ascii="arial" w:hAnsi="arial"/>
          <w:b/>
          <w:spacing w:val="0"/>
          <w:sz w:val="24"/>
        </w:rPr>
      </w:pPr>
      <w:r>
        <w:rPr>
          <w:rFonts w:ascii="arial" w:hAnsi="arial"/>
          <w:b/>
          <w:spacing w:val="0"/>
          <w:sz w:val="24"/>
        </w:rPr>
        <w:t>Non-CEO</w:t>
      </w:r>
    </w:p>
    <w:p>
      <w:pPr>
        <w:pStyle w:val="TextBody"/>
        <w:bidi w:val="0"/>
        <w:spacing w:before="360" w:after="0"/>
        <w:jc w:val="left"/>
        <w:rPr>
          <w:rFonts w:ascii="arial" w:hAnsi="arial"/>
          <w:b/>
          <w:sz w:val="24"/>
        </w:rPr>
      </w:pPr>
      <w:r>
        <w:rPr>
          <w:rFonts w:ascii="arial" w:hAnsi="arial"/>
          <w:b/>
          <w:sz w:val="24"/>
        </w:rPr>
        <w:t xml:space="preserve">NEOs SCT Total for CAP Reconciliation: </w:t>
      </w:r>
    </w:p>
    <w:p>
      <w:pPr>
        <w:pStyle w:val="TextBody"/>
        <w:bidi w:val="0"/>
        <w:spacing w:before="0" w:after="0"/>
        <w:jc w:val="left"/>
        <w:rPr/>
      </w:pPr>
      <w:r>
        <w:rPr/>
        <w:t> </w:t>
      </w:r>
    </w:p>
    <w:tbl>
      <w:tblPr>
        <w:tblW w:w="16705" w:type="dxa"/>
        <w:jc w:val="left"/>
        <w:tblInd w:w="0" w:type="dxa"/>
        <w:tblLayout w:type="fixed"/>
        <w:tblCellMar>
          <w:top w:w="0" w:type="dxa"/>
          <w:left w:w="0" w:type="dxa"/>
          <w:bottom w:w="0" w:type="dxa"/>
          <w:right w:w="0" w:type="dxa"/>
        </w:tblCellMar>
      </w:tblPr>
      <w:tblGrid>
        <w:gridCol w:w="1040"/>
        <w:gridCol w:w="60"/>
        <w:gridCol w:w="60"/>
        <w:gridCol w:w="1175"/>
        <w:gridCol w:w="155"/>
        <w:gridCol w:w="60"/>
        <w:gridCol w:w="60"/>
        <w:gridCol w:w="1175"/>
        <w:gridCol w:w="155"/>
        <w:gridCol w:w="60"/>
        <w:gridCol w:w="60"/>
        <w:gridCol w:w="1100"/>
        <w:gridCol w:w="155"/>
        <w:gridCol w:w="60"/>
        <w:gridCol w:w="60"/>
        <w:gridCol w:w="1175"/>
        <w:gridCol w:w="155"/>
        <w:gridCol w:w="60"/>
        <w:gridCol w:w="60"/>
        <w:gridCol w:w="1175"/>
        <w:gridCol w:w="155"/>
        <w:gridCol w:w="60"/>
        <w:gridCol w:w="60"/>
        <w:gridCol w:w="1175"/>
        <w:gridCol w:w="155"/>
        <w:gridCol w:w="60"/>
        <w:gridCol w:w="60"/>
        <w:gridCol w:w="1100"/>
        <w:gridCol w:w="155"/>
        <w:gridCol w:w="60"/>
        <w:gridCol w:w="60"/>
        <w:gridCol w:w="1175"/>
        <w:gridCol w:w="155"/>
        <w:gridCol w:w="60"/>
        <w:gridCol w:w="60"/>
        <w:gridCol w:w="1100"/>
        <w:gridCol w:w="155"/>
        <w:gridCol w:w="60"/>
        <w:gridCol w:w="60"/>
        <w:gridCol w:w="1175"/>
        <w:gridCol w:w="155"/>
        <w:gridCol w:w="60"/>
        <w:gridCol w:w="60"/>
        <w:gridCol w:w="1100"/>
        <w:gridCol w:w="17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4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60" w:type="dxa"/>
            <w:gridSpan w:val="10"/>
            <w:tcBorders>
              <w:bottom w:val="single" w:sz="8" w:space="0" w:color="000000"/>
            </w:tcBorders>
            <w:tcMar>
              <w:bottom w:w="28" w:type="dxa"/>
            </w:tcMar>
            <w:vAlign w:val="center"/>
          </w:tcPr>
          <w:p>
            <w:pPr>
              <w:pStyle w:val="TableContents"/>
              <w:bidi w:val="0"/>
              <w:spacing w:before="0" w:after="0"/>
              <w:jc w:val="center"/>
              <w:rPr>
                <w:b/>
                <w:color w:val="00AE4F"/>
                <w:spacing w:val="0"/>
              </w:rPr>
            </w:pPr>
            <w:r>
              <w:rPr>
                <w:b/>
                <w:color w:val="00AE4F"/>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5" w:type="dxa"/>
            <w:gridSpan w:val="6"/>
            <w:tcBorders>
              <w:bottom w:val="single" w:sz="8" w:space="0" w:color="000000"/>
            </w:tcBorders>
            <w:tcMar>
              <w:bottom w:w="28" w:type="dxa"/>
            </w:tcMar>
            <w:vAlign w:val="center"/>
          </w:tcPr>
          <w:p>
            <w:pPr>
              <w:pStyle w:val="TableContents"/>
              <w:bidi w:val="0"/>
              <w:spacing w:before="0" w:after="0"/>
              <w:jc w:val="center"/>
              <w:rPr>
                <w:b/>
                <w:color w:val="00AE4F"/>
                <w:spacing w:val="0"/>
              </w:rPr>
            </w:pPr>
            <w:r>
              <w:rPr>
                <w:b/>
                <w:color w:val="00AE4F"/>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0" w:type="dxa"/>
            <w:gridSpan w:val="6"/>
            <w:tcBorders>
              <w:bottom w:val="single" w:sz="8" w:space="0" w:color="000000"/>
            </w:tcBorders>
            <w:tcMar>
              <w:bottom w:w="28" w:type="dxa"/>
            </w:tcMar>
            <w:vAlign w:val="center"/>
          </w:tcPr>
          <w:p>
            <w:pPr>
              <w:pStyle w:val="TableContents"/>
              <w:bidi w:val="0"/>
              <w:spacing w:before="0" w:after="0"/>
              <w:jc w:val="center"/>
              <w:rPr>
                <w:b/>
                <w:color w:val="00AE4F"/>
                <w:spacing w:val="0"/>
              </w:rPr>
            </w:pPr>
            <w:r>
              <w:rPr>
                <w:b/>
                <w:color w:val="00AE4F"/>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0" w:type="dxa"/>
            <w:gridSpan w:val="6"/>
            <w:tcBorders>
              <w:bottom w:val="single" w:sz="8" w:space="0" w:color="000000"/>
            </w:tcBorders>
            <w:tcMar>
              <w:bottom w:w="28" w:type="dxa"/>
            </w:tcMar>
            <w:vAlign w:val="center"/>
          </w:tcPr>
          <w:p>
            <w:pPr>
              <w:pStyle w:val="TableContents"/>
              <w:bidi w:val="0"/>
              <w:spacing w:before="0" w:after="0"/>
              <w:jc w:val="center"/>
              <w:rPr>
                <w:b/>
                <w:color w:val="00AE4F"/>
                <w:spacing w:val="0"/>
              </w:rPr>
            </w:pPr>
            <w:r>
              <w:rPr>
                <w:b/>
                <w:color w:val="00AE4F"/>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0" w:type="dxa"/>
            <w:gridSpan w:val="6"/>
            <w:tcBorders>
              <w:bottom w:val="single" w:sz="8" w:space="0" w:color="000000"/>
            </w:tcBorders>
            <w:tcMar>
              <w:bottom w:w="28" w:type="dxa"/>
            </w:tcMar>
            <w:vAlign w:val="center"/>
          </w:tcPr>
          <w:p>
            <w:pPr>
              <w:pStyle w:val="TableContents"/>
              <w:bidi w:val="0"/>
              <w:spacing w:before="0" w:after="0"/>
              <w:jc w:val="center"/>
              <w:rPr>
                <w:b/>
                <w:color w:val="00AE4F"/>
                <w:spacing w:val="0"/>
              </w:rPr>
            </w:pPr>
            <w:r>
              <w:rPr>
                <w:b/>
                <w:color w:val="00AE4F"/>
                <w:spacing w:val="0"/>
              </w:rPr>
              <w:t>2021</w:t>
            </w:r>
          </w:p>
        </w:tc>
        <w:tc>
          <w:tcPr>
            <w:tcW w:w="170" w:type="dxa"/>
            <w:tcBorders/>
            <w:vAlign w:val="center"/>
          </w:tcPr>
          <w:p>
            <w:pPr>
              <w:pStyle w:val="TableContents"/>
              <w:bidi w:val="0"/>
              <w:spacing w:before="0" w:after="283"/>
              <w:jc w:val="left"/>
              <w:rPr/>
            </w:pPr>
            <w:r>
              <w:rPr/>
              <w:t> </w:t>
            </w:r>
          </w:p>
        </w:tc>
      </w:tr>
      <w:tr>
        <w:trPr/>
        <w:tc>
          <w:tcPr>
            <w:tcW w:w="1040" w:type="dxa"/>
            <w:vMerge w:val="continue"/>
            <w:tcBorders>
              <w:bottom w:val="single" w:sz="8" w:space="0" w:color="000000"/>
            </w:tcBorders>
            <w:tcMar>
              <w:bottom w:w="28" w:type="dxa"/>
            </w:tcMar>
            <w:vAlign w:val="center"/>
          </w:tcPr>
          <w:p>
            <w:pPr>
              <w:pStyle w:val="Normal"/>
              <w:bidi w:val="0"/>
              <w:jc w:val="left"/>
              <w:rPr/>
            </w:pPr>
            <w:r>
              <w:rPr/>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35" w:type="dxa"/>
            <w:gridSpan w:val="2"/>
            <w:tcBorders>
              <w:bottom w:val="single" w:sz="8" w:space="0" w:color="000000"/>
            </w:tcBorders>
            <w:tcMar>
              <w:bottom w:w="40" w:type="dxa"/>
            </w:tcMar>
            <w:vAlign w:val="center"/>
          </w:tcPr>
          <w:p>
            <w:pPr>
              <w:pStyle w:val="TableContents"/>
              <w:bidi w:val="0"/>
              <w:spacing w:before="0" w:after="0"/>
              <w:jc w:val="center"/>
              <w:rPr>
                <w:b/>
                <w:color w:val="00AE4F"/>
                <w:spacing w:val="0"/>
              </w:rPr>
            </w:pPr>
            <w:r>
              <w:rPr>
                <w:b/>
                <w:color w:val="00AE4F"/>
                <w:spacing w:val="0"/>
              </w:rPr>
              <w:t>CEO</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35" w:type="dxa"/>
            <w:gridSpan w:val="2"/>
            <w:tcBorders>
              <w:bottom w:val="single" w:sz="8" w:space="0" w:color="000000"/>
            </w:tcBorders>
            <w:tcMar>
              <w:bottom w:w="40" w:type="dxa"/>
            </w:tcMar>
            <w:vAlign w:val="center"/>
          </w:tcPr>
          <w:p>
            <w:pPr>
              <w:pStyle w:val="TableContents"/>
              <w:bidi w:val="0"/>
              <w:spacing w:before="0" w:after="0"/>
              <w:jc w:val="center"/>
              <w:rPr>
                <w:b/>
                <w:color w:val="00AE4F"/>
                <w:spacing w:val="0"/>
              </w:rPr>
            </w:pPr>
            <w:r>
              <w:rPr>
                <w:b/>
                <w:color w:val="00AE4F"/>
                <w:spacing w:val="0"/>
              </w:rPr>
              <w:t>Former</w:t>
              <w:br/>
              <w:t>CEO</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40" w:type="dxa"/>
            </w:tcMar>
            <w:vAlign w:val="center"/>
          </w:tcPr>
          <w:p>
            <w:pPr>
              <w:pStyle w:val="TableContents"/>
              <w:bidi w:val="0"/>
              <w:spacing w:before="0" w:after="0"/>
              <w:jc w:val="center"/>
              <w:rPr>
                <w:b/>
                <w:color w:val="00AE4F"/>
                <w:spacing w:val="0"/>
              </w:rPr>
            </w:pPr>
            <w:r>
              <w:rPr>
                <w:b/>
                <w:color w:val="00AE4F"/>
                <w:spacing w:val="0"/>
              </w:rPr>
              <w:t>Non-CEO</w:t>
            </w:r>
          </w:p>
          <w:p>
            <w:pPr>
              <w:pStyle w:val="TableContents"/>
              <w:bidi w:val="0"/>
              <w:spacing w:before="0" w:after="0"/>
              <w:jc w:val="center"/>
              <w:rPr>
                <w:b/>
                <w:color w:val="00AE4F"/>
                <w:spacing w:val="0"/>
              </w:rPr>
            </w:pPr>
            <w:r>
              <w:rPr>
                <w:b/>
                <w:color w:val="00AE4F"/>
                <w:spacing w:val="0"/>
              </w:rPr>
              <w:br/>
              <w:t>NEOs</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35" w:type="dxa"/>
            <w:gridSpan w:val="2"/>
            <w:tcBorders>
              <w:bottom w:val="single" w:sz="8" w:space="0" w:color="000000"/>
            </w:tcBorders>
            <w:tcMar>
              <w:bottom w:w="40" w:type="dxa"/>
            </w:tcMar>
            <w:vAlign w:val="center"/>
          </w:tcPr>
          <w:p>
            <w:pPr>
              <w:pStyle w:val="TableContents"/>
              <w:bidi w:val="0"/>
              <w:spacing w:before="0" w:after="0"/>
              <w:jc w:val="center"/>
              <w:rPr>
                <w:b/>
                <w:color w:val="00AE4F"/>
                <w:spacing w:val="0"/>
              </w:rPr>
            </w:pPr>
            <w:r>
              <w:rPr>
                <w:b/>
                <w:color w:val="00AE4F"/>
                <w:spacing w:val="0"/>
              </w:rPr>
              <w:t>CEO</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35" w:type="dxa"/>
            <w:gridSpan w:val="2"/>
            <w:tcBorders>
              <w:bottom w:val="single" w:sz="8" w:space="0" w:color="000000"/>
            </w:tcBorders>
            <w:tcMar>
              <w:bottom w:w="40" w:type="dxa"/>
            </w:tcMar>
            <w:vAlign w:val="center"/>
          </w:tcPr>
          <w:p>
            <w:pPr>
              <w:pStyle w:val="TableContents"/>
              <w:bidi w:val="0"/>
              <w:spacing w:before="0" w:after="0"/>
              <w:jc w:val="center"/>
              <w:rPr>
                <w:b/>
                <w:color w:val="00AE4F"/>
                <w:spacing w:val="0"/>
              </w:rPr>
            </w:pPr>
            <w:r>
              <w:rPr>
                <w:b/>
                <w:color w:val="00AE4F"/>
                <w:spacing w:val="0"/>
              </w:rPr>
              <w:t>Non-CEO</w:t>
            </w:r>
          </w:p>
          <w:p>
            <w:pPr>
              <w:pStyle w:val="TableContents"/>
              <w:bidi w:val="0"/>
              <w:spacing w:before="0" w:after="0"/>
              <w:jc w:val="center"/>
              <w:rPr>
                <w:b/>
                <w:color w:val="00AE4F"/>
                <w:spacing w:val="0"/>
              </w:rPr>
            </w:pPr>
            <w:r>
              <w:rPr>
                <w:b/>
                <w:color w:val="00AE4F"/>
                <w:spacing w:val="0"/>
              </w:rPr>
              <w:br/>
              <w:t>NEOs</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35" w:type="dxa"/>
            <w:gridSpan w:val="2"/>
            <w:tcBorders>
              <w:bottom w:val="single" w:sz="8" w:space="0" w:color="000000"/>
            </w:tcBorders>
            <w:tcMar>
              <w:bottom w:w="40" w:type="dxa"/>
            </w:tcMar>
            <w:vAlign w:val="center"/>
          </w:tcPr>
          <w:p>
            <w:pPr>
              <w:pStyle w:val="TableContents"/>
              <w:bidi w:val="0"/>
              <w:spacing w:before="0" w:after="0"/>
              <w:jc w:val="center"/>
              <w:rPr>
                <w:b/>
                <w:color w:val="00AE4F"/>
                <w:spacing w:val="0"/>
              </w:rPr>
            </w:pPr>
            <w:r>
              <w:rPr>
                <w:b/>
                <w:color w:val="00AE4F"/>
                <w:spacing w:val="0"/>
              </w:rPr>
              <w:t>CEO</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40" w:type="dxa"/>
            </w:tcMar>
            <w:vAlign w:val="center"/>
          </w:tcPr>
          <w:p>
            <w:pPr>
              <w:pStyle w:val="TableContents"/>
              <w:bidi w:val="0"/>
              <w:spacing w:before="0" w:after="0"/>
              <w:jc w:val="center"/>
              <w:rPr>
                <w:b/>
                <w:color w:val="00AE4F"/>
                <w:spacing w:val="0"/>
              </w:rPr>
            </w:pPr>
            <w:r>
              <w:rPr>
                <w:b/>
                <w:color w:val="00AE4F"/>
                <w:spacing w:val="0"/>
              </w:rPr>
              <w:t>Non-CEO</w:t>
            </w:r>
          </w:p>
          <w:p>
            <w:pPr>
              <w:pStyle w:val="TableContents"/>
              <w:bidi w:val="0"/>
              <w:spacing w:before="0" w:after="0"/>
              <w:jc w:val="center"/>
              <w:rPr>
                <w:b/>
                <w:color w:val="00AE4F"/>
                <w:spacing w:val="0"/>
              </w:rPr>
            </w:pPr>
            <w:r>
              <w:rPr>
                <w:b/>
                <w:color w:val="00AE4F"/>
                <w:spacing w:val="0"/>
              </w:rPr>
              <w:br/>
              <w:t>NEOs</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35" w:type="dxa"/>
            <w:gridSpan w:val="2"/>
            <w:tcBorders>
              <w:bottom w:val="single" w:sz="8" w:space="0" w:color="000000"/>
            </w:tcBorders>
            <w:tcMar>
              <w:bottom w:w="40" w:type="dxa"/>
            </w:tcMar>
            <w:vAlign w:val="center"/>
          </w:tcPr>
          <w:p>
            <w:pPr>
              <w:pStyle w:val="TableContents"/>
              <w:bidi w:val="0"/>
              <w:spacing w:before="0" w:after="0"/>
              <w:jc w:val="center"/>
              <w:rPr>
                <w:b/>
                <w:color w:val="00AE4F"/>
                <w:spacing w:val="0"/>
              </w:rPr>
            </w:pPr>
            <w:r>
              <w:rPr>
                <w:b/>
                <w:color w:val="00AE4F"/>
                <w:spacing w:val="0"/>
              </w:rPr>
              <w:t>CEO</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40" w:type="dxa"/>
            </w:tcMar>
            <w:vAlign w:val="center"/>
          </w:tcPr>
          <w:p>
            <w:pPr>
              <w:pStyle w:val="TableContents"/>
              <w:bidi w:val="0"/>
              <w:spacing w:before="0" w:after="0"/>
              <w:jc w:val="center"/>
              <w:rPr>
                <w:b/>
                <w:color w:val="00AE4F"/>
                <w:spacing w:val="0"/>
              </w:rPr>
            </w:pPr>
            <w:r>
              <w:rPr>
                <w:b/>
                <w:color w:val="00AE4F"/>
                <w:spacing w:val="0"/>
              </w:rPr>
              <w:t>Non-CEO</w:t>
            </w:r>
          </w:p>
          <w:p>
            <w:pPr>
              <w:pStyle w:val="TableContents"/>
              <w:bidi w:val="0"/>
              <w:spacing w:before="0" w:after="0"/>
              <w:jc w:val="center"/>
              <w:rPr>
                <w:b/>
                <w:color w:val="00AE4F"/>
                <w:spacing w:val="0"/>
              </w:rPr>
            </w:pPr>
            <w:r>
              <w:rPr>
                <w:b/>
                <w:color w:val="00AE4F"/>
                <w:spacing w:val="0"/>
              </w:rPr>
              <w:br/>
              <w:t>NEOs</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35" w:type="dxa"/>
            <w:gridSpan w:val="2"/>
            <w:tcBorders>
              <w:bottom w:val="single" w:sz="8" w:space="0" w:color="000000"/>
            </w:tcBorders>
            <w:tcMar>
              <w:bottom w:w="40" w:type="dxa"/>
            </w:tcMar>
            <w:vAlign w:val="center"/>
          </w:tcPr>
          <w:p>
            <w:pPr>
              <w:pStyle w:val="TableContents"/>
              <w:bidi w:val="0"/>
              <w:spacing w:before="0" w:after="0"/>
              <w:jc w:val="center"/>
              <w:rPr>
                <w:b/>
                <w:color w:val="00AE4F"/>
                <w:spacing w:val="0"/>
              </w:rPr>
            </w:pPr>
            <w:r>
              <w:rPr>
                <w:b/>
                <w:color w:val="00AE4F"/>
                <w:spacing w:val="0"/>
              </w:rPr>
              <w:t>CEO</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40" w:type="dxa"/>
            </w:tcMar>
            <w:vAlign w:val="center"/>
          </w:tcPr>
          <w:p>
            <w:pPr>
              <w:pStyle w:val="TableContents"/>
              <w:bidi w:val="0"/>
              <w:spacing w:before="0" w:after="0"/>
              <w:jc w:val="center"/>
              <w:rPr>
                <w:b/>
                <w:color w:val="00AE4F"/>
                <w:spacing w:val="0"/>
              </w:rPr>
            </w:pPr>
            <w:r>
              <w:rPr>
                <w:b/>
                <w:color w:val="00AE4F"/>
                <w:spacing w:val="0"/>
              </w:rPr>
              <w:t>Non-CEO</w:t>
            </w:r>
          </w:p>
          <w:p>
            <w:pPr>
              <w:pStyle w:val="TableContents"/>
              <w:bidi w:val="0"/>
              <w:spacing w:before="0" w:after="0"/>
              <w:jc w:val="center"/>
              <w:rPr>
                <w:b/>
                <w:color w:val="00AE4F"/>
                <w:spacing w:val="0"/>
              </w:rPr>
            </w:pPr>
            <w:r>
              <w:rPr>
                <w:b/>
                <w:color w:val="00AE4F"/>
                <w:spacing w:val="0"/>
              </w:rPr>
              <w:br/>
              <w:t>NEOs</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7F7F7F"/>
            </w:tcBorders>
            <w:tcMar>
              <w:bottom w:w="40" w:type="dxa"/>
            </w:tcMar>
            <w:vAlign w:val="center"/>
          </w:tcPr>
          <w:p>
            <w:pPr>
              <w:pStyle w:val="TableContents"/>
              <w:bidi w:val="0"/>
              <w:spacing w:before="0" w:after="0"/>
              <w:jc w:val="left"/>
              <w:rPr>
                <w:rFonts w:ascii="arial" w:hAnsi="arial"/>
                <w:sz w:val="15"/>
              </w:rPr>
            </w:pPr>
            <w:r>
              <w:rPr>
                <w:rFonts w:ascii="arial" w:hAnsi="arial"/>
                <w:sz w:val="15"/>
              </w:rPr>
              <w:t>Summary Compensation Table Total</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$5,207,696</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$3,327,152</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$1,223,008</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$4,128,439</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$1,980,551</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$4,163,424</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$1,407,120</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$3,535,281</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$1,331,744</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$3,938,608</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$1,640,264</w:t>
            </w:r>
          </w:p>
        </w:tc>
        <w:tc>
          <w:tcPr>
            <w:tcW w:w="170"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7F7F7F"/>
            </w:tcBorders>
            <w:tcMar>
              <w:bottom w:w="40" w:type="dxa"/>
            </w:tcMar>
            <w:vAlign w:val="center"/>
          </w:tcPr>
          <w:p>
            <w:pPr>
              <w:pStyle w:val="TableContents"/>
              <w:bidi w:val="0"/>
              <w:spacing w:before="0" w:after="0"/>
              <w:jc w:val="left"/>
              <w:rPr>
                <w:rFonts w:ascii="arial" w:hAnsi="arial"/>
                <w:sz w:val="15"/>
              </w:rPr>
            </w:pPr>
            <w:r>
              <w:rPr>
                <w:rFonts w:ascii="arial" w:hAnsi="arial"/>
                <w:sz w:val="15"/>
              </w:rPr>
              <w:t>Summary Compensation Table Stock Awards</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($4,000,003</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($2,321,887</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($665,739</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($2,381,060</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($1,012,030</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($2,160,522</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($555,116</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($1,811,085</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($524,293</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($2,734,149</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($974,762</w:t>
            </w:r>
          </w:p>
        </w:tc>
        <w:tc>
          <w:tcPr>
            <w:tcW w:w="170"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7F7F7F"/>
            </w:tcBorders>
            <w:tcMar>
              <w:bottom w:w="40" w:type="dxa"/>
            </w:tcMar>
            <w:vAlign w:val="center"/>
          </w:tcPr>
          <w:p>
            <w:pPr>
              <w:pStyle w:val="TableContents"/>
              <w:bidi w:val="0"/>
              <w:spacing w:before="0" w:after="0"/>
              <w:jc w:val="left"/>
              <w:rPr>
                <w:rFonts w:ascii="arial" w:hAnsi="arial"/>
                <w:sz w:val="15"/>
              </w:rPr>
            </w:pPr>
            <w:r>
              <w:rPr>
                <w:rFonts w:ascii="arial" w:hAnsi="arial"/>
                <w:sz w:val="15"/>
              </w:rPr>
              <w:t>FYE value of unvested awards granted during current year</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$2,499,276</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$1,118,538</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$355,073</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$1,167,277</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$605,532</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$2,236,679</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$617,264</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$1,052,644</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$334,843</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$2,045,752</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$789,365</w:t>
            </w:r>
          </w:p>
        </w:tc>
        <w:tc>
          <w:tcPr>
            <w:tcW w:w="170"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7F7F7F"/>
            </w:tcBorders>
            <w:tcMar>
              <w:bottom w:w="40" w:type="dxa"/>
            </w:tcMar>
            <w:vAlign w:val="center"/>
          </w:tcPr>
          <w:p>
            <w:pPr>
              <w:pStyle w:val="TableContents"/>
              <w:bidi w:val="0"/>
              <w:spacing w:before="0" w:after="0"/>
              <w:jc w:val="left"/>
              <w:rPr>
                <w:rFonts w:ascii="arial" w:hAnsi="arial"/>
                <w:sz w:val="15"/>
              </w:rPr>
            </w:pPr>
            <w:r>
              <w:rPr>
                <w:rFonts w:ascii="arial" w:hAnsi="arial"/>
                <w:sz w:val="15"/>
              </w:rPr>
              <w:t>Change in value of unvested awards from prior years</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$0</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($844,597</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($221,488</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($1,333,842</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($254,013</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$793,531</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$239,143</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$68,855</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$24,517</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($167,781</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($41,322</w:t>
            </w:r>
          </w:p>
        </w:tc>
        <w:tc>
          <w:tcPr>
            <w:tcW w:w="170"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7F7F7F"/>
            </w:tcBorders>
            <w:tcMar>
              <w:bottom w:w="40" w:type="dxa"/>
            </w:tcMar>
            <w:vAlign w:val="center"/>
          </w:tcPr>
          <w:p>
            <w:pPr>
              <w:pStyle w:val="TableContents"/>
              <w:bidi w:val="0"/>
              <w:spacing w:before="0" w:after="0"/>
              <w:jc w:val="left"/>
              <w:rPr>
                <w:rFonts w:ascii="arial" w:hAnsi="arial"/>
                <w:sz w:val="15"/>
              </w:rPr>
            </w:pPr>
            <w:r>
              <w:rPr>
                <w:rFonts w:ascii="arial" w:hAnsi="arial"/>
                <w:sz w:val="15"/>
              </w:rPr>
              <w:t>Change in value of awards vesting during current year from the prior years</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$0</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$51,203</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($9,770</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$57,231</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$13,275</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$66,830</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$20,763</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$98,065</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$22,069</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$7,513</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$2,122</w:t>
            </w:r>
          </w:p>
        </w:tc>
        <w:tc>
          <w:tcPr>
            <w:tcW w:w="170"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7F7F7F"/>
            </w:tcBorders>
            <w:tcMar>
              <w:bottom w:w="40" w:type="dxa"/>
            </w:tcMar>
            <w:vAlign w:val="center"/>
          </w:tcPr>
          <w:p>
            <w:pPr>
              <w:pStyle w:val="TableContents"/>
              <w:bidi w:val="0"/>
              <w:spacing w:before="0" w:after="0"/>
              <w:jc w:val="left"/>
              <w:rPr>
                <w:rFonts w:ascii="arial" w:hAnsi="arial"/>
                <w:sz w:val="15"/>
              </w:rPr>
            </w:pPr>
            <w:r>
              <w:rPr>
                <w:rFonts w:ascii="arial" w:hAnsi="arial"/>
                <w:sz w:val="15"/>
              </w:rPr>
              <w:t>Prior FYE value for awards not meeting performance requirements</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$0</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($413,289</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($54,434</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($548,019</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($242,651</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($812,048</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($183,487</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($191,086</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($41,686</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($227,577</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($53,637</w:t>
            </w:r>
          </w:p>
        </w:tc>
        <w:tc>
          <w:tcPr>
            <w:tcW w:w="170"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7F7F7F"/>
            </w:tcBorders>
            <w:tcMar>
              <w:bottom w:w="40" w:type="dxa"/>
            </w:tcMar>
            <w:vAlign w:val="center"/>
          </w:tcPr>
          <w:p>
            <w:pPr>
              <w:pStyle w:val="TableContents"/>
              <w:bidi w:val="0"/>
              <w:spacing w:before="0" w:after="0"/>
              <w:jc w:val="left"/>
              <w:rPr>
                <w:rFonts w:ascii="arial" w:hAnsi="arial"/>
                <w:sz w:val="15"/>
              </w:rPr>
            </w:pPr>
            <w:r>
              <w:rPr>
                <w:rFonts w:ascii="arial" w:hAnsi="arial"/>
                <w:sz w:val="15"/>
              </w:rPr>
              <w:t>Dividends accrued on unvested stock awards</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$21,771</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$30,728</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$21,563</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$28,642</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$10,006</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$25,703</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$9,948</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$9,957</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$3,404</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$1,998</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$877</w:t>
            </w:r>
          </w:p>
        </w:tc>
        <w:tc>
          <w:tcPr>
            <w:tcW w:w="170" w:type="dxa"/>
            <w:tcBorders>
              <w:bottom w:val="single" w:sz="6" w:space="0" w:color="7F7F7F"/>
            </w:tcBorders>
            <w:tcMar>
              <w:bottom w:w="40" w:type="dxa"/>
            </w:tcM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7F7F7F"/>
            </w:tcBorders>
            <w:tcMar>
              <w:bottom w:w="40" w:type="dxa"/>
            </w:tcMar>
            <w:vAlign w:val="center"/>
          </w:tcPr>
          <w:p>
            <w:pPr>
              <w:pStyle w:val="TableContents"/>
              <w:bidi w:val="0"/>
              <w:spacing w:before="0" w:after="0"/>
              <w:jc w:val="left"/>
              <w:rPr>
                <w:rFonts w:ascii="arial" w:hAnsi="arial"/>
                <w:sz w:val="15"/>
              </w:rPr>
            </w:pPr>
            <w:r>
              <w:rPr>
                <w:rFonts w:ascii="arial" w:hAnsi="arial"/>
                <w:sz w:val="15"/>
              </w:rPr>
              <w:t>Compensation Actually Paid</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$3,728,739</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$947,848</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$648,211</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$1,118,668</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$1,100,670</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$4,313,597</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$1,555,635</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$2,762,629</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$1,150,597</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75" w:type="dxa"/>
            <w:tcBorders>
              <w:bottom w:val="single" w:sz="6" w:space="0" w:color="7F7F7F"/>
            </w:tcBorders>
            <w:tcMar>
              <w:bottom w:w="40" w:type="dxa"/>
            </w:tcMar>
            <w:vAlign w:val="center"/>
          </w:tcPr>
          <w:p>
            <w:pPr>
              <w:pStyle w:val="TableContents"/>
              <w:bidi w:val="0"/>
              <w:spacing w:before="0" w:after="283"/>
              <w:jc w:val="right"/>
              <w:rPr/>
            </w:pPr>
            <w:r>
              <w:rPr/>
              <w:t>$2,864,364</w:t>
            </w:r>
          </w:p>
        </w:tc>
        <w:tc>
          <w:tcPr>
            <w:tcW w:w="155" w:type="dxa"/>
            <w:tcBorders>
              <w:bottom w:val="single" w:sz="6" w:space="0" w:color="7F7F7F"/>
            </w:tcBorders>
            <w:tcMar>
              <w:bottom w:w="40" w:type="dxa"/>
            </w:tcMar>
            <w:vAlign w:val="center"/>
          </w:tcPr>
          <w:p>
            <w:pPr>
              <w:pStyle w:val="TableContents"/>
              <w:bidi w:val="0"/>
              <w:spacing w:before="0" w:after="283"/>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1100" w:type="dxa"/>
            <w:tcBorders>
              <w:bottom w:val="single" w:sz="6" w:space="0" w:color="7F7F7F"/>
            </w:tcBorders>
            <w:tcMar>
              <w:bottom w:w="40" w:type="dxa"/>
            </w:tcMar>
            <w:vAlign w:val="center"/>
          </w:tcPr>
          <w:p>
            <w:pPr>
              <w:pStyle w:val="TableContents"/>
              <w:bidi w:val="0"/>
              <w:spacing w:before="0" w:after="283"/>
              <w:jc w:val="right"/>
              <w:rPr/>
            </w:pPr>
            <w:r>
              <w:rPr/>
              <w:t>$1,362,908</w:t>
            </w:r>
          </w:p>
        </w:tc>
        <w:tc>
          <w:tcPr>
            <w:tcW w:w="170" w:type="dxa"/>
            <w:tcBorders>
              <w:bottom w:val="single" w:sz="6" w:space="0" w:color="7F7F7F"/>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870" w:type="dxa"/>
        <w:jc w:val="left"/>
        <w:tblInd w:w="0" w:type="dxa"/>
        <w:tblLayout w:type="fixed"/>
        <w:tblCellMar>
          <w:top w:w="0" w:type="dxa"/>
          <w:left w:w="0" w:type="dxa"/>
          <w:bottom w:w="0" w:type="dxa"/>
          <w:right w:w="0" w:type="dxa"/>
        </w:tblCellMar>
      </w:tblPr>
      <w:tblGrid>
        <w:gridCol w:w="1355"/>
        <w:gridCol w:w="120"/>
        <w:gridCol w:w="60"/>
        <w:gridCol w:w="260"/>
        <w:gridCol w:w="75"/>
      </w:tblGrid>
      <w:tr>
        <w:trPr/>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55" w:type="dxa"/>
            <w:tcBorders/>
            <w:vAlign w:val="center"/>
          </w:tcPr>
          <w:p>
            <w:pPr>
              <w:pStyle w:val="TableContents"/>
              <w:bidi w:val="0"/>
              <w:spacing w:before="0" w:after="283"/>
              <w:jc w:val="right"/>
              <w:rPr/>
            </w:pPr>
            <w:r>
              <w:rPr/>
              <w:t xml:space="preserve">  </w:t>
            </w:r>
            <w:r>
              <w:rPr/>
              <w:drawing>
                <wp:inline distT="0" distB="0" distL="0" distR="0">
                  <wp:extent cx="457200" cy="219075"/>
                  <wp:effectExtent l="0" t="0" r="0" b="0"/>
                  <wp:docPr id="221"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94" descr=""/>
                          <pic:cNvPicPr>
                            <a:picLocks noChangeAspect="1" noChangeArrowheads="1"/>
                          </pic:cNvPicPr>
                        </pic:nvPicPr>
                        <pic:blipFill>
                          <a:blip r:embed="rId206"/>
                          <a:stretch>
                            <a:fillRect/>
                          </a:stretch>
                        </pic:blipFill>
                        <pic:spPr bwMode="auto">
                          <a:xfrm>
                            <a:off x="0" y="0"/>
                            <a:ext cx="457200" cy="219075"/>
                          </a:xfrm>
                          <a:prstGeom prst="rect">
                            <a:avLst/>
                          </a:prstGeom>
                        </pic:spPr>
                      </pic:pic>
                    </a:graphicData>
                  </a:graphic>
                </wp:inline>
              </w:drawing>
            </w: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15"/>
        </w:rPr>
      </w:pPr>
      <w:r>
        <w:rPr>
          <w:rFonts w:ascii="arial" w:hAnsi="arial"/>
          <w:b/>
          <w:sz w:val="15"/>
        </w:rPr>
        <w:t xml:space="preserve">Pay vs. Performance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rFonts w:ascii="arial" w:hAnsi="arial"/>
                <w:sz w:val="14"/>
              </w:rPr>
            </w:pPr>
            <w:r>
              <w:rPr>
                <w:rFonts w:ascii="arial" w:hAnsi="arial"/>
                <w:sz w:val="14"/>
              </w:rPr>
              <w:t xml:space="preserve">Compensation for the </w:t>
            </w:r>
          </w:p>
          <w:p>
            <w:pPr>
              <w:pStyle w:val="TableContents"/>
              <w:bidi w:val="0"/>
              <w:spacing w:before="0" w:after="0"/>
              <w:jc w:val="left"/>
              <w:rPr>
                <w:rFonts w:ascii="arial" w:hAnsi="arial"/>
                <w:spacing w:val="0"/>
                <w:sz w:val="14"/>
              </w:rPr>
            </w:pPr>
            <w:r>
              <w:rPr>
                <w:rFonts w:ascii="arial" w:hAnsi="arial"/>
                <w:spacing w:val="0"/>
                <w:sz w:val="14"/>
              </w:rPr>
              <w:t>non-principal</w:t>
            </w:r>
          </w:p>
          <w:p>
            <w:pPr>
              <w:pStyle w:val="TableContents"/>
              <w:bidi w:val="0"/>
              <w:spacing w:before="0" w:after="0"/>
              <w:jc w:val="left"/>
              <w:rPr>
                <w:rFonts w:ascii="arial" w:hAnsi="arial"/>
                <w:sz w:val="14"/>
              </w:rPr>
            </w:pPr>
            <w:r>
              <w:rPr>
                <w:rFonts w:ascii="arial" w:hAnsi="arial"/>
                <w:sz w:val="14"/>
              </w:rPr>
              <w:t xml:space="preserve">executive officer (“CEO”) and average compensation for </w:t>
            </w:r>
          </w:p>
          <w:p>
            <w:pPr>
              <w:pStyle w:val="TableContents"/>
              <w:bidi w:val="0"/>
              <w:spacing w:before="0" w:after="0"/>
              <w:jc w:val="left"/>
              <w:rPr>
                <w:rFonts w:ascii="arial" w:hAnsi="arial"/>
                <w:spacing w:val="0"/>
                <w:sz w:val="14"/>
              </w:rPr>
            </w:pPr>
            <w:r>
              <w:rPr>
                <w:rFonts w:ascii="arial" w:hAnsi="arial"/>
                <w:spacing w:val="0"/>
                <w:sz w:val="14"/>
              </w:rPr>
              <w:t>non-CEO</w:t>
            </w:r>
          </w:p>
          <w:p>
            <w:pPr>
              <w:pStyle w:val="TableContents"/>
              <w:bidi w:val="0"/>
              <w:spacing w:before="0" w:after="0"/>
              <w:jc w:val="left"/>
              <w:rPr>
                <w:rFonts w:ascii="arial" w:hAnsi="arial"/>
                <w:sz w:val="14"/>
              </w:rPr>
            </w:pPr>
            <w:r>
              <w:rPr>
                <w:rFonts w:ascii="arial" w:hAnsi="arial"/>
                <w:sz w:val="14"/>
              </w:rPr>
              <w:t xml:space="preserve">named executive officers (“NEOs”) reflected in columns (c) and (e) represent the following individuals for the years shown: 2025 – Christopher D. Layden, Peter W. Quigley (Former CEO), Troy R. Anderson, Tammy L. Browning, Vanessa P. Williams, and Nicola M. Soares, 2024 – Peter W. Quigley, Troy R. Anderson, Vanessa P. Williams, Daniel H. Malan, Nicola M. Soares, Olivier G. Thirot (former CFO), and Dinette Koolhaas (former Executive), 2023 – Peter W. Quigley, Olivier G. Thirot, Daniel H. Malan, Vanessa P. Williams and Dinette Koolhaas, 2022 – Peter W. Quigley, Olivier G. Thirot, Dinette Koolhaas, Vanessa P. Williams, and Darren L. Simons, 2021 – Peter W. Quigley, Olivier G. Thirot, Dinette Koolhaas, Tammy L. Browning, and Timothy L. Dupree.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(3)</w:t>
            </w:r>
          </w:p>
        </w:tc>
        <w:tc>
          <w:tcPr>
            <w:tcW w:w="9934" w:type="dxa"/>
            <w:tcBorders/>
            <w:vAlign w:val="center"/>
          </w:tcPr>
          <w:p>
            <w:pPr>
              <w:pStyle w:val="TableContents"/>
              <w:bidi w:val="0"/>
              <w:spacing w:before="0" w:after="0"/>
              <w:jc w:val="left"/>
              <w:rPr>
                <w:rFonts w:ascii="arial" w:hAnsi="arial"/>
                <w:sz w:val="14"/>
              </w:rPr>
            </w:pPr>
            <w:r>
              <w:rPr>
                <w:rFonts w:ascii="arial" w:hAnsi="arial"/>
                <w:sz w:val="14"/>
              </w:rPr>
              <w:t xml:space="preserve">As permitted by SEC rules, the peer group referenced for purpose of the TSR comparison is the group of companies included in the S&amp;P 1500 Human Resources and Employment Services Index, which is the industry peer group used for purposes of item 201(e) of Regulation </w:t>
            </w:r>
          </w:p>
          <w:p>
            <w:pPr>
              <w:pStyle w:val="TableContents"/>
              <w:bidi w:val="0"/>
              <w:spacing w:before="0" w:after="0"/>
              <w:jc w:val="left"/>
              <w:rPr>
                <w:rFonts w:ascii="arial" w:hAnsi="arial"/>
                <w:spacing w:val="0"/>
                <w:sz w:val="14"/>
              </w:rPr>
            </w:pPr>
            <w:r>
              <w:rPr>
                <w:rFonts w:ascii="arial" w:hAnsi="arial"/>
                <w:spacing w:val="0"/>
                <w:sz w:val="14"/>
              </w:rPr>
              <w:t>S-K</w:t>
            </w:r>
          </w:p>
          <w:p>
            <w:pPr>
              <w:pStyle w:val="TableContents"/>
              <w:bidi w:val="0"/>
              <w:spacing w:before="0" w:after="0"/>
              <w:jc w:val="left"/>
              <w:rPr>
                <w:rFonts w:ascii="arial" w:hAnsi="arial"/>
                <w:sz w:val="14"/>
              </w:rPr>
            </w:pPr>
            <w:r>
              <w:rPr>
                <w:rFonts w:ascii="arial" w:hAnsi="arial"/>
                <w:sz w:val="14"/>
              </w:rPr>
              <w:t xml:space="preserve">as well as used in the Company’s Annual Report on Form </w:t>
            </w:r>
          </w:p>
          <w:p>
            <w:pPr>
              <w:pStyle w:val="TableContents"/>
              <w:bidi w:val="0"/>
              <w:spacing w:before="0" w:after="0"/>
              <w:jc w:val="left"/>
              <w:rPr>
                <w:rFonts w:ascii="arial" w:hAnsi="arial"/>
                <w:spacing w:val="0"/>
                <w:sz w:val="14"/>
              </w:rPr>
            </w:pPr>
            <w:r>
              <w:rPr>
                <w:rFonts w:ascii="arial" w:hAnsi="arial"/>
                <w:spacing w:val="0"/>
                <w:sz w:val="14"/>
              </w:rPr>
              <w:t>10-K</w:t>
            </w:r>
          </w:p>
          <w:p>
            <w:pPr>
              <w:pStyle w:val="TableContents"/>
              <w:bidi w:val="0"/>
              <w:spacing w:before="0" w:after="0"/>
              <w:jc w:val="left"/>
              <w:rPr>
                <w:rFonts w:ascii="arial" w:hAnsi="arial"/>
                <w:sz w:val="14"/>
              </w:rPr>
            </w:pPr>
            <w:r>
              <w:rPr>
                <w:rFonts w:ascii="arial" w:hAnsi="arial"/>
                <w:sz w:val="14"/>
              </w:rPr>
              <w:t xml:space="preserve">for the year ended December 28, 2025. TSR is cumulative (assuming $100 was invested on December 31, 2020) for the measurement period ending December 31, 2020 and ending on December 31 of 2025, 2024, 2023, 2022, 2021, respectively.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305"/>
        <w:gridCol w:w="4865"/>
      </w:tblGrid>
      <w:tr>
        <w:trPr/>
        <w:tc>
          <w:tcPr>
            <w:tcW w:w="305" w:type="dxa"/>
            <w:tcBorders/>
            <w:vAlign w:val="center"/>
          </w:tcPr>
          <w:p>
            <w:pPr>
              <w:pStyle w:val="TableContents"/>
              <w:bidi w:val="0"/>
              <w:spacing w:before="0" w:after="283"/>
              <w:jc w:val="left"/>
              <w:rPr/>
            </w:pPr>
            <w:r>
              <w:rPr/>
              <w:t>(4)</w:t>
            </w:r>
          </w:p>
        </w:tc>
        <w:tc>
          <w:tcPr>
            <w:tcW w:w="4865" w:type="dxa"/>
            <w:tcBorders/>
            <w:vAlign w:val="center"/>
          </w:tcPr>
          <w:p>
            <w:pPr>
              <w:pStyle w:val="TableContents"/>
              <w:bidi w:val="0"/>
              <w:spacing w:before="0" w:after="0"/>
              <w:jc w:val="left"/>
              <w:rPr>
                <w:rFonts w:ascii="arial" w:hAnsi="arial"/>
                <w:sz w:val="14"/>
              </w:rPr>
            </w:pPr>
            <w:r>
              <w:rPr>
                <w:rFonts w:ascii="arial" w:hAnsi="arial"/>
                <w:sz w:val="14"/>
              </w:rPr>
              <w:t xml:space="preserve">The following amounts are the reconciliation of the CSM, EBITDA (in millions): </w:t>
            </w:r>
          </w:p>
        </w:tc>
      </w:tr>
    </w:tbl>
    <w:p>
      <w:pPr>
        <w:pStyle w:val="TextBody"/>
        <w:bidi w:val="0"/>
        <w:spacing w:before="0" w:after="0"/>
        <w:jc w:val="left"/>
        <w:rPr/>
      </w:pPr>
      <w:r>
        <w:rPr/>
        <w:t> </w:t>
      </w:r>
    </w:p>
    <w:tbl>
      <w:tblPr>
        <w:tblW w:w="8160" w:type="dxa"/>
        <w:jc w:val="left"/>
        <w:tblInd w:w="0" w:type="dxa"/>
        <w:tblLayout w:type="fixed"/>
        <w:tblCellMar>
          <w:top w:w="0" w:type="dxa"/>
          <w:left w:w="0" w:type="dxa"/>
          <w:bottom w:w="0" w:type="dxa"/>
          <w:right w:w="0" w:type="dxa"/>
        </w:tblCellMar>
      </w:tblPr>
      <w:tblGrid>
        <w:gridCol w:w="3665"/>
        <w:gridCol w:w="23"/>
        <w:gridCol w:w="23"/>
        <w:gridCol w:w="60"/>
        <w:gridCol w:w="755"/>
        <w:gridCol w:w="95"/>
        <w:gridCol w:w="23"/>
        <w:gridCol w:w="23"/>
        <w:gridCol w:w="60"/>
        <w:gridCol w:w="680"/>
        <w:gridCol w:w="95"/>
        <w:gridCol w:w="23"/>
        <w:gridCol w:w="23"/>
        <w:gridCol w:w="60"/>
        <w:gridCol w:w="680"/>
        <w:gridCol w:w="95"/>
        <w:gridCol w:w="23"/>
        <w:gridCol w:w="23"/>
        <w:gridCol w:w="60"/>
        <w:gridCol w:w="680"/>
        <w:gridCol w:w="95"/>
        <w:gridCol w:w="23"/>
        <w:gridCol w:w="23"/>
        <w:gridCol w:w="60"/>
        <w:gridCol w:w="680"/>
        <w:gridCol w:w="110"/>
      </w:tblGrid>
      <w:tr>
        <w:trPr/>
        <w:tc>
          <w:tcPr>
            <w:tcW w:w="366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3665" w:type="dxa"/>
            <w:tcBorders>
              <w:bottom w:val="single" w:sz="8" w:space="0" w:color="33302B"/>
            </w:tcBorders>
            <w:tcMar>
              <w:bottom w:w="28" w:type="dxa"/>
            </w:tcMar>
            <w:vAlign w:val="center"/>
          </w:tcPr>
          <w:p>
            <w:pPr>
              <w:pStyle w:val="TableContents"/>
              <w:bidi w:val="0"/>
              <w:spacing w:before="0" w:after="283"/>
              <w:jc w:val="left"/>
              <w:rPr/>
            </w:pPr>
            <w:r>
              <w:rPr/>
              <w:t> </w:t>
            </w:r>
          </w:p>
        </w:tc>
        <w:tc>
          <w:tcPr>
            <w:tcW w:w="23" w:type="dxa"/>
            <w:tcBorders>
              <w:bottom w:val="single" w:sz="8" w:space="0" w:color="33302B"/>
            </w:tcBorders>
            <w:tcMar>
              <w:bottom w:w="28" w:type="dxa"/>
            </w:tcMar>
            <w:vAlign w:val="center"/>
          </w:tcPr>
          <w:p>
            <w:pPr>
              <w:pStyle w:val="TableContents"/>
              <w:bidi w:val="0"/>
              <w:spacing w:before="0" w:after="283"/>
              <w:jc w:val="left"/>
              <w:rPr>
                <w:sz w:val="4"/>
                <w:szCs w:val="4"/>
              </w:rPr>
            </w:pPr>
            <w:r>
              <w:rPr>
                <w:sz w:val="4"/>
                <w:szCs w:val="4"/>
              </w:rPr>
            </w:r>
          </w:p>
        </w:tc>
        <w:tc>
          <w:tcPr>
            <w:tcW w:w="933" w:type="dxa"/>
            <w:gridSpan w:val="4"/>
            <w:tcBorders>
              <w:bottom w:val="single" w:sz="8" w:space="0" w:color="33302B"/>
            </w:tcBorders>
            <w:tcMar>
              <w:bottom w:w="80" w:type="dxa"/>
            </w:tcMar>
            <w:vAlign w:val="center"/>
          </w:tcPr>
          <w:p>
            <w:pPr>
              <w:pStyle w:val="TableContents"/>
              <w:bidi w:val="0"/>
              <w:spacing w:before="0" w:after="0"/>
              <w:jc w:val="center"/>
              <w:rPr>
                <w:b/>
                <w:color w:val="00AE4F"/>
                <w:spacing w:val="0"/>
              </w:rPr>
            </w:pPr>
            <w:r>
              <w:rPr>
                <w:b/>
                <w:color w:val="00AE4F"/>
                <w:spacing w:val="0"/>
              </w:rPr>
              <w:t>2025</w:t>
            </w:r>
          </w:p>
        </w:tc>
        <w:tc>
          <w:tcPr>
            <w:tcW w:w="23" w:type="dxa"/>
            <w:tcBorders>
              <w:bottom w:val="single" w:sz="8" w:space="0" w:color="33302B"/>
            </w:tcBorders>
            <w:tcMar>
              <w:bottom w:w="28" w:type="dxa"/>
            </w:tcMar>
            <w:vAlign w:val="center"/>
          </w:tcPr>
          <w:p>
            <w:pPr>
              <w:pStyle w:val="TableContents"/>
              <w:bidi w:val="0"/>
              <w:spacing w:before="0" w:after="283"/>
              <w:jc w:val="left"/>
              <w:rPr>
                <w:sz w:val="4"/>
                <w:szCs w:val="4"/>
              </w:rPr>
            </w:pPr>
            <w:r>
              <w:rPr>
                <w:sz w:val="4"/>
                <w:szCs w:val="4"/>
              </w:rPr>
            </w:r>
          </w:p>
        </w:tc>
        <w:tc>
          <w:tcPr>
            <w:tcW w:w="858" w:type="dxa"/>
            <w:gridSpan w:val="4"/>
            <w:tcBorders>
              <w:bottom w:val="single" w:sz="8" w:space="0" w:color="33302B"/>
            </w:tcBorders>
            <w:tcMar>
              <w:bottom w:w="80" w:type="dxa"/>
            </w:tcMar>
            <w:vAlign w:val="center"/>
          </w:tcPr>
          <w:p>
            <w:pPr>
              <w:pStyle w:val="TableContents"/>
              <w:bidi w:val="0"/>
              <w:spacing w:before="0" w:after="0"/>
              <w:jc w:val="center"/>
              <w:rPr>
                <w:b/>
                <w:color w:val="00AE4F"/>
                <w:spacing w:val="0"/>
              </w:rPr>
            </w:pPr>
            <w:r>
              <w:rPr>
                <w:b/>
                <w:color w:val="00AE4F"/>
                <w:spacing w:val="0"/>
              </w:rPr>
              <w:t>2024</w:t>
            </w:r>
          </w:p>
        </w:tc>
        <w:tc>
          <w:tcPr>
            <w:tcW w:w="23" w:type="dxa"/>
            <w:tcBorders>
              <w:bottom w:val="single" w:sz="8" w:space="0" w:color="33302B"/>
            </w:tcBorders>
            <w:tcMar>
              <w:bottom w:w="28" w:type="dxa"/>
            </w:tcMar>
            <w:vAlign w:val="center"/>
          </w:tcPr>
          <w:p>
            <w:pPr>
              <w:pStyle w:val="TableContents"/>
              <w:bidi w:val="0"/>
              <w:spacing w:before="0" w:after="283"/>
              <w:jc w:val="left"/>
              <w:rPr>
                <w:sz w:val="4"/>
                <w:szCs w:val="4"/>
              </w:rPr>
            </w:pPr>
            <w:r>
              <w:rPr>
                <w:sz w:val="4"/>
                <w:szCs w:val="4"/>
              </w:rPr>
            </w:r>
          </w:p>
        </w:tc>
        <w:tc>
          <w:tcPr>
            <w:tcW w:w="858" w:type="dxa"/>
            <w:gridSpan w:val="4"/>
            <w:tcBorders>
              <w:bottom w:val="single" w:sz="8" w:space="0" w:color="33302B"/>
            </w:tcBorders>
            <w:tcMar>
              <w:bottom w:w="80" w:type="dxa"/>
            </w:tcMar>
            <w:vAlign w:val="center"/>
          </w:tcPr>
          <w:p>
            <w:pPr>
              <w:pStyle w:val="TableContents"/>
              <w:bidi w:val="0"/>
              <w:spacing w:before="0" w:after="0"/>
              <w:jc w:val="center"/>
              <w:rPr>
                <w:b/>
                <w:color w:val="00AE4F"/>
                <w:spacing w:val="0"/>
              </w:rPr>
            </w:pPr>
            <w:r>
              <w:rPr>
                <w:b/>
                <w:color w:val="00AE4F"/>
                <w:spacing w:val="0"/>
              </w:rPr>
              <w:t>2023</w:t>
            </w:r>
          </w:p>
        </w:tc>
        <w:tc>
          <w:tcPr>
            <w:tcW w:w="23" w:type="dxa"/>
            <w:tcBorders>
              <w:bottom w:val="single" w:sz="8" w:space="0" w:color="33302B"/>
            </w:tcBorders>
            <w:tcMar>
              <w:bottom w:w="28" w:type="dxa"/>
            </w:tcMar>
            <w:vAlign w:val="center"/>
          </w:tcPr>
          <w:p>
            <w:pPr>
              <w:pStyle w:val="TableContents"/>
              <w:bidi w:val="0"/>
              <w:spacing w:before="0" w:after="283"/>
              <w:jc w:val="left"/>
              <w:rPr>
                <w:sz w:val="4"/>
                <w:szCs w:val="4"/>
              </w:rPr>
            </w:pPr>
            <w:r>
              <w:rPr>
                <w:sz w:val="4"/>
                <w:szCs w:val="4"/>
              </w:rPr>
            </w:r>
          </w:p>
        </w:tc>
        <w:tc>
          <w:tcPr>
            <w:tcW w:w="858" w:type="dxa"/>
            <w:gridSpan w:val="4"/>
            <w:tcBorders>
              <w:bottom w:val="single" w:sz="8" w:space="0" w:color="33302B"/>
            </w:tcBorders>
            <w:tcMar>
              <w:bottom w:w="80" w:type="dxa"/>
            </w:tcMar>
            <w:vAlign w:val="center"/>
          </w:tcPr>
          <w:p>
            <w:pPr>
              <w:pStyle w:val="TableContents"/>
              <w:bidi w:val="0"/>
              <w:spacing w:before="0" w:after="0"/>
              <w:jc w:val="center"/>
              <w:rPr>
                <w:b/>
                <w:color w:val="00AE4F"/>
                <w:spacing w:val="0"/>
              </w:rPr>
            </w:pPr>
            <w:r>
              <w:rPr>
                <w:b/>
                <w:color w:val="00AE4F"/>
                <w:spacing w:val="0"/>
              </w:rPr>
              <w:t>2022</w:t>
            </w:r>
          </w:p>
        </w:tc>
        <w:tc>
          <w:tcPr>
            <w:tcW w:w="23" w:type="dxa"/>
            <w:tcBorders>
              <w:bottom w:val="single" w:sz="8" w:space="0" w:color="33302B"/>
            </w:tcBorders>
            <w:tcMar>
              <w:bottom w:w="28" w:type="dxa"/>
            </w:tcMar>
            <w:vAlign w:val="center"/>
          </w:tcPr>
          <w:p>
            <w:pPr>
              <w:pStyle w:val="TableContents"/>
              <w:bidi w:val="0"/>
              <w:spacing w:before="0" w:after="283"/>
              <w:jc w:val="left"/>
              <w:rPr>
                <w:sz w:val="4"/>
                <w:szCs w:val="4"/>
              </w:rPr>
            </w:pPr>
            <w:r>
              <w:rPr>
                <w:sz w:val="4"/>
                <w:szCs w:val="4"/>
              </w:rPr>
            </w:r>
          </w:p>
        </w:tc>
        <w:tc>
          <w:tcPr>
            <w:tcW w:w="873" w:type="dxa"/>
            <w:gridSpan w:val="4"/>
            <w:tcBorders>
              <w:bottom w:val="single" w:sz="8" w:space="0" w:color="33302B"/>
            </w:tcBorders>
            <w:tcMar>
              <w:bottom w:w="80" w:type="dxa"/>
            </w:tcMar>
            <w:vAlign w:val="center"/>
          </w:tcPr>
          <w:p>
            <w:pPr>
              <w:pStyle w:val="TableContents"/>
              <w:bidi w:val="0"/>
              <w:spacing w:before="0" w:after="0"/>
              <w:jc w:val="center"/>
              <w:rPr>
                <w:b/>
                <w:color w:val="00AE4F"/>
                <w:spacing w:val="0"/>
              </w:rPr>
            </w:pPr>
            <w:r>
              <w:rPr>
                <w:b/>
                <w:color w:val="00AE4F"/>
                <w:spacing w:val="0"/>
              </w:rPr>
              <w:t>2021</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956"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96" w:type="dxa"/>
            <w:gridSpan w:val="5"/>
            <w:tcBorders/>
            <w:vAlign w:val="center"/>
          </w:tcPr>
          <w:p>
            <w:pPr>
              <w:pStyle w:val="TableContents"/>
              <w:bidi w:val="0"/>
              <w:spacing w:before="0" w:after="283"/>
              <w:jc w:val="left"/>
              <w:rPr>
                <w:sz w:val="4"/>
                <w:szCs w:val="4"/>
              </w:rPr>
            </w:pPr>
            <w:r>
              <w:rPr>
                <w:sz w:val="4"/>
                <w:szCs w:val="4"/>
              </w:rPr>
            </w:r>
          </w:p>
        </w:tc>
      </w:tr>
      <w:tr>
        <w:trPr/>
        <w:tc>
          <w:tcPr>
            <w:tcW w:w="366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Net earnings (loss)</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755" w:type="dxa"/>
            <w:tcBorders>
              <w:bottom w:val="single" w:sz="6" w:space="0" w:color="7F7F7F"/>
            </w:tcBorders>
            <w:tcMar>
              <w:bottom w:w="40" w:type="dxa"/>
            </w:tcMar>
            <w:vAlign w:val="center"/>
          </w:tcPr>
          <w:p>
            <w:pPr>
              <w:pStyle w:val="TableContents"/>
              <w:bidi w:val="0"/>
              <w:spacing w:before="0" w:after="283"/>
              <w:jc w:val="right"/>
              <w:rPr/>
            </w:pPr>
            <w:r>
              <w:rPr/>
              <w:t>($254.1</w:t>
            </w:r>
          </w:p>
        </w:tc>
        <w:tc>
          <w:tcPr>
            <w:tcW w:w="95" w:type="dxa"/>
            <w:tcBorders>
              <w:bottom w:val="single" w:sz="6" w:space="0" w:color="7F7F7F"/>
            </w:tcBorders>
            <w:tcMar>
              <w:bottom w:w="40" w:type="dxa"/>
            </w:tcMar>
            <w:vAlign w:val="center"/>
          </w:tcPr>
          <w:p>
            <w:pPr>
              <w:pStyle w:val="TableContents"/>
              <w:bidi w:val="0"/>
              <w:spacing w:before="0" w:after="283"/>
              <w:jc w:val="left"/>
              <w:rPr/>
            </w:pPr>
            <w:r>
              <w:rPr/>
              <w:t>)</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($0.6</w:t>
            </w:r>
          </w:p>
        </w:tc>
        <w:tc>
          <w:tcPr>
            <w:tcW w:w="95" w:type="dxa"/>
            <w:tcBorders>
              <w:bottom w:val="single" w:sz="6" w:space="0" w:color="7F7F7F"/>
            </w:tcBorders>
            <w:tcMar>
              <w:bottom w:w="40" w:type="dxa"/>
            </w:tcMar>
            <w:vAlign w:val="center"/>
          </w:tcPr>
          <w:p>
            <w:pPr>
              <w:pStyle w:val="TableContents"/>
              <w:bidi w:val="0"/>
              <w:spacing w:before="0" w:after="283"/>
              <w:jc w:val="left"/>
              <w:rPr/>
            </w:pPr>
            <w:r>
              <w:rPr/>
              <w:t>)</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$36.4</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($62.5</w:t>
            </w:r>
          </w:p>
        </w:tc>
        <w:tc>
          <w:tcPr>
            <w:tcW w:w="95" w:type="dxa"/>
            <w:tcBorders>
              <w:bottom w:val="single" w:sz="6" w:space="0" w:color="7F7F7F"/>
            </w:tcBorders>
            <w:tcMar>
              <w:bottom w:w="40" w:type="dxa"/>
            </w:tcMar>
            <w:vAlign w:val="center"/>
          </w:tcPr>
          <w:p>
            <w:pPr>
              <w:pStyle w:val="TableContents"/>
              <w:bidi w:val="0"/>
              <w:spacing w:before="0" w:after="283"/>
              <w:jc w:val="left"/>
              <w:rPr/>
            </w:pPr>
            <w:r>
              <w:rPr/>
              <w:t>)</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$156.1</w:t>
            </w:r>
          </w:p>
        </w:tc>
        <w:tc>
          <w:tcPr>
            <w:tcW w:w="11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283"/>
              <w:jc w:val="left"/>
              <w:rPr>
                <w:sz w:val="4"/>
                <w:szCs w:val="4"/>
              </w:rPr>
            </w:pPr>
            <w:r>
              <w:rPr>
                <w:sz w:val="4"/>
                <w:szCs w:val="4"/>
              </w:rPr>
            </w:r>
          </w:p>
        </w:tc>
        <w:tc>
          <w:tcPr>
            <w:tcW w:w="956"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96" w:type="dxa"/>
            <w:gridSpan w:val="5"/>
            <w:tcBorders/>
            <w:vAlign w:val="center"/>
          </w:tcPr>
          <w:p>
            <w:pPr>
              <w:pStyle w:val="TableContents"/>
              <w:bidi w:val="0"/>
              <w:spacing w:before="0" w:after="283"/>
              <w:jc w:val="left"/>
              <w:rPr>
                <w:sz w:val="4"/>
                <w:szCs w:val="4"/>
              </w:rPr>
            </w:pPr>
            <w:r>
              <w:rPr>
                <w:sz w:val="4"/>
                <w:szCs w:val="4"/>
              </w:rPr>
            </w:r>
          </w:p>
        </w:tc>
      </w:tr>
      <w:tr>
        <w:trPr/>
        <w:tc>
          <w:tcPr>
            <w:tcW w:w="366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Other (income) expense, net</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755" w:type="dxa"/>
            <w:tcBorders>
              <w:bottom w:val="single" w:sz="6" w:space="0" w:color="7F7F7F"/>
            </w:tcBorders>
            <w:tcMar>
              <w:bottom w:w="40" w:type="dxa"/>
            </w:tcMar>
            <w:vAlign w:val="center"/>
          </w:tcPr>
          <w:p>
            <w:pPr>
              <w:pStyle w:val="TableContents"/>
              <w:bidi w:val="0"/>
              <w:spacing w:before="0" w:after="283"/>
              <w:jc w:val="right"/>
              <w:rPr/>
            </w:pPr>
            <w:r>
              <w:rPr/>
              <w:t>8.6</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3.3</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(4.2</w:t>
            </w:r>
          </w:p>
        </w:tc>
        <w:tc>
          <w:tcPr>
            <w:tcW w:w="95" w:type="dxa"/>
            <w:tcBorders>
              <w:bottom w:val="single" w:sz="6" w:space="0" w:color="7F7F7F"/>
            </w:tcBorders>
            <w:tcMar>
              <w:bottom w:w="40" w:type="dxa"/>
            </w:tcMar>
            <w:vAlign w:val="center"/>
          </w:tcPr>
          <w:p>
            <w:pPr>
              <w:pStyle w:val="TableContents"/>
              <w:bidi w:val="0"/>
              <w:spacing w:before="0" w:after="283"/>
              <w:jc w:val="left"/>
              <w:rPr/>
            </w:pPr>
            <w:r>
              <w:rPr/>
              <w:t>)</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(1.6</w:t>
            </w:r>
          </w:p>
        </w:tc>
        <w:tc>
          <w:tcPr>
            <w:tcW w:w="95" w:type="dxa"/>
            <w:tcBorders>
              <w:bottom w:val="single" w:sz="6" w:space="0" w:color="7F7F7F"/>
            </w:tcBorders>
            <w:tcMar>
              <w:bottom w:w="40" w:type="dxa"/>
            </w:tcMar>
            <w:vAlign w:val="center"/>
          </w:tcPr>
          <w:p>
            <w:pPr>
              <w:pStyle w:val="TableContents"/>
              <w:bidi w:val="0"/>
              <w:spacing w:before="0" w:after="283"/>
              <w:jc w:val="left"/>
              <w:rPr/>
            </w:pPr>
            <w:r>
              <w:rPr/>
              <w:t>)</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3.6</w:t>
            </w:r>
          </w:p>
        </w:tc>
        <w:tc>
          <w:tcPr>
            <w:tcW w:w="11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283"/>
              <w:jc w:val="left"/>
              <w:rPr>
                <w:sz w:val="4"/>
                <w:szCs w:val="4"/>
              </w:rPr>
            </w:pPr>
            <w:r>
              <w:rPr>
                <w:sz w:val="4"/>
                <w:szCs w:val="4"/>
              </w:rPr>
            </w:r>
          </w:p>
        </w:tc>
        <w:tc>
          <w:tcPr>
            <w:tcW w:w="956"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96" w:type="dxa"/>
            <w:gridSpan w:val="5"/>
            <w:tcBorders/>
            <w:vAlign w:val="center"/>
          </w:tcPr>
          <w:p>
            <w:pPr>
              <w:pStyle w:val="TableContents"/>
              <w:bidi w:val="0"/>
              <w:spacing w:before="0" w:after="283"/>
              <w:jc w:val="left"/>
              <w:rPr>
                <w:sz w:val="4"/>
                <w:szCs w:val="4"/>
              </w:rPr>
            </w:pPr>
            <w:r>
              <w:rPr>
                <w:sz w:val="4"/>
                <w:szCs w:val="4"/>
              </w:rPr>
            </w:r>
          </w:p>
        </w:tc>
      </w:tr>
      <w:tr>
        <w:trPr/>
        <w:tc>
          <w:tcPr>
            <w:tcW w:w="366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Income tax expense (benefit)</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755" w:type="dxa"/>
            <w:tcBorders>
              <w:bottom w:val="single" w:sz="6" w:space="0" w:color="7F7F7F"/>
            </w:tcBorders>
            <w:tcMar>
              <w:bottom w:w="40" w:type="dxa"/>
            </w:tcMar>
            <w:vAlign w:val="center"/>
          </w:tcPr>
          <w:p>
            <w:pPr>
              <w:pStyle w:val="TableContents"/>
              <w:bidi w:val="0"/>
              <w:spacing w:before="0" w:after="283"/>
              <w:jc w:val="right"/>
              <w:rPr/>
            </w:pPr>
            <w:r>
              <w:rPr/>
              <w:t>175.3</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(21.3</w:t>
            </w:r>
          </w:p>
        </w:tc>
        <w:tc>
          <w:tcPr>
            <w:tcW w:w="95" w:type="dxa"/>
            <w:tcBorders>
              <w:bottom w:val="single" w:sz="6" w:space="0" w:color="7F7F7F"/>
            </w:tcBorders>
            <w:tcMar>
              <w:bottom w:w="40" w:type="dxa"/>
            </w:tcMar>
            <w:vAlign w:val="center"/>
          </w:tcPr>
          <w:p>
            <w:pPr>
              <w:pStyle w:val="TableContents"/>
              <w:bidi w:val="0"/>
              <w:spacing w:before="0" w:after="283"/>
              <w:jc w:val="left"/>
              <w:rPr/>
            </w:pPr>
            <w:r>
              <w:rPr/>
              <w:t>)</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(11.5</w:t>
            </w:r>
          </w:p>
        </w:tc>
        <w:tc>
          <w:tcPr>
            <w:tcW w:w="95" w:type="dxa"/>
            <w:tcBorders>
              <w:bottom w:val="single" w:sz="6" w:space="0" w:color="7F7F7F"/>
            </w:tcBorders>
            <w:tcMar>
              <w:bottom w:w="40" w:type="dxa"/>
            </w:tcMar>
            <w:vAlign w:val="center"/>
          </w:tcPr>
          <w:p>
            <w:pPr>
              <w:pStyle w:val="TableContents"/>
              <w:bidi w:val="0"/>
              <w:spacing w:before="0" w:after="283"/>
              <w:jc w:val="left"/>
              <w:rPr/>
            </w:pPr>
            <w:r>
              <w:rPr/>
              <w:t>)</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(7.9</w:t>
            </w:r>
          </w:p>
        </w:tc>
        <w:tc>
          <w:tcPr>
            <w:tcW w:w="95" w:type="dxa"/>
            <w:tcBorders>
              <w:bottom w:val="single" w:sz="6" w:space="0" w:color="7F7F7F"/>
            </w:tcBorders>
            <w:tcMar>
              <w:bottom w:w="40" w:type="dxa"/>
            </w:tcMar>
            <w:vAlign w:val="center"/>
          </w:tcPr>
          <w:p>
            <w:pPr>
              <w:pStyle w:val="TableContents"/>
              <w:bidi w:val="0"/>
              <w:spacing w:before="0" w:after="283"/>
              <w:jc w:val="left"/>
              <w:rPr/>
            </w:pPr>
            <w:r>
              <w:rPr/>
              <w:t>)</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35.1</w:t>
            </w:r>
          </w:p>
        </w:tc>
        <w:tc>
          <w:tcPr>
            <w:tcW w:w="11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283"/>
              <w:jc w:val="left"/>
              <w:rPr>
                <w:sz w:val="4"/>
                <w:szCs w:val="4"/>
              </w:rPr>
            </w:pPr>
            <w:r>
              <w:rPr>
                <w:sz w:val="4"/>
                <w:szCs w:val="4"/>
              </w:rPr>
            </w:r>
          </w:p>
        </w:tc>
        <w:tc>
          <w:tcPr>
            <w:tcW w:w="956"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96" w:type="dxa"/>
            <w:gridSpan w:val="5"/>
            <w:tcBorders/>
            <w:vAlign w:val="center"/>
          </w:tcPr>
          <w:p>
            <w:pPr>
              <w:pStyle w:val="TableContents"/>
              <w:bidi w:val="0"/>
              <w:spacing w:before="0" w:after="283"/>
              <w:jc w:val="left"/>
              <w:rPr>
                <w:sz w:val="4"/>
                <w:szCs w:val="4"/>
              </w:rPr>
            </w:pPr>
            <w:r>
              <w:rPr>
                <w:sz w:val="4"/>
                <w:szCs w:val="4"/>
              </w:rPr>
            </w:r>
          </w:p>
        </w:tc>
      </w:tr>
      <w:tr>
        <w:trPr/>
        <w:tc>
          <w:tcPr>
            <w:tcW w:w="366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Depreciation and amortization</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755" w:type="dxa"/>
            <w:tcBorders>
              <w:bottom w:val="single" w:sz="6" w:space="0" w:color="7F7F7F"/>
            </w:tcBorders>
            <w:tcMar>
              <w:bottom w:w="40" w:type="dxa"/>
            </w:tcMar>
            <w:vAlign w:val="center"/>
          </w:tcPr>
          <w:p>
            <w:pPr>
              <w:pStyle w:val="TableContents"/>
              <w:bidi w:val="0"/>
              <w:spacing w:before="0" w:after="283"/>
              <w:jc w:val="right"/>
              <w:rPr/>
            </w:pPr>
            <w:r>
              <w:rPr/>
              <w:t>51.0</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51.5</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40.1</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37.1</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31.4</w:t>
            </w:r>
          </w:p>
        </w:tc>
        <w:tc>
          <w:tcPr>
            <w:tcW w:w="11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283"/>
              <w:jc w:val="left"/>
              <w:rPr>
                <w:sz w:val="4"/>
                <w:szCs w:val="4"/>
              </w:rPr>
            </w:pPr>
            <w:r>
              <w:rPr>
                <w:sz w:val="4"/>
                <w:szCs w:val="4"/>
              </w:rPr>
            </w:r>
          </w:p>
        </w:tc>
        <w:tc>
          <w:tcPr>
            <w:tcW w:w="956"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96" w:type="dxa"/>
            <w:gridSpan w:val="5"/>
            <w:tcBorders/>
            <w:vAlign w:val="center"/>
          </w:tcPr>
          <w:p>
            <w:pPr>
              <w:pStyle w:val="TableContents"/>
              <w:bidi w:val="0"/>
              <w:spacing w:before="0" w:after="283"/>
              <w:jc w:val="left"/>
              <w:rPr>
                <w:sz w:val="4"/>
                <w:szCs w:val="4"/>
              </w:rPr>
            </w:pPr>
            <w:r>
              <w:rPr>
                <w:sz w:val="4"/>
                <w:szCs w:val="4"/>
              </w:rPr>
            </w:r>
          </w:p>
        </w:tc>
      </w:tr>
      <w:tr>
        <w:trPr/>
        <w:tc>
          <w:tcPr>
            <w:tcW w:w="366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Goodwill impairment charge</w:t>
            </w:r>
          </w:p>
          <w:p>
            <w:pPr>
              <w:pStyle w:val="TableContents"/>
              <w:bidi w:val="0"/>
              <w:spacing w:before="0" w:after="0"/>
              <w:jc w:val="left"/>
              <w:rPr>
                <w:rFonts w:ascii="arial" w:hAnsi="arial"/>
                <w:sz w:val="9"/>
              </w:rPr>
            </w:pPr>
            <w:r>
              <w:rPr>
                <w:rFonts w:ascii="arial" w:hAnsi="arial"/>
                <w:sz w:val="9"/>
              </w:rPr>
              <w:t>(1)</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755" w:type="dxa"/>
            <w:tcBorders>
              <w:bottom w:val="single" w:sz="6" w:space="0" w:color="7F7F7F"/>
            </w:tcBorders>
            <w:tcMar>
              <w:bottom w:w="40" w:type="dxa"/>
            </w:tcMar>
            <w:vAlign w:val="center"/>
          </w:tcPr>
          <w:p>
            <w:pPr>
              <w:pStyle w:val="TableContents"/>
              <w:bidi w:val="0"/>
              <w:spacing w:before="0" w:after="283"/>
              <w:jc w:val="right"/>
              <w:rPr/>
            </w:pPr>
            <w:r>
              <w:rPr/>
              <w:t>102.0</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72.8</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41.0</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110" w:type="dxa"/>
            <w:tcBorders>
              <w:bottom w:val="single" w:sz="6" w:space="0" w:color="7F7F7F"/>
            </w:tcBorders>
            <w:tcMar>
              <w:bottom w:w="28" w:type="dxa"/>
            </w:tcMar>
            <w:vAlign w:val="center"/>
          </w:tcPr>
          <w:p>
            <w:pPr>
              <w:pStyle w:val="TableContents"/>
              <w:bidi w:val="0"/>
              <w:spacing w:before="0" w:after="0"/>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956"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96" w:type="dxa"/>
            <w:gridSpan w:val="5"/>
            <w:tcBorders/>
            <w:vAlign w:val="center"/>
          </w:tcPr>
          <w:p>
            <w:pPr>
              <w:pStyle w:val="TableContents"/>
              <w:bidi w:val="0"/>
              <w:spacing w:before="0" w:after="283"/>
              <w:jc w:val="left"/>
              <w:rPr>
                <w:sz w:val="4"/>
                <w:szCs w:val="4"/>
              </w:rPr>
            </w:pPr>
            <w:r>
              <w:rPr>
                <w:sz w:val="4"/>
                <w:szCs w:val="4"/>
              </w:rPr>
            </w:r>
          </w:p>
        </w:tc>
      </w:tr>
      <w:tr>
        <w:trPr/>
        <w:tc>
          <w:tcPr>
            <w:tcW w:w="366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Asset impairment charge</w:t>
            </w:r>
          </w:p>
          <w:p>
            <w:pPr>
              <w:pStyle w:val="TableContents"/>
              <w:bidi w:val="0"/>
              <w:spacing w:before="0" w:after="0"/>
              <w:jc w:val="left"/>
              <w:rPr>
                <w:rFonts w:ascii="arial" w:hAnsi="arial"/>
                <w:sz w:val="9"/>
              </w:rPr>
            </w:pPr>
            <w:r>
              <w:rPr>
                <w:rFonts w:ascii="arial" w:hAnsi="arial"/>
                <w:sz w:val="9"/>
              </w:rPr>
              <w:t>(2)</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755" w:type="dxa"/>
            <w:tcBorders>
              <w:bottom w:val="single" w:sz="6" w:space="0" w:color="7F7F7F"/>
            </w:tcBorders>
            <w:tcMar>
              <w:bottom w:w="40" w:type="dxa"/>
            </w:tcMar>
            <w:vAlign w:val="center"/>
          </w:tcPr>
          <w:p>
            <w:pPr>
              <w:pStyle w:val="TableContents"/>
              <w:bidi w:val="0"/>
              <w:spacing w:before="0" w:after="283"/>
              <w:jc w:val="right"/>
              <w:rPr/>
            </w:pPr>
            <w:r>
              <w:rPr/>
              <w:t>0.0</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13.5</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2.4</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110" w:type="dxa"/>
            <w:tcBorders>
              <w:bottom w:val="single" w:sz="6" w:space="0" w:color="7F7F7F"/>
            </w:tcBorders>
            <w:tcMar>
              <w:bottom w:w="28" w:type="dxa"/>
            </w:tcMar>
            <w:vAlign w:val="center"/>
          </w:tcPr>
          <w:p>
            <w:pPr>
              <w:pStyle w:val="TableContents"/>
              <w:bidi w:val="0"/>
              <w:spacing w:before="0" w:after="0"/>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956"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96" w:type="dxa"/>
            <w:gridSpan w:val="5"/>
            <w:tcBorders/>
            <w:vAlign w:val="center"/>
          </w:tcPr>
          <w:p>
            <w:pPr>
              <w:pStyle w:val="TableContents"/>
              <w:bidi w:val="0"/>
              <w:spacing w:before="0" w:after="283"/>
              <w:jc w:val="left"/>
              <w:rPr>
                <w:sz w:val="4"/>
                <w:szCs w:val="4"/>
              </w:rPr>
            </w:pPr>
            <w:r>
              <w:rPr>
                <w:sz w:val="4"/>
                <w:szCs w:val="4"/>
              </w:rPr>
            </w:r>
          </w:p>
        </w:tc>
      </w:tr>
      <w:tr>
        <w:trPr/>
        <w:tc>
          <w:tcPr>
            <w:tcW w:w="366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Integration, realignment and restructuring charges</w:t>
            </w:r>
          </w:p>
          <w:p>
            <w:pPr>
              <w:pStyle w:val="TableContents"/>
              <w:bidi w:val="0"/>
              <w:spacing w:before="0" w:after="0"/>
              <w:jc w:val="left"/>
              <w:rPr>
                <w:rFonts w:ascii="arial" w:hAnsi="arial"/>
                <w:sz w:val="9"/>
              </w:rPr>
            </w:pPr>
            <w:r>
              <w:rPr>
                <w:rFonts w:ascii="arial" w:hAnsi="arial"/>
                <w:sz w:val="9"/>
              </w:rPr>
              <w:t>(3)</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755" w:type="dxa"/>
            <w:tcBorders>
              <w:bottom w:val="single" w:sz="6" w:space="0" w:color="7F7F7F"/>
            </w:tcBorders>
            <w:tcMar>
              <w:bottom w:w="40" w:type="dxa"/>
            </w:tcMar>
            <w:vAlign w:val="center"/>
          </w:tcPr>
          <w:p>
            <w:pPr>
              <w:pStyle w:val="TableContents"/>
              <w:bidi w:val="0"/>
              <w:spacing w:before="0" w:after="283"/>
              <w:jc w:val="right"/>
              <w:rPr/>
            </w:pPr>
            <w:r>
              <w:rPr/>
              <w:t>27.8</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16.1</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35.5</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4.0</w:t>
            </w:r>
          </w:p>
        </w:tc>
        <w:tc>
          <w:tcPr>
            <w:tcW w:w="11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283"/>
              <w:jc w:val="left"/>
              <w:rPr>
                <w:sz w:val="4"/>
                <w:szCs w:val="4"/>
              </w:rPr>
            </w:pPr>
            <w:r>
              <w:rPr>
                <w:sz w:val="4"/>
                <w:szCs w:val="4"/>
              </w:rPr>
            </w:r>
          </w:p>
        </w:tc>
        <w:tc>
          <w:tcPr>
            <w:tcW w:w="956"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96" w:type="dxa"/>
            <w:gridSpan w:val="5"/>
            <w:tcBorders/>
            <w:vAlign w:val="center"/>
          </w:tcPr>
          <w:p>
            <w:pPr>
              <w:pStyle w:val="TableContents"/>
              <w:bidi w:val="0"/>
              <w:spacing w:before="0" w:after="283"/>
              <w:jc w:val="left"/>
              <w:rPr>
                <w:sz w:val="4"/>
                <w:szCs w:val="4"/>
              </w:rPr>
            </w:pPr>
            <w:r>
              <w:rPr>
                <w:sz w:val="4"/>
                <w:szCs w:val="4"/>
              </w:rPr>
            </w:r>
          </w:p>
        </w:tc>
      </w:tr>
      <w:tr>
        <w:trPr/>
        <w:tc>
          <w:tcPr>
            <w:tcW w:w="366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Executive transition costs</w:t>
            </w:r>
          </w:p>
          <w:p>
            <w:pPr>
              <w:pStyle w:val="TableContents"/>
              <w:bidi w:val="0"/>
              <w:spacing w:before="0" w:after="0"/>
              <w:jc w:val="left"/>
              <w:rPr>
                <w:rFonts w:ascii="arial" w:hAnsi="arial"/>
                <w:sz w:val="9"/>
              </w:rPr>
            </w:pPr>
            <w:r>
              <w:rPr>
                <w:rFonts w:ascii="arial" w:hAnsi="arial"/>
                <w:sz w:val="9"/>
              </w:rPr>
              <w:t>(4)</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755" w:type="dxa"/>
            <w:tcBorders>
              <w:bottom w:val="single" w:sz="6" w:space="0" w:color="7F7F7F"/>
            </w:tcBorders>
            <w:tcMar>
              <w:bottom w:w="40" w:type="dxa"/>
            </w:tcMar>
            <w:vAlign w:val="center"/>
          </w:tcPr>
          <w:p>
            <w:pPr>
              <w:pStyle w:val="TableContents"/>
              <w:bidi w:val="0"/>
              <w:spacing w:before="0" w:after="283"/>
              <w:jc w:val="right"/>
              <w:rPr/>
            </w:pPr>
            <w:r>
              <w:rPr/>
              <w:t>2.7</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2.3</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110" w:type="dxa"/>
            <w:tcBorders>
              <w:bottom w:val="single" w:sz="6" w:space="0" w:color="7F7F7F"/>
            </w:tcBorders>
            <w:tcMar>
              <w:bottom w:w="28" w:type="dxa"/>
            </w:tcMar>
            <w:vAlign w:val="center"/>
          </w:tcPr>
          <w:p>
            <w:pPr>
              <w:pStyle w:val="TableContents"/>
              <w:bidi w:val="0"/>
              <w:spacing w:before="0" w:after="0"/>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956"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96" w:type="dxa"/>
            <w:gridSpan w:val="5"/>
            <w:tcBorders/>
            <w:vAlign w:val="center"/>
          </w:tcPr>
          <w:p>
            <w:pPr>
              <w:pStyle w:val="TableContents"/>
              <w:bidi w:val="0"/>
              <w:spacing w:before="0" w:after="283"/>
              <w:jc w:val="left"/>
              <w:rPr>
                <w:sz w:val="4"/>
                <w:szCs w:val="4"/>
              </w:rPr>
            </w:pPr>
            <w:r>
              <w:rPr>
                <w:sz w:val="4"/>
                <w:szCs w:val="4"/>
              </w:rPr>
            </w:r>
          </w:p>
        </w:tc>
      </w:tr>
      <w:tr>
        <w:trPr/>
        <w:tc>
          <w:tcPr>
            <w:tcW w:w="366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Gain on equity securities</w:t>
            </w:r>
          </w:p>
          <w:p>
            <w:pPr>
              <w:pStyle w:val="TableContents"/>
              <w:bidi w:val="0"/>
              <w:spacing w:before="0" w:after="0"/>
              <w:jc w:val="left"/>
              <w:rPr>
                <w:rFonts w:ascii="arial" w:hAnsi="arial"/>
                <w:sz w:val="9"/>
              </w:rPr>
            </w:pPr>
            <w:r>
              <w:rPr>
                <w:rFonts w:ascii="arial" w:hAnsi="arial"/>
                <w:sz w:val="9"/>
              </w:rPr>
              <w:t>(5)</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755" w:type="dxa"/>
            <w:tcBorders>
              <w:bottom w:val="single" w:sz="6" w:space="0" w:color="7F7F7F"/>
            </w:tcBorders>
            <w:tcMar>
              <w:bottom w:w="40" w:type="dxa"/>
            </w:tcMar>
            <w:vAlign w:val="center"/>
          </w:tcPr>
          <w:p>
            <w:pPr>
              <w:pStyle w:val="TableContents"/>
              <w:bidi w:val="0"/>
              <w:spacing w:before="0" w:after="283"/>
              <w:jc w:val="right"/>
              <w:rPr/>
            </w:pPr>
            <w:r>
              <w:rPr/>
              <w:t>0.0</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(3.8</w:t>
            </w:r>
          </w:p>
        </w:tc>
        <w:tc>
          <w:tcPr>
            <w:tcW w:w="95" w:type="dxa"/>
            <w:tcBorders>
              <w:bottom w:val="single" w:sz="6" w:space="0" w:color="7F7F7F"/>
            </w:tcBorders>
            <w:tcMar>
              <w:bottom w:w="40" w:type="dxa"/>
            </w:tcMar>
            <w:vAlign w:val="center"/>
          </w:tcPr>
          <w:p>
            <w:pPr>
              <w:pStyle w:val="TableContents"/>
              <w:bidi w:val="0"/>
              <w:spacing w:before="0" w:after="283"/>
              <w:jc w:val="left"/>
              <w:rPr/>
            </w:pPr>
            <w:r>
              <w:rPr/>
              <w:t>)</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110" w:type="dxa"/>
            <w:tcBorders>
              <w:bottom w:val="single" w:sz="6" w:space="0" w:color="7F7F7F"/>
            </w:tcBorders>
            <w:tcMar>
              <w:bottom w:w="28" w:type="dxa"/>
            </w:tcMar>
            <w:vAlign w:val="center"/>
          </w:tcPr>
          <w:p>
            <w:pPr>
              <w:pStyle w:val="TableContents"/>
              <w:bidi w:val="0"/>
              <w:spacing w:before="0" w:after="0"/>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956"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96" w:type="dxa"/>
            <w:gridSpan w:val="5"/>
            <w:tcBorders/>
            <w:vAlign w:val="center"/>
          </w:tcPr>
          <w:p>
            <w:pPr>
              <w:pStyle w:val="TableContents"/>
              <w:bidi w:val="0"/>
              <w:spacing w:before="0" w:after="283"/>
              <w:jc w:val="left"/>
              <w:rPr>
                <w:sz w:val="4"/>
                <w:szCs w:val="4"/>
              </w:rPr>
            </w:pPr>
            <w:r>
              <w:rPr>
                <w:sz w:val="4"/>
                <w:szCs w:val="4"/>
              </w:rPr>
            </w:r>
          </w:p>
        </w:tc>
      </w:tr>
      <w:tr>
        <w:trPr/>
        <w:tc>
          <w:tcPr>
            <w:tcW w:w="366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Transaction costs</w:t>
            </w:r>
          </w:p>
          <w:p>
            <w:pPr>
              <w:pStyle w:val="TableContents"/>
              <w:bidi w:val="0"/>
              <w:spacing w:before="0" w:after="0"/>
              <w:jc w:val="left"/>
              <w:rPr>
                <w:rFonts w:ascii="arial" w:hAnsi="arial"/>
                <w:sz w:val="9"/>
              </w:rPr>
            </w:pPr>
            <w:r>
              <w:rPr>
                <w:rFonts w:ascii="arial" w:hAnsi="arial"/>
                <w:sz w:val="9"/>
              </w:rPr>
              <w:t>(6)</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755" w:type="dxa"/>
            <w:tcBorders>
              <w:bottom w:val="single" w:sz="6" w:space="0" w:color="7F7F7F"/>
            </w:tcBorders>
            <w:tcMar>
              <w:bottom w:w="40" w:type="dxa"/>
            </w:tcMar>
            <w:vAlign w:val="center"/>
          </w:tcPr>
          <w:p>
            <w:pPr>
              <w:pStyle w:val="TableContents"/>
              <w:bidi w:val="0"/>
              <w:spacing w:before="0" w:after="283"/>
              <w:jc w:val="right"/>
              <w:rPr/>
            </w:pPr>
            <w:r>
              <w:rPr/>
              <w:t>1.2</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17.9</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6.9</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110" w:type="dxa"/>
            <w:tcBorders>
              <w:bottom w:val="single" w:sz="6" w:space="0" w:color="7F7F7F"/>
            </w:tcBorders>
            <w:tcMar>
              <w:bottom w:w="28" w:type="dxa"/>
            </w:tcMar>
            <w:vAlign w:val="center"/>
          </w:tcPr>
          <w:p>
            <w:pPr>
              <w:pStyle w:val="TableContents"/>
              <w:bidi w:val="0"/>
              <w:spacing w:before="0" w:after="0"/>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956"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96" w:type="dxa"/>
            <w:gridSpan w:val="5"/>
            <w:tcBorders/>
            <w:vAlign w:val="center"/>
          </w:tcPr>
          <w:p>
            <w:pPr>
              <w:pStyle w:val="TableContents"/>
              <w:bidi w:val="0"/>
              <w:spacing w:before="0" w:after="283"/>
              <w:jc w:val="left"/>
              <w:rPr>
                <w:sz w:val="4"/>
                <w:szCs w:val="4"/>
              </w:rPr>
            </w:pPr>
            <w:r>
              <w:rPr>
                <w:sz w:val="4"/>
                <w:szCs w:val="4"/>
              </w:rPr>
            </w:r>
          </w:p>
        </w:tc>
      </w:tr>
      <w:tr>
        <w:trPr/>
        <w:tc>
          <w:tcPr>
            <w:tcW w:w="366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Gain on sale of assets</w:t>
            </w:r>
          </w:p>
          <w:p>
            <w:pPr>
              <w:pStyle w:val="TableContents"/>
              <w:bidi w:val="0"/>
              <w:spacing w:before="0" w:after="0"/>
              <w:jc w:val="left"/>
              <w:rPr>
                <w:rFonts w:ascii="arial" w:hAnsi="arial"/>
                <w:sz w:val="9"/>
              </w:rPr>
            </w:pPr>
            <w:r>
              <w:rPr>
                <w:rFonts w:ascii="arial" w:hAnsi="arial"/>
                <w:sz w:val="9"/>
              </w:rPr>
              <w:t>(7)</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755" w:type="dxa"/>
            <w:tcBorders>
              <w:bottom w:val="single" w:sz="6" w:space="0" w:color="7F7F7F"/>
            </w:tcBorders>
            <w:tcMar>
              <w:bottom w:w="40" w:type="dxa"/>
            </w:tcMar>
            <w:vAlign w:val="center"/>
          </w:tcPr>
          <w:p>
            <w:pPr>
              <w:pStyle w:val="TableContents"/>
              <w:bidi w:val="0"/>
              <w:spacing w:before="0" w:after="283"/>
              <w:jc w:val="right"/>
              <w:rPr/>
            </w:pPr>
            <w:r>
              <w:rPr/>
              <w:t>(1.0</w:t>
            </w:r>
          </w:p>
        </w:tc>
        <w:tc>
          <w:tcPr>
            <w:tcW w:w="95" w:type="dxa"/>
            <w:tcBorders>
              <w:bottom w:val="single" w:sz="6" w:space="0" w:color="7F7F7F"/>
            </w:tcBorders>
            <w:tcMar>
              <w:bottom w:w="40" w:type="dxa"/>
            </w:tcMar>
            <w:vAlign w:val="center"/>
          </w:tcPr>
          <w:p>
            <w:pPr>
              <w:pStyle w:val="TableContents"/>
              <w:bidi w:val="0"/>
              <w:spacing w:before="0" w:after="283"/>
              <w:jc w:val="left"/>
              <w:rPr/>
            </w:pPr>
            <w:r>
              <w:rPr/>
              <w:t>)</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(5.4</w:t>
            </w:r>
          </w:p>
        </w:tc>
        <w:tc>
          <w:tcPr>
            <w:tcW w:w="95" w:type="dxa"/>
            <w:tcBorders>
              <w:bottom w:val="single" w:sz="6" w:space="0" w:color="7F7F7F"/>
            </w:tcBorders>
            <w:tcMar>
              <w:bottom w:w="40" w:type="dxa"/>
            </w:tcMar>
            <w:vAlign w:val="center"/>
          </w:tcPr>
          <w:p>
            <w:pPr>
              <w:pStyle w:val="TableContents"/>
              <w:bidi w:val="0"/>
              <w:spacing w:before="0" w:after="283"/>
              <w:jc w:val="left"/>
              <w:rPr/>
            </w:pPr>
            <w:r>
              <w:rPr/>
              <w:t>)</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(6.2</w:t>
            </w:r>
          </w:p>
        </w:tc>
        <w:tc>
          <w:tcPr>
            <w:tcW w:w="95" w:type="dxa"/>
            <w:tcBorders>
              <w:bottom w:val="single" w:sz="6" w:space="0" w:color="7F7F7F"/>
            </w:tcBorders>
            <w:tcMar>
              <w:bottom w:w="40" w:type="dxa"/>
            </w:tcMar>
            <w:vAlign w:val="center"/>
          </w:tcPr>
          <w:p>
            <w:pPr>
              <w:pStyle w:val="TableContents"/>
              <w:bidi w:val="0"/>
              <w:spacing w:before="0" w:after="283"/>
              <w:jc w:val="left"/>
              <w:rPr/>
            </w:pPr>
            <w:r>
              <w:rPr/>
              <w:t>)</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110" w:type="dxa"/>
            <w:tcBorders>
              <w:bottom w:val="single" w:sz="6" w:space="0" w:color="7F7F7F"/>
            </w:tcBorders>
            <w:tcMar>
              <w:bottom w:w="28" w:type="dxa"/>
            </w:tcMar>
            <w:vAlign w:val="center"/>
          </w:tcPr>
          <w:p>
            <w:pPr>
              <w:pStyle w:val="TableContents"/>
              <w:bidi w:val="0"/>
              <w:spacing w:before="0" w:after="0"/>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956"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96" w:type="dxa"/>
            <w:gridSpan w:val="5"/>
            <w:tcBorders/>
            <w:vAlign w:val="center"/>
          </w:tcPr>
          <w:p>
            <w:pPr>
              <w:pStyle w:val="TableContents"/>
              <w:bidi w:val="0"/>
              <w:spacing w:before="0" w:after="283"/>
              <w:jc w:val="left"/>
              <w:rPr>
                <w:sz w:val="4"/>
                <w:szCs w:val="4"/>
              </w:rPr>
            </w:pPr>
            <w:r>
              <w:rPr>
                <w:sz w:val="4"/>
                <w:szCs w:val="4"/>
              </w:rPr>
            </w:r>
          </w:p>
        </w:tc>
      </w:tr>
      <w:tr>
        <w:trPr/>
        <w:tc>
          <w:tcPr>
            <w:tcW w:w="366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Gain on sale of EMEA staffing operations</w:t>
            </w:r>
          </w:p>
          <w:p>
            <w:pPr>
              <w:pStyle w:val="TableContents"/>
              <w:bidi w:val="0"/>
              <w:spacing w:before="0" w:after="0"/>
              <w:jc w:val="left"/>
              <w:rPr>
                <w:rFonts w:ascii="arial" w:hAnsi="arial"/>
                <w:sz w:val="9"/>
              </w:rPr>
            </w:pPr>
            <w:r>
              <w:rPr>
                <w:rFonts w:ascii="arial" w:hAnsi="arial"/>
                <w:sz w:val="9"/>
              </w:rPr>
              <w:t>(8)</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755" w:type="dxa"/>
            <w:tcBorders>
              <w:bottom w:val="single" w:sz="6" w:space="0" w:color="7F7F7F"/>
            </w:tcBorders>
            <w:tcMar>
              <w:bottom w:w="40" w:type="dxa"/>
            </w:tcMar>
            <w:vAlign w:val="center"/>
          </w:tcPr>
          <w:p>
            <w:pPr>
              <w:pStyle w:val="TableContents"/>
              <w:bidi w:val="0"/>
              <w:spacing w:before="0" w:after="283"/>
              <w:jc w:val="right"/>
              <w:rPr/>
            </w:pPr>
            <w:r>
              <w:rPr/>
              <w:t>(4.1</w:t>
            </w:r>
          </w:p>
        </w:tc>
        <w:tc>
          <w:tcPr>
            <w:tcW w:w="95" w:type="dxa"/>
            <w:tcBorders>
              <w:bottom w:val="single" w:sz="6" w:space="0" w:color="7F7F7F"/>
            </w:tcBorders>
            <w:tcMar>
              <w:bottom w:w="40" w:type="dxa"/>
            </w:tcMar>
            <w:vAlign w:val="center"/>
          </w:tcPr>
          <w:p>
            <w:pPr>
              <w:pStyle w:val="TableContents"/>
              <w:bidi w:val="0"/>
              <w:spacing w:before="0" w:after="283"/>
              <w:jc w:val="left"/>
              <w:rPr/>
            </w:pPr>
            <w:r>
              <w:rPr/>
              <w:t>)</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(1.6</w:t>
            </w:r>
          </w:p>
        </w:tc>
        <w:tc>
          <w:tcPr>
            <w:tcW w:w="95" w:type="dxa"/>
            <w:tcBorders>
              <w:bottom w:val="single" w:sz="6" w:space="0" w:color="7F7F7F"/>
            </w:tcBorders>
            <w:tcMar>
              <w:bottom w:w="40" w:type="dxa"/>
            </w:tcMar>
            <w:vAlign w:val="center"/>
          </w:tcPr>
          <w:p>
            <w:pPr>
              <w:pStyle w:val="TableContents"/>
              <w:bidi w:val="0"/>
              <w:spacing w:before="0" w:after="283"/>
              <w:jc w:val="left"/>
              <w:rPr/>
            </w:pPr>
            <w:r>
              <w:rPr/>
              <w:t>)</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110" w:type="dxa"/>
            <w:tcBorders>
              <w:bottom w:val="single" w:sz="6" w:space="0" w:color="7F7F7F"/>
            </w:tcBorders>
            <w:tcMar>
              <w:bottom w:w="28" w:type="dxa"/>
            </w:tcMar>
            <w:vAlign w:val="center"/>
          </w:tcPr>
          <w:p>
            <w:pPr>
              <w:pStyle w:val="TableContents"/>
              <w:bidi w:val="0"/>
              <w:spacing w:before="0" w:after="0"/>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956"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96" w:type="dxa"/>
            <w:gridSpan w:val="5"/>
            <w:tcBorders/>
            <w:vAlign w:val="center"/>
          </w:tcPr>
          <w:p>
            <w:pPr>
              <w:pStyle w:val="TableContents"/>
              <w:bidi w:val="0"/>
              <w:spacing w:before="0" w:after="283"/>
              <w:jc w:val="left"/>
              <w:rPr>
                <w:sz w:val="4"/>
                <w:szCs w:val="4"/>
              </w:rPr>
            </w:pPr>
            <w:r>
              <w:rPr>
                <w:sz w:val="4"/>
                <w:szCs w:val="4"/>
              </w:rPr>
            </w:r>
          </w:p>
        </w:tc>
      </w:tr>
      <w:tr>
        <w:trPr/>
        <w:tc>
          <w:tcPr>
            <w:tcW w:w="366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(Gain) loss on forward contract</w:t>
            </w:r>
          </w:p>
          <w:p>
            <w:pPr>
              <w:pStyle w:val="TableContents"/>
              <w:bidi w:val="0"/>
              <w:spacing w:before="0" w:after="0"/>
              <w:jc w:val="left"/>
              <w:rPr>
                <w:rFonts w:ascii="arial" w:hAnsi="arial"/>
                <w:sz w:val="9"/>
              </w:rPr>
            </w:pPr>
            <w:r>
              <w:rPr>
                <w:rFonts w:ascii="arial" w:hAnsi="arial"/>
                <w:sz w:val="9"/>
              </w:rPr>
              <w:t>(9)</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755"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(1.2</w:t>
            </w:r>
          </w:p>
        </w:tc>
        <w:tc>
          <w:tcPr>
            <w:tcW w:w="95" w:type="dxa"/>
            <w:tcBorders>
              <w:bottom w:val="single" w:sz="6" w:space="0" w:color="7F7F7F"/>
            </w:tcBorders>
            <w:tcMar>
              <w:bottom w:w="40" w:type="dxa"/>
            </w:tcMar>
            <w:vAlign w:val="center"/>
          </w:tcPr>
          <w:p>
            <w:pPr>
              <w:pStyle w:val="TableContents"/>
              <w:bidi w:val="0"/>
              <w:spacing w:before="0" w:after="283"/>
              <w:jc w:val="left"/>
              <w:rPr/>
            </w:pPr>
            <w:r>
              <w:rPr/>
              <w:t>)</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3.6</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110" w:type="dxa"/>
            <w:tcBorders>
              <w:bottom w:val="single" w:sz="6" w:space="0" w:color="7F7F7F"/>
            </w:tcBorders>
            <w:tcMar>
              <w:bottom w:w="28" w:type="dxa"/>
            </w:tcMar>
            <w:vAlign w:val="center"/>
          </w:tcPr>
          <w:p>
            <w:pPr>
              <w:pStyle w:val="TableContents"/>
              <w:bidi w:val="0"/>
              <w:spacing w:before="0" w:after="0"/>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956"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96" w:type="dxa"/>
            <w:gridSpan w:val="5"/>
            <w:tcBorders/>
            <w:vAlign w:val="center"/>
          </w:tcPr>
          <w:p>
            <w:pPr>
              <w:pStyle w:val="TableContents"/>
              <w:bidi w:val="0"/>
              <w:spacing w:before="0" w:after="283"/>
              <w:jc w:val="left"/>
              <w:rPr>
                <w:sz w:val="4"/>
                <w:szCs w:val="4"/>
              </w:rPr>
            </w:pPr>
            <w:r>
              <w:rPr>
                <w:sz w:val="4"/>
                <w:szCs w:val="4"/>
              </w:rPr>
            </w:r>
          </w:p>
        </w:tc>
      </w:tr>
      <w:tr>
        <w:trPr/>
        <w:tc>
          <w:tcPr>
            <w:tcW w:w="366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(Gain) Loss on investment in Persol Holdings</w:t>
            </w:r>
          </w:p>
          <w:p>
            <w:pPr>
              <w:pStyle w:val="TableContents"/>
              <w:bidi w:val="0"/>
              <w:spacing w:before="0" w:after="0"/>
              <w:jc w:val="left"/>
              <w:rPr>
                <w:rFonts w:ascii="arial" w:hAnsi="arial"/>
                <w:sz w:val="9"/>
              </w:rPr>
            </w:pPr>
            <w:r>
              <w:rPr>
                <w:rFonts w:ascii="arial" w:hAnsi="arial"/>
                <w:sz w:val="9"/>
              </w:rPr>
              <w:t>(10)</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755"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67.2</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(121.8</w:t>
            </w:r>
          </w:p>
        </w:tc>
        <w:tc>
          <w:tcPr>
            <w:tcW w:w="110" w:type="dxa"/>
            <w:tcBorders>
              <w:bottom w:val="single" w:sz="6" w:space="0" w:color="7F7F7F"/>
            </w:tcBorders>
            <w:tcMar>
              <w:bottom w:w="40" w:type="dxa"/>
            </w:tcMar>
            <w:vAlign w:val="center"/>
          </w:tcPr>
          <w:p>
            <w:pPr>
              <w:pStyle w:val="TableContents"/>
              <w:bidi w:val="0"/>
              <w:spacing w:before="0" w:after="283"/>
              <w:jc w:val="left"/>
              <w:rPr/>
            </w:pPr>
            <w:r>
              <w:rPr/>
              <w:t>)</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956"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96" w:type="dxa"/>
            <w:gridSpan w:val="5"/>
            <w:tcBorders/>
            <w:vAlign w:val="center"/>
          </w:tcPr>
          <w:p>
            <w:pPr>
              <w:pStyle w:val="TableContents"/>
              <w:bidi w:val="0"/>
              <w:spacing w:before="0" w:after="283"/>
              <w:jc w:val="left"/>
              <w:rPr>
                <w:sz w:val="4"/>
                <w:szCs w:val="4"/>
              </w:rPr>
            </w:pPr>
            <w:r>
              <w:rPr>
                <w:sz w:val="4"/>
                <w:szCs w:val="4"/>
              </w:rPr>
            </w:r>
          </w:p>
        </w:tc>
      </w:tr>
      <w:tr>
        <w:trPr/>
        <w:tc>
          <w:tcPr>
            <w:tcW w:w="366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Loss on foreign currency matters</w:t>
            </w:r>
          </w:p>
          <w:p>
            <w:pPr>
              <w:pStyle w:val="TableContents"/>
              <w:bidi w:val="0"/>
              <w:spacing w:before="0" w:after="0"/>
              <w:jc w:val="left"/>
              <w:rPr>
                <w:rFonts w:ascii="arial" w:hAnsi="arial"/>
                <w:sz w:val="9"/>
              </w:rPr>
            </w:pPr>
            <w:r>
              <w:rPr>
                <w:rFonts w:ascii="arial" w:hAnsi="arial"/>
                <w:sz w:val="9"/>
              </w:rPr>
              <w:t>(11)</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755"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20.4</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110" w:type="dxa"/>
            <w:tcBorders>
              <w:bottom w:val="single" w:sz="6" w:space="0" w:color="7F7F7F"/>
            </w:tcBorders>
            <w:tcMar>
              <w:bottom w:w="28" w:type="dxa"/>
            </w:tcMar>
            <w:vAlign w:val="center"/>
          </w:tcPr>
          <w:p>
            <w:pPr>
              <w:pStyle w:val="TableContents"/>
              <w:bidi w:val="0"/>
              <w:spacing w:before="0" w:after="0"/>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956"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96" w:type="dxa"/>
            <w:gridSpan w:val="5"/>
            <w:tcBorders/>
            <w:vAlign w:val="center"/>
          </w:tcPr>
          <w:p>
            <w:pPr>
              <w:pStyle w:val="TableContents"/>
              <w:bidi w:val="0"/>
              <w:spacing w:before="0" w:after="283"/>
              <w:jc w:val="left"/>
              <w:rPr>
                <w:sz w:val="4"/>
                <w:szCs w:val="4"/>
              </w:rPr>
            </w:pPr>
            <w:r>
              <w:rPr>
                <w:sz w:val="4"/>
                <w:szCs w:val="4"/>
              </w:rPr>
            </w:r>
          </w:p>
        </w:tc>
      </w:tr>
      <w:tr>
        <w:trPr/>
        <w:tc>
          <w:tcPr>
            <w:tcW w:w="366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Loss on disposal</w:t>
            </w:r>
          </w:p>
          <w:p>
            <w:pPr>
              <w:pStyle w:val="TableContents"/>
              <w:bidi w:val="0"/>
              <w:spacing w:before="0" w:after="0"/>
              <w:jc w:val="left"/>
              <w:rPr>
                <w:rFonts w:ascii="arial" w:hAnsi="arial"/>
                <w:sz w:val="9"/>
              </w:rPr>
            </w:pPr>
            <w:r>
              <w:rPr>
                <w:rFonts w:ascii="arial" w:hAnsi="arial"/>
                <w:sz w:val="9"/>
              </w:rPr>
              <w:t>(12)</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755"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18.7</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110" w:type="dxa"/>
            <w:tcBorders>
              <w:bottom w:val="single" w:sz="6" w:space="0" w:color="7F7F7F"/>
            </w:tcBorders>
            <w:tcMar>
              <w:bottom w:w="28" w:type="dxa"/>
            </w:tcMar>
            <w:vAlign w:val="center"/>
          </w:tcPr>
          <w:p>
            <w:pPr>
              <w:pStyle w:val="TableContents"/>
              <w:bidi w:val="0"/>
              <w:spacing w:before="0" w:after="0"/>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956"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96" w:type="dxa"/>
            <w:gridSpan w:val="5"/>
            <w:tcBorders/>
            <w:vAlign w:val="center"/>
          </w:tcPr>
          <w:p>
            <w:pPr>
              <w:pStyle w:val="TableContents"/>
              <w:bidi w:val="0"/>
              <w:spacing w:before="0" w:after="283"/>
              <w:jc w:val="left"/>
              <w:rPr>
                <w:sz w:val="4"/>
                <w:szCs w:val="4"/>
              </w:rPr>
            </w:pPr>
            <w:r>
              <w:rPr>
                <w:sz w:val="4"/>
                <w:szCs w:val="4"/>
              </w:rPr>
            </w:r>
          </w:p>
        </w:tc>
      </w:tr>
      <w:tr>
        <w:trPr/>
        <w:tc>
          <w:tcPr>
            <w:tcW w:w="366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Gain on insurance settlement</w:t>
            </w:r>
          </w:p>
          <w:p>
            <w:pPr>
              <w:pStyle w:val="TableContents"/>
              <w:bidi w:val="0"/>
              <w:spacing w:before="0" w:after="0"/>
              <w:jc w:val="left"/>
              <w:rPr>
                <w:rFonts w:ascii="arial" w:hAnsi="arial"/>
                <w:sz w:val="9"/>
              </w:rPr>
            </w:pPr>
            <w:r>
              <w:rPr>
                <w:rFonts w:ascii="arial" w:hAnsi="arial"/>
                <w:sz w:val="9"/>
              </w:rPr>
              <w:t>(13)</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755"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(19.0</w:t>
            </w:r>
          </w:p>
        </w:tc>
        <w:tc>
          <w:tcPr>
            <w:tcW w:w="110" w:type="dxa"/>
            <w:tcBorders>
              <w:bottom w:val="single" w:sz="6" w:space="0" w:color="7F7F7F"/>
            </w:tcBorders>
            <w:tcMar>
              <w:bottom w:w="40" w:type="dxa"/>
            </w:tcMar>
            <w:vAlign w:val="center"/>
          </w:tcPr>
          <w:p>
            <w:pPr>
              <w:pStyle w:val="TableContents"/>
              <w:bidi w:val="0"/>
              <w:spacing w:before="0" w:after="283"/>
              <w:jc w:val="left"/>
              <w:rPr/>
            </w:pPr>
            <w:r>
              <w:rPr/>
              <w:t>)</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956"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96" w:type="dxa"/>
            <w:gridSpan w:val="5"/>
            <w:tcBorders/>
            <w:vAlign w:val="center"/>
          </w:tcPr>
          <w:p>
            <w:pPr>
              <w:pStyle w:val="TableContents"/>
              <w:bidi w:val="0"/>
              <w:spacing w:before="0" w:after="283"/>
              <w:jc w:val="left"/>
              <w:rPr>
                <w:sz w:val="4"/>
                <w:szCs w:val="4"/>
              </w:rPr>
            </w:pPr>
            <w:r>
              <w:rPr>
                <w:sz w:val="4"/>
                <w:szCs w:val="4"/>
              </w:rPr>
            </w:r>
          </w:p>
        </w:tc>
      </w:tr>
      <w:tr>
        <w:trPr/>
        <w:tc>
          <w:tcPr>
            <w:tcW w:w="366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Customer dispute</w:t>
            </w:r>
          </w:p>
          <w:p>
            <w:pPr>
              <w:pStyle w:val="TableContents"/>
              <w:bidi w:val="0"/>
              <w:spacing w:before="0" w:after="0"/>
              <w:jc w:val="left"/>
              <w:rPr>
                <w:rFonts w:ascii="arial" w:hAnsi="arial"/>
                <w:sz w:val="9"/>
              </w:rPr>
            </w:pPr>
            <w:r>
              <w:rPr>
                <w:rFonts w:ascii="arial" w:hAnsi="arial"/>
                <w:sz w:val="9"/>
              </w:rPr>
              <w:t>(14)</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755"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110" w:type="dxa"/>
            <w:tcBorders>
              <w:bottom w:val="single" w:sz="6" w:space="0" w:color="7F7F7F"/>
            </w:tcBorders>
            <w:tcMar>
              <w:bottom w:w="28" w:type="dxa"/>
            </w:tcMar>
            <w:vAlign w:val="center"/>
          </w:tcPr>
          <w:p>
            <w:pPr>
              <w:pStyle w:val="TableContents"/>
              <w:bidi w:val="0"/>
              <w:spacing w:before="0" w:after="0"/>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956"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96" w:type="dxa"/>
            <w:gridSpan w:val="5"/>
            <w:tcBorders/>
            <w:vAlign w:val="center"/>
          </w:tcPr>
          <w:p>
            <w:pPr>
              <w:pStyle w:val="TableContents"/>
              <w:bidi w:val="0"/>
              <w:spacing w:before="0" w:after="283"/>
              <w:jc w:val="left"/>
              <w:rPr>
                <w:sz w:val="4"/>
                <w:szCs w:val="4"/>
              </w:rPr>
            </w:pPr>
            <w:r>
              <w:rPr>
                <w:sz w:val="4"/>
                <w:szCs w:val="4"/>
              </w:rPr>
            </w:r>
          </w:p>
        </w:tc>
      </w:tr>
      <w:tr>
        <w:trPr/>
        <w:tc>
          <w:tcPr>
            <w:tcW w:w="366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Equity in net earnings of affiliate</w:t>
            </w:r>
          </w:p>
          <w:p>
            <w:pPr>
              <w:pStyle w:val="TableContents"/>
              <w:bidi w:val="0"/>
              <w:spacing w:before="0" w:after="0"/>
              <w:jc w:val="left"/>
              <w:rPr>
                <w:rFonts w:ascii="arial" w:hAnsi="arial"/>
                <w:sz w:val="9"/>
              </w:rPr>
            </w:pPr>
            <w:r>
              <w:rPr>
                <w:rFonts w:ascii="arial" w:hAnsi="arial"/>
                <w:sz w:val="9"/>
              </w:rPr>
              <w:t>(15)</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755"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(0.8</w:t>
            </w:r>
          </w:p>
        </w:tc>
        <w:tc>
          <w:tcPr>
            <w:tcW w:w="95" w:type="dxa"/>
            <w:tcBorders>
              <w:bottom w:val="single" w:sz="6" w:space="0" w:color="7F7F7F"/>
            </w:tcBorders>
            <w:tcMar>
              <w:bottom w:w="40" w:type="dxa"/>
            </w:tcMar>
            <w:vAlign w:val="center"/>
          </w:tcPr>
          <w:p>
            <w:pPr>
              <w:pStyle w:val="TableContents"/>
              <w:bidi w:val="0"/>
              <w:spacing w:before="0" w:after="283"/>
              <w:jc w:val="left"/>
              <w:rPr/>
            </w:pPr>
            <w:r>
              <w:rPr/>
              <w:t>)</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(5.4</w:t>
            </w:r>
          </w:p>
        </w:tc>
        <w:tc>
          <w:tcPr>
            <w:tcW w:w="110" w:type="dxa"/>
            <w:tcBorders>
              <w:bottom w:val="single" w:sz="6" w:space="0" w:color="7F7F7F"/>
            </w:tcBorders>
            <w:tcMar>
              <w:bottom w:w="40" w:type="dxa"/>
            </w:tcMar>
            <w:vAlign w:val="center"/>
          </w:tcPr>
          <w:p>
            <w:pPr>
              <w:pStyle w:val="TableContents"/>
              <w:bidi w:val="0"/>
              <w:spacing w:before="0" w:after="283"/>
              <w:jc w:val="left"/>
              <w:rPr/>
            </w:pPr>
            <w:r>
              <w:rPr/>
              <w:t>)</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956"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96" w:type="dxa"/>
            <w:gridSpan w:val="5"/>
            <w:tcBorders/>
            <w:vAlign w:val="center"/>
          </w:tcPr>
          <w:p>
            <w:pPr>
              <w:pStyle w:val="TableContents"/>
              <w:bidi w:val="0"/>
              <w:spacing w:before="0" w:after="283"/>
              <w:jc w:val="left"/>
              <w:rPr>
                <w:sz w:val="4"/>
                <w:szCs w:val="4"/>
              </w:rPr>
            </w:pPr>
            <w:r>
              <w:rPr>
                <w:sz w:val="4"/>
                <w:szCs w:val="4"/>
              </w:rPr>
            </w:r>
          </w:p>
        </w:tc>
      </w:tr>
      <w:tr>
        <w:trPr/>
        <w:tc>
          <w:tcPr>
            <w:tcW w:w="366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Other, net</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755"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28" w:type="dxa"/>
            </w:tcMar>
            <w:vAlign w:val="center"/>
          </w:tcPr>
          <w:p>
            <w:pPr>
              <w:pStyle w:val="TableContents"/>
              <w:bidi w:val="0"/>
              <w:spacing w:before="0" w:after="0"/>
              <w:jc w:val="left"/>
              <w:rPr/>
            </w:pPr>
            <w:r>
              <w:rPr/>
              <w:t> </w:t>
            </w:r>
          </w:p>
        </w:tc>
        <w:tc>
          <w:tcPr>
            <w:tcW w:w="680" w:type="dxa"/>
            <w:tcBorders>
              <w:bottom w:val="single" w:sz="6" w:space="0" w:color="7F7F7F"/>
            </w:tcBorders>
            <w:tcMar>
              <w:bottom w:w="28" w:type="dxa"/>
            </w:tcMar>
            <w:vAlign w:val="center"/>
          </w:tcPr>
          <w:p>
            <w:pPr>
              <w:pStyle w:val="TableContents"/>
              <w:bidi w:val="0"/>
              <w:spacing w:before="0" w:after="0"/>
              <w:jc w:val="left"/>
              <w:rPr/>
            </w:pPr>
            <w:r>
              <w:rPr/>
              <w:t> </w:t>
            </w:r>
          </w:p>
        </w:tc>
        <w:tc>
          <w:tcPr>
            <w:tcW w:w="95" w:type="dxa"/>
            <w:tcBorders>
              <w:bottom w:val="single" w:sz="6" w:space="0" w:color="7F7F7F"/>
            </w:tcBorders>
            <w:tcMar>
              <w:bottom w:w="28" w:type="dxa"/>
            </w:tcMar>
            <w:vAlign w:val="center"/>
          </w:tcPr>
          <w:p>
            <w:pPr>
              <w:pStyle w:val="TableContents"/>
              <w:bidi w:val="0"/>
              <w:spacing w:before="0" w:after="0"/>
              <w:jc w:val="left"/>
              <w:rPr/>
            </w:pPr>
            <w:r>
              <w:rPr/>
              <w:t> </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0.2</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0.2</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0.1</w:t>
            </w:r>
          </w:p>
        </w:tc>
        <w:tc>
          <w:tcPr>
            <w:tcW w:w="11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283"/>
              <w:jc w:val="left"/>
              <w:rPr>
                <w:sz w:val="4"/>
                <w:szCs w:val="4"/>
              </w:rPr>
            </w:pPr>
            <w:r>
              <w:rPr>
                <w:sz w:val="4"/>
                <w:szCs w:val="4"/>
              </w:rPr>
            </w:r>
          </w:p>
        </w:tc>
        <w:tc>
          <w:tcPr>
            <w:tcW w:w="956"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81" w:type="dxa"/>
            <w:gridSpan w:val="5"/>
            <w:tcBorders/>
            <w:vAlign w:val="center"/>
          </w:tcPr>
          <w:p>
            <w:pPr>
              <w:pStyle w:val="TableContents"/>
              <w:bidi w:val="0"/>
              <w:spacing w:before="0" w:after="283"/>
              <w:jc w:val="left"/>
              <w:rPr>
                <w:sz w:val="4"/>
                <w:szCs w:val="4"/>
              </w:rPr>
            </w:pPr>
            <w:r>
              <w:rPr>
                <w:sz w:val="4"/>
                <w:szCs w:val="4"/>
              </w:rPr>
            </w:r>
          </w:p>
        </w:tc>
        <w:tc>
          <w:tcPr>
            <w:tcW w:w="896" w:type="dxa"/>
            <w:gridSpan w:val="5"/>
            <w:tcBorders/>
            <w:vAlign w:val="center"/>
          </w:tcPr>
          <w:p>
            <w:pPr>
              <w:pStyle w:val="TableContents"/>
              <w:bidi w:val="0"/>
              <w:spacing w:before="0" w:after="283"/>
              <w:jc w:val="left"/>
              <w:rPr>
                <w:sz w:val="4"/>
                <w:szCs w:val="4"/>
              </w:rPr>
            </w:pPr>
            <w:r>
              <w:rPr>
                <w:sz w:val="4"/>
                <w:szCs w:val="4"/>
              </w:rPr>
            </w:r>
          </w:p>
        </w:tc>
      </w:tr>
      <w:tr>
        <w:trPr/>
        <w:tc>
          <w:tcPr>
            <w:tcW w:w="3665" w:type="dxa"/>
            <w:tcBorders>
              <w:bottom w:val="single" w:sz="6" w:space="0" w:color="7F7F7F"/>
            </w:tcBorders>
            <w:tcMar>
              <w:bottom w:w="40" w:type="dxa"/>
            </w:tcMar>
            <w:vAlign w:val="center"/>
          </w:tcPr>
          <w:p>
            <w:pPr>
              <w:pStyle w:val="TableContents"/>
              <w:bidi w:val="0"/>
              <w:spacing w:before="0" w:after="0"/>
              <w:jc w:val="left"/>
              <w:rPr>
                <w:rFonts w:ascii="arial" w:hAnsi="arial"/>
                <w:sz w:val="16"/>
              </w:rPr>
            </w:pPr>
            <w:r>
              <w:rPr>
                <w:rFonts w:ascii="arial" w:hAnsi="arial"/>
                <w:sz w:val="16"/>
              </w:rPr>
              <w:t>Adjusted</w:t>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755" w:type="dxa"/>
            <w:tcBorders>
              <w:bottom w:val="single" w:sz="6" w:space="0" w:color="7F7F7F"/>
            </w:tcBorders>
            <w:tcMar>
              <w:bottom w:w="40" w:type="dxa"/>
            </w:tcMar>
            <w:vAlign w:val="center"/>
          </w:tcPr>
          <w:p>
            <w:pPr>
              <w:pStyle w:val="TableContents"/>
              <w:bidi w:val="0"/>
              <w:spacing w:before="0" w:after="283"/>
              <w:jc w:val="right"/>
              <w:rPr/>
            </w:pPr>
            <w:r>
              <w:rPr/>
              <w:t>$109.4</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$143.5</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$109.4</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$105.6</w:t>
            </w:r>
          </w:p>
        </w:tc>
        <w:tc>
          <w:tcPr>
            <w:tcW w:w="95"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F7F7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F7F7F"/>
            </w:tcBorders>
            <w:tcMar>
              <w:bottom w:w="40" w:type="dxa"/>
            </w:tcMar>
            <w:vAlign w:val="center"/>
          </w:tcPr>
          <w:p>
            <w:pPr>
              <w:pStyle w:val="TableContents"/>
              <w:bidi w:val="0"/>
              <w:spacing w:before="0" w:after="283"/>
              <w:jc w:val="left"/>
              <w:rPr/>
            </w:pPr>
            <w:r>
              <w:rPr/>
              <w:t> </w:t>
            </w:r>
          </w:p>
        </w:tc>
        <w:tc>
          <w:tcPr>
            <w:tcW w:w="680" w:type="dxa"/>
            <w:tcBorders>
              <w:bottom w:val="single" w:sz="6" w:space="0" w:color="7F7F7F"/>
            </w:tcBorders>
            <w:tcMar>
              <w:bottom w:w="40" w:type="dxa"/>
            </w:tcMar>
            <w:vAlign w:val="center"/>
          </w:tcPr>
          <w:p>
            <w:pPr>
              <w:pStyle w:val="TableContents"/>
              <w:bidi w:val="0"/>
              <w:spacing w:before="0" w:after="283"/>
              <w:jc w:val="right"/>
              <w:rPr/>
            </w:pPr>
            <w:r>
              <w:rPr/>
              <w:t>$84.1</w:t>
            </w:r>
          </w:p>
        </w:tc>
        <w:tc>
          <w:tcPr>
            <w:tcW w:w="110" w:type="dxa"/>
            <w:tcBorders>
              <w:bottom w:val="single" w:sz="6" w:space="0" w:color="7F7F7F"/>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0"/>
              <w:jc w:val="left"/>
              <w:rPr>
                <w:rFonts w:ascii="arial" w:hAnsi="arial"/>
                <w:sz w:val="14"/>
              </w:rPr>
            </w:pPr>
            <w:r>
              <w:rPr>
                <w:rFonts w:ascii="arial" w:hAnsi="arial"/>
                <w:sz w:val="14"/>
              </w:rPr>
              <w:t xml:space="preserve">Goodwill impairment charge in 2024 is driven by changes in market conditions and the result of the Company’s annual impairment test related to Softworld. Goodwill impairment charge in 2022 is the result of interim impairment tests the Company performed related to RocketPower due to triggering events caused by changes in market conditions. Goodwill impairment charge in 2020 is a result of an interim impairment test the Company performed during the first quarter of 2020, due to a triggering event caused by a decline in the Company’s common stock price.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(2)</w:t>
            </w:r>
          </w:p>
        </w:tc>
        <w:tc>
          <w:tcPr>
            <w:tcW w:w="9921" w:type="dxa"/>
            <w:tcBorders/>
            <w:vAlign w:val="center"/>
          </w:tcPr>
          <w:p>
            <w:pPr>
              <w:pStyle w:val="TableContents"/>
              <w:bidi w:val="0"/>
              <w:spacing w:before="0" w:after="0"/>
              <w:jc w:val="left"/>
              <w:rPr>
                <w:rFonts w:ascii="arial" w:hAnsi="arial"/>
                <w:sz w:val="14"/>
              </w:rPr>
            </w:pPr>
            <w:r>
              <w:rPr>
                <w:rFonts w:ascii="arial" w:hAnsi="arial"/>
                <w:sz w:val="14"/>
              </w:rPr>
              <w:t xml:space="preserve">Asset impairment charge in 2024 for certain </w:t>
            </w:r>
          </w:p>
          <w:p>
            <w:pPr>
              <w:pStyle w:val="TableContents"/>
              <w:bidi w:val="0"/>
              <w:spacing w:before="0" w:after="0"/>
              <w:jc w:val="left"/>
              <w:rPr>
                <w:rFonts w:ascii="arial" w:hAnsi="arial"/>
                <w:spacing w:val="0"/>
                <w:sz w:val="14"/>
              </w:rPr>
            </w:pPr>
            <w:r>
              <w:rPr>
                <w:rFonts w:ascii="arial" w:hAnsi="arial"/>
                <w:spacing w:val="0"/>
                <w:sz w:val="14"/>
              </w:rPr>
              <w:t>right-of-use</w:t>
            </w:r>
          </w:p>
          <w:p>
            <w:pPr>
              <w:pStyle w:val="TableContents"/>
              <w:bidi w:val="0"/>
              <w:spacing w:before="0" w:after="0"/>
              <w:jc w:val="left"/>
              <w:rPr>
                <w:rFonts w:ascii="arial" w:hAnsi="arial"/>
                <w:sz w:val="14"/>
              </w:rPr>
            </w:pPr>
            <w:r>
              <w:rPr>
                <w:rFonts w:ascii="arial" w:hAnsi="arial"/>
                <w:sz w:val="14"/>
              </w:rPr>
              <w:t xml:space="preserve">assets related to our leased headquarters facility reflects adjustments to how we are utilizing the building as part of our ongoing transformation efforts. Asset impairment charge in 2023 represents the impairment of </w:t>
            </w:r>
          </w:p>
          <w:p>
            <w:pPr>
              <w:pStyle w:val="TableContents"/>
              <w:bidi w:val="0"/>
              <w:spacing w:before="0" w:after="0"/>
              <w:jc w:val="left"/>
              <w:rPr>
                <w:rFonts w:ascii="arial" w:hAnsi="arial"/>
                <w:spacing w:val="0"/>
                <w:sz w:val="14"/>
              </w:rPr>
            </w:pPr>
            <w:r>
              <w:rPr>
                <w:rFonts w:ascii="arial" w:hAnsi="arial"/>
                <w:spacing w:val="0"/>
                <w:sz w:val="14"/>
              </w:rPr>
              <w:t>right-of-use</w:t>
            </w:r>
          </w:p>
          <w:p>
            <w:pPr>
              <w:pStyle w:val="TableContents"/>
              <w:bidi w:val="0"/>
              <w:spacing w:before="0" w:after="0"/>
              <w:jc w:val="left"/>
              <w:rPr>
                <w:rFonts w:ascii="arial" w:hAnsi="arial"/>
                <w:sz w:val="14"/>
              </w:rPr>
            </w:pPr>
            <w:r>
              <w:rPr>
                <w:rFonts w:ascii="arial" w:hAnsi="arial"/>
                <w:sz w:val="14"/>
              </w:rPr>
              <w:t xml:space="preserve">assets related to an unoccupied existing office space lease.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(3)</w:t>
            </w:r>
          </w:p>
        </w:tc>
        <w:tc>
          <w:tcPr>
            <w:tcW w:w="9904" w:type="dxa"/>
            <w:tcBorders/>
            <w:vAlign w:val="center"/>
          </w:tcPr>
          <w:p>
            <w:pPr>
              <w:pStyle w:val="TableContents"/>
              <w:bidi w:val="0"/>
              <w:spacing w:before="0" w:after="0"/>
              <w:jc w:val="left"/>
              <w:rPr>
                <w:rFonts w:ascii="arial" w:hAnsi="arial"/>
                <w:sz w:val="14"/>
              </w:rPr>
            </w:pPr>
            <w:r>
              <w:rPr>
                <w:rFonts w:ascii="arial" w:hAnsi="arial"/>
                <w:sz w:val="14"/>
              </w:rPr>
              <w:t xml:space="preserve">Integration costs in 2024 reflect various initiatives aimed at both integrating the MRP acquisition and further aligning processes and technology across the Company. </w:t>
            </w:r>
          </w:p>
        </w:tc>
      </w:tr>
    </w:tbl>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305"/>
        <w:gridCol w:w="4685"/>
      </w:tblGrid>
      <w:tr>
        <w:trPr/>
        <w:tc>
          <w:tcPr>
            <w:tcW w:w="305" w:type="dxa"/>
            <w:tcBorders/>
            <w:vAlign w:val="center"/>
          </w:tcPr>
          <w:p>
            <w:pPr>
              <w:pStyle w:val="TableContents"/>
              <w:bidi w:val="0"/>
              <w:spacing w:before="0" w:after="283"/>
              <w:jc w:val="left"/>
              <w:rPr/>
            </w:pPr>
            <w:r>
              <w:rPr/>
              <w:t>(4)</w:t>
            </w:r>
          </w:p>
        </w:tc>
        <w:tc>
          <w:tcPr>
            <w:tcW w:w="4685" w:type="dxa"/>
            <w:tcBorders/>
            <w:vAlign w:val="center"/>
          </w:tcPr>
          <w:p>
            <w:pPr>
              <w:pStyle w:val="TableContents"/>
              <w:bidi w:val="0"/>
              <w:spacing w:before="0" w:after="0"/>
              <w:jc w:val="left"/>
              <w:rPr>
                <w:rFonts w:ascii="arial" w:hAnsi="arial"/>
                <w:sz w:val="14"/>
              </w:rPr>
            </w:pPr>
            <w:r>
              <w:rPr>
                <w:rFonts w:ascii="arial" w:hAnsi="arial"/>
                <w:sz w:val="14"/>
              </w:rPr>
              <w:t xml:space="preserve">Executive transition costs represent </w:t>
            </w:r>
          </w:p>
          <w:p>
            <w:pPr>
              <w:pStyle w:val="TableContents"/>
              <w:bidi w:val="0"/>
              <w:spacing w:before="0" w:after="0"/>
              <w:jc w:val="left"/>
              <w:rPr>
                <w:rFonts w:ascii="arial" w:hAnsi="arial"/>
                <w:spacing w:val="0"/>
                <w:sz w:val="14"/>
              </w:rPr>
            </w:pPr>
            <w:r>
              <w:rPr>
                <w:rFonts w:ascii="arial" w:hAnsi="arial"/>
                <w:spacing w:val="0"/>
                <w:sz w:val="14"/>
              </w:rPr>
              <w:t>non-recurring</w:t>
            </w:r>
          </w:p>
          <w:p>
            <w:pPr>
              <w:pStyle w:val="TableContents"/>
              <w:bidi w:val="0"/>
              <w:spacing w:before="0" w:after="0"/>
              <w:jc w:val="left"/>
              <w:rPr>
                <w:rFonts w:ascii="arial" w:hAnsi="arial"/>
                <w:sz w:val="14"/>
              </w:rPr>
            </w:pPr>
            <w:r>
              <w:rPr>
                <w:rFonts w:ascii="arial" w:hAnsi="arial"/>
                <w:sz w:val="14"/>
              </w:rPr>
              <w:t xml:space="preserve">expenses associated with our CFO transition in the fourth quarter of 2024.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305"/>
        <w:gridCol w:w="8840"/>
      </w:tblGrid>
      <w:tr>
        <w:trPr/>
        <w:tc>
          <w:tcPr>
            <w:tcW w:w="305" w:type="dxa"/>
            <w:tcBorders/>
            <w:vAlign w:val="center"/>
          </w:tcPr>
          <w:p>
            <w:pPr>
              <w:pStyle w:val="TableContents"/>
              <w:bidi w:val="0"/>
              <w:spacing w:before="0" w:after="283"/>
              <w:jc w:val="left"/>
              <w:rPr/>
            </w:pPr>
            <w:r>
              <w:rPr/>
              <w:t>(5)</w:t>
            </w:r>
          </w:p>
        </w:tc>
        <w:tc>
          <w:tcPr>
            <w:tcW w:w="8840" w:type="dxa"/>
            <w:tcBorders/>
            <w:vAlign w:val="center"/>
          </w:tcPr>
          <w:p>
            <w:pPr>
              <w:pStyle w:val="TableContents"/>
              <w:bidi w:val="0"/>
              <w:spacing w:before="0" w:after="0"/>
              <w:jc w:val="left"/>
              <w:rPr>
                <w:rFonts w:ascii="arial" w:hAnsi="arial"/>
                <w:sz w:val="14"/>
              </w:rPr>
            </w:pPr>
            <w:r>
              <w:rPr>
                <w:rFonts w:ascii="arial" w:hAnsi="arial"/>
                <w:sz w:val="14"/>
              </w:rPr>
              <w:t xml:space="preserve">Gain on equity securities includes a $0.6 million realized gain from the partial sale of our securities and a $3.2 million unrealized gain from the </w:t>
            </w:r>
          </w:p>
          <w:p>
            <w:pPr>
              <w:pStyle w:val="TableContents"/>
              <w:bidi w:val="0"/>
              <w:spacing w:before="0" w:after="0"/>
              <w:jc w:val="left"/>
              <w:rPr>
                <w:rFonts w:ascii="arial" w:hAnsi="arial"/>
                <w:spacing w:val="0"/>
                <w:sz w:val="14"/>
              </w:rPr>
            </w:pPr>
            <w:r>
              <w:rPr>
                <w:rFonts w:ascii="arial" w:hAnsi="arial"/>
                <w:spacing w:val="0"/>
                <w:sz w:val="14"/>
              </w:rPr>
              <w:t>mark-to-market</w:t>
            </w:r>
          </w:p>
          <w:p>
            <w:pPr>
              <w:pStyle w:val="TableContents"/>
              <w:bidi w:val="0"/>
              <w:spacing w:before="0" w:after="0"/>
              <w:jc w:val="left"/>
              <w:rPr>
                <w:rFonts w:ascii="arial" w:hAnsi="arial"/>
                <w:sz w:val="14"/>
              </w:rPr>
            </w:pPr>
            <w:r>
              <w:rPr>
                <w:rFonts w:ascii="arial" w:hAnsi="arial"/>
                <w:sz w:val="14"/>
              </w:rPr>
              <w:t xml:space="preserve">adjustment on our remaining shares in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(6)</w:t>
            </w:r>
          </w:p>
        </w:tc>
        <w:tc>
          <w:tcPr>
            <w:tcW w:w="9954" w:type="dxa"/>
            <w:tcBorders/>
            <w:vAlign w:val="center"/>
          </w:tcPr>
          <w:p>
            <w:pPr>
              <w:pStyle w:val="TableContents"/>
              <w:bidi w:val="0"/>
              <w:spacing w:before="0" w:after="0"/>
              <w:jc w:val="left"/>
              <w:rPr>
                <w:rFonts w:ascii="arial" w:hAnsi="arial"/>
                <w:sz w:val="14"/>
              </w:rPr>
            </w:pPr>
            <w:r>
              <w:rPr>
                <w:rFonts w:ascii="arial" w:hAnsi="arial"/>
                <w:sz w:val="14"/>
              </w:rPr>
              <w:t xml:space="preserve">Transaction costs in 2024 includes employee termination costs and transition costs related to the sale of the EMEA staffing operations, costs and adjustments related to the acquisition of MRP and an adjustment to the indemnification related to our former Brazil operations. Costs related to the sale of the EMEA staffing operations were $12.0 million for the year ended 2024. Transaction costs related to the acquisitions of MRP and CTC were $6.6 million for the year ended 2024, net of a $3.4 million earnout liability </w:t>
            </w:r>
          </w:p>
          <w:p>
            <w:pPr>
              <w:pStyle w:val="TableContents"/>
              <w:bidi w:val="0"/>
              <w:spacing w:before="0" w:after="0"/>
              <w:jc w:val="left"/>
              <w:rPr>
                <w:rFonts w:ascii="arial" w:hAnsi="arial"/>
                <w:spacing w:val="0"/>
                <w:sz w:val="14"/>
              </w:rPr>
            </w:pPr>
            <w:r>
              <w:rPr>
                <w:rFonts w:ascii="arial" w:hAnsi="arial"/>
                <w:spacing w:val="0"/>
                <w:sz w:val="14"/>
              </w:rPr>
              <w:t>write-off.</w:t>
            </w:r>
          </w:p>
          <w:p>
            <w:pPr>
              <w:pStyle w:val="TableContents"/>
              <w:bidi w:val="0"/>
              <w:spacing w:before="0" w:after="0"/>
              <w:jc w:val="left"/>
              <w:rPr>
                <w:rFonts w:ascii="arial" w:hAnsi="arial"/>
                <w:sz w:val="14"/>
              </w:rPr>
            </w:pPr>
            <w:r>
              <w:rPr>
                <w:rFonts w:ascii="arial" w:hAnsi="arial"/>
                <w:sz w:val="14"/>
              </w:rPr>
              <w:t xml:space="preserve">In the fourth quarter of 2024, there was a $0.7 million reduction in the indemnification liability related to the sale of our Brazil operations in 2020. Transaction costs in 2023, which included employee termination costs, were related to the 2024 sale of the EMEA staffing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(7)</w:t>
            </w:r>
          </w:p>
        </w:tc>
        <w:tc>
          <w:tcPr>
            <w:tcW w:w="9962" w:type="dxa"/>
            <w:tcBorders/>
            <w:vAlign w:val="center"/>
          </w:tcPr>
          <w:p>
            <w:pPr>
              <w:pStyle w:val="TableContents"/>
              <w:bidi w:val="0"/>
              <w:spacing w:before="0" w:after="0"/>
              <w:jc w:val="left"/>
              <w:rPr>
                <w:rFonts w:ascii="arial" w:hAnsi="arial"/>
                <w:sz w:val="14"/>
              </w:rPr>
            </w:pPr>
            <w:r>
              <w:rPr>
                <w:rFonts w:ascii="arial" w:hAnsi="arial"/>
                <w:sz w:val="14"/>
              </w:rPr>
              <w:t xml:space="preserve">Restructuring charges of $6.1 million in 2024 represent a continuation of the comprehensive transformation initiative that started in the second quarter of 2023 that will further streamline the Company’s operating model to enhance organizational efficiency and effectiveness. 2023 restructuring charges of $35.5 million represent severance costs, costs to execute a transformation initiative, lease terminations, and other costs to further cost management efforts in response to current demand levels and reflect a repositioning of our P&amp;I staffing business to better capitalize on opportunities in local markets in the first quarter and to further streamline the Company’s operating model to enhance organizational efficiency and effectiveness as part of the comprehensive transformation initiative which started in the second </w:t>
            </w:r>
          </w:p>
        </w:tc>
      </w:tr>
    </w:tbl>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75"/>
        <w:gridCol w:w="500"/>
        <w:gridCol w:w="60"/>
        <w:gridCol w:w="60"/>
        <w:gridCol w:w="1355"/>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74 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xml:space="preserve">  </w:t>
            </w:r>
            <w:r>
              <w:rPr/>
              <w:drawing>
                <wp:inline distT="0" distB="0" distL="0" distR="0">
                  <wp:extent cx="457200" cy="219075"/>
                  <wp:effectExtent l="0" t="0" r="0" b="0"/>
                  <wp:docPr id="222"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95" descr=""/>
                          <pic:cNvPicPr>
                            <a:picLocks noChangeAspect="1" noChangeArrowheads="1"/>
                          </pic:cNvPicPr>
                        </pic:nvPicPr>
                        <pic:blipFill>
                          <a:blip r:embed="rId207"/>
                          <a:stretch>
                            <a:fillRect/>
                          </a:stretch>
                        </pic:blipFill>
                        <pic:spPr bwMode="auto">
                          <a:xfrm>
                            <a:off x="0" y="0"/>
                            <a:ext cx="457200" cy="219075"/>
                          </a:xfrm>
                          <a:prstGeom prst="rect">
                            <a:avLst/>
                          </a:prstGeom>
                        </pic:spPr>
                      </pic:pic>
                    </a:graphicData>
                  </a:graphic>
                </wp:inline>
              </w:drawing>
            </w: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right"/>
        <w:rPr>
          <w:rFonts w:ascii="arial" w:hAnsi="arial"/>
          <w:b/>
          <w:sz w:val="15"/>
        </w:rPr>
      </w:pPr>
      <w:r>
        <w:rPr>
          <w:rFonts w:ascii="arial" w:hAnsi="arial"/>
          <w:b/>
          <w:sz w:val="15"/>
        </w:rPr>
        <w:t xml:space="preserve">Pay vs. Performance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pPr>
            <w:r>
              <w:rPr/>
              <w:t xml:space="preserve">quarter of 2023. 2021 restructuring charges of $4.0 million represent severance costs as part of cost management actions designed to increase operational efficiencies within enterprise functions that provide centralized support to operating units. 2020 restructuring charges of $12.8 million represent severance costs and lease terminations in the first quarter of 2020 in preparation for the new operating model adopted in the third quarter of 2020 and additional severance costs in the fourth quarter of 2020 to provide sustainable cost reductions as a result of the continuing </w:t>
            </w:r>
          </w:p>
          <w:p>
            <w:pPr>
              <w:pStyle w:val="TableContents"/>
              <w:bidi w:val="0"/>
              <w:spacing w:before="0" w:after="0"/>
              <w:jc w:val="left"/>
              <w:rPr>
                <w:spacing w:val="0"/>
              </w:rPr>
            </w:pPr>
            <w:r>
              <w:rPr>
                <w:spacing w:val="0"/>
              </w:rPr>
              <w:t>COVID-19</w:t>
            </w:r>
          </w:p>
          <w:p>
            <w:pPr>
              <w:pStyle w:val="TableContents"/>
              <w:bidi w:val="0"/>
              <w:spacing w:before="0" w:after="0"/>
              <w:jc w:val="left"/>
              <w:rPr/>
            </w:pPr>
            <w:r>
              <w:rPr/>
              <w:t xml:space="preserve">demand disruption;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(8)</w:t>
            </w:r>
          </w:p>
        </w:tc>
        <w:tc>
          <w:tcPr>
            <w:tcW w:w="9950" w:type="dxa"/>
            <w:tcBorders/>
            <w:vAlign w:val="center"/>
          </w:tcPr>
          <w:p>
            <w:pPr>
              <w:pStyle w:val="TableContents"/>
              <w:bidi w:val="0"/>
              <w:spacing w:before="0" w:after="0"/>
              <w:jc w:val="left"/>
              <w:rPr>
                <w:rFonts w:ascii="arial" w:hAnsi="arial"/>
                <w:sz w:val="14"/>
              </w:rPr>
            </w:pPr>
            <w:r>
              <w:rPr>
                <w:rFonts w:ascii="arial" w:hAnsi="arial"/>
                <w:sz w:val="14"/>
              </w:rPr>
              <w:t xml:space="preserve">Gain on sale of assets represents the sale of Ayers Group in the second quarter of 2024. Gain on sale of assets in 2022 is related to the sale of real property in the fourth quarter, under-utilized real property in the second quarter, and other real property sold in the first quarter of 2022. Gain on sale of assets in 2020 primarily represents the excess of proceeds over the cost of the headquarters properties sold during the first quarter of 2020. </w:t>
            </w:r>
          </w:p>
        </w:tc>
      </w:tr>
    </w:tbl>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305"/>
        <w:gridCol w:w="6380"/>
      </w:tblGrid>
      <w:tr>
        <w:trPr/>
        <w:tc>
          <w:tcPr>
            <w:tcW w:w="305" w:type="dxa"/>
            <w:tcBorders/>
            <w:vAlign w:val="center"/>
          </w:tcPr>
          <w:p>
            <w:pPr>
              <w:pStyle w:val="TableContents"/>
              <w:bidi w:val="0"/>
              <w:spacing w:before="0" w:after="283"/>
              <w:jc w:val="left"/>
              <w:rPr/>
            </w:pPr>
            <w:r>
              <w:rPr/>
              <w:t>(9)</w:t>
            </w:r>
          </w:p>
        </w:tc>
        <w:tc>
          <w:tcPr>
            <w:tcW w:w="6380" w:type="dxa"/>
            <w:tcBorders/>
            <w:vAlign w:val="center"/>
          </w:tcPr>
          <w:p>
            <w:pPr>
              <w:pStyle w:val="TableContents"/>
              <w:bidi w:val="0"/>
              <w:spacing w:before="0" w:after="0"/>
              <w:jc w:val="left"/>
              <w:rPr>
                <w:rFonts w:ascii="arial" w:hAnsi="arial"/>
                <w:sz w:val="14"/>
              </w:rPr>
            </w:pPr>
            <w:r>
              <w:rPr>
                <w:rFonts w:ascii="arial" w:hAnsi="arial"/>
                <w:sz w:val="14"/>
              </w:rPr>
              <w:t xml:space="preserve">Gain on sale of EMEA staffing operations represents the gain as a result of the sale in January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9"/>
        <w:gridCol w:w="9806"/>
      </w:tblGrid>
      <w:tr>
        <w:trPr/>
        <w:tc>
          <w:tcPr>
            <w:tcW w:w="399" w:type="dxa"/>
            <w:tcBorders/>
            <w:vAlign w:val="center"/>
          </w:tcPr>
          <w:p>
            <w:pPr>
              <w:pStyle w:val="TableContents"/>
              <w:bidi w:val="0"/>
              <w:spacing w:before="0" w:after="283"/>
              <w:jc w:val="left"/>
              <w:rPr/>
            </w:pPr>
            <w:r>
              <w:rPr/>
              <w:t>(10)</w:t>
            </w:r>
          </w:p>
        </w:tc>
        <w:tc>
          <w:tcPr>
            <w:tcW w:w="9806" w:type="dxa"/>
            <w:tcBorders/>
            <w:vAlign w:val="center"/>
          </w:tcPr>
          <w:p>
            <w:pPr>
              <w:pStyle w:val="TableContents"/>
              <w:bidi w:val="0"/>
              <w:spacing w:before="0" w:after="0"/>
              <w:jc w:val="left"/>
              <w:rPr>
                <w:rFonts w:ascii="arial" w:hAnsi="arial"/>
                <w:sz w:val="14"/>
              </w:rPr>
            </w:pPr>
            <w:r>
              <w:rPr>
                <w:rFonts w:ascii="arial" w:hAnsi="arial"/>
                <w:sz w:val="14"/>
              </w:rPr>
              <w:t xml:space="preserve">Gain on forward contract in 2024 represents the settlement of the foreign currency forward contract in January 2024 relating to the sale of our EMEA staffing operations. Loss on forward contract in 2023 represents the unrealized </w:t>
            </w:r>
          </w:p>
          <w:p>
            <w:pPr>
              <w:pStyle w:val="TableContents"/>
              <w:bidi w:val="0"/>
              <w:spacing w:before="0" w:after="0"/>
              <w:jc w:val="left"/>
              <w:rPr>
                <w:rFonts w:ascii="arial" w:hAnsi="arial"/>
                <w:spacing w:val="0"/>
                <w:sz w:val="14"/>
              </w:rPr>
            </w:pPr>
            <w:r>
              <w:rPr>
                <w:rFonts w:ascii="arial" w:hAnsi="arial"/>
                <w:spacing w:val="0"/>
                <w:sz w:val="14"/>
              </w:rPr>
              <w:t>mark-to-market</w:t>
            </w:r>
          </w:p>
          <w:p>
            <w:pPr>
              <w:pStyle w:val="TableContents"/>
              <w:bidi w:val="0"/>
              <w:spacing w:before="0" w:after="0"/>
              <w:jc w:val="left"/>
              <w:rPr>
                <w:rFonts w:ascii="arial" w:hAnsi="arial"/>
                <w:sz w:val="14"/>
              </w:rPr>
            </w:pPr>
            <w:r>
              <w:rPr>
                <w:rFonts w:ascii="arial" w:hAnsi="arial"/>
                <w:sz w:val="14"/>
              </w:rPr>
              <w:t xml:space="preserve">losses on the foreign currency forward contract the Company entered into in the fourth quarter of 2023 to mitigate the exchange rate risk associated with the future cash proceeds for the sale of the EMEA staffing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(11)</w:t>
            </w:r>
          </w:p>
        </w:tc>
        <w:tc>
          <w:tcPr>
            <w:tcW w:w="9831" w:type="dxa"/>
            <w:tcBorders/>
            <w:vAlign w:val="center"/>
          </w:tcPr>
          <w:p>
            <w:pPr>
              <w:pStyle w:val="TableContents"/>
              <w:bidi w:val="0"/>
              <w:spacing w:before="0" w:after="0"/>
              <w:jc w:val="left"/>
              <w:rPr>
                <w:rFonts w:ascii="arial" w:hAnsi="arial"/>
                <w:sz w:val="14"/>
              </w:rPr>
            </w:pPr>
            <w:r>
              <w:rPr>
                <w:rFonts w:ascii="arial" w:hAnsi="arial"/>
                <w:sz w:val="14"/>
              </w:rPr>
              <w:t xml:space="preserve">In 2022, the loss on the investment in Persol Holdings represents the change in fair value up until the date of the sale of the investment on February 15, 2022 as well as the loss on the sale of the investment during the period presented and the related tax benefit. In 2021 and 2020, the gain and loss on the investment in Persol Holdings represents the change in fair value of the investment during the periods presented and the related tax expense.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3"/>
        <w:gridCol w:w="9812"/>
      </w:tblGrid>
      <w:tr>
        <w:trPr/>
        <w:tc>
          <w:tcPr>
            <w:tcW w:w="393" w:type="dxa"/>
            <w:tcBorders/>
            <w:vAlign w:val="center"/>
          </w:tcPr>
          <w:p>
            <w:pPr>
              <w:pStyle w:val="TableContents"/>
              <w:bidi w:val="0"/>
              <w:spacing w:before="0" w:after="283"/>
              <w:jc w:val="left"/>
              <w:rPr/>
            </w:pPr>
            <w:r>
              <w:rPr/>
              <w:t>(12)</w:t>
            </w:r>
          </w:p>
        </w:tc>
        <w:tc>
          <w:tcPr>
            <w:tcW w:w="9812" w:type="dxa"/>
            <w:tcBorders/>
            <w:vAlign w:val="center"/>
          </w:tcPr>
          <w:p>
            <w:pPr>
              <w:pStyle w:val="TableContents"/>
              <w:bidi w:val="0"/>
              <w:spacing w:before="0" w:after="0"/>
              <w:jc w:val="left"/>
              <w:rPr>
                <w:rFonts w:ascii="arial" w:hAnsi="arial"/>
                <w:sz w:val="14"/>
              </w:rPr>
            </w:pPr>
            <w:r>
              <w:rPr>
                <w:rFonts w:ascii="arial" w:hAnsi="arial"/>
                <w:sz w:val="14"/>
              </w:rPr>
              <w:t xml:space="preserve">In 2022, the loss on foreign currency matters includes a $20.4 million loss on currency translation resulting from the substantially complete liquidation of the Company’s Japan entity, partially offset by a $5.5 million foreign exchange gain on the Japan entity’s </w:t>
            </w:r>
          </w:p>
          <w:p>
            <w:pPr>
              <w:pStyle w:val="TableContents"/>
              <w:bidi w:val="0"/>
              <w:spacing w:before="0" w:after="0"/>
              <w:jc w:val="left"/>
              <w:rPr>
                <w:rFonts w:ascii="arial" w:hAnsi="arial"/>
                <w:spacing w:val="0"/>
                <w:sz w:val="14"/>
              </w:rPr>
            </w:pPr>
            <w:r>
              <w:rPr>
                <w:rFonts w:ascii="arial" w:hAnsi="arial"/>
                <w:spacing w:val="0"/>
                <w:sz w:val="14"/>
              </w:rPr>
              <w:t>USD-denominated</w:t>
            </w:r>
          </w:p>
          <w:p>
            <w:pPr>
              <w:pStyle w:val="TableContents"/>
              <w:bidi w:val="0"/>
              <w:spacing w:before="0" w:after="0"/>
              <w:jc w:val="left"/>
              <w:rPr>
                <w:rFonts w:ascii="arial" w:hAnsi="arial"/>
                <w:sz w:val="14"/>
              </w:rPr>
            </w:pPr>
            <w:r>
              <w:rPr>
                <w:rFonts w:ascii="arial" w:hAnsi="arial"/>
                <w:sz w:val="14"/>
              </w:rPr>
              <w:t xml:space="preserve">cash balance. The foreign exchange gain is included in other (income) expense, net in the EBITDA calculation. </w:t>
            </w:r>
          </w:p>
        </w:tc>
      </w:tr>
    </w:tbl>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425"/>
        <w:gridCol w:w="5435"/>
      </w:tblGrid>
      <w:tr>
        <w:trPr/>
        <w:tc>
          <w:tcPr>
            <w:tcW w:w="425" w:type="dxa"/>
            <w:tcBorders/>
            <w:vAlign w:val="center"/>
          </w:tcPr>
          <w:p>
            <w:pPr>
              <w:pStyle w:val="TableContents"/>
              <w:bidi w:val="0"/>
              <w:spacing w:before="0" w:after="283"/>
              <w:jc w:val="left"/>
              <w:rPr/>
            </w:pPr>
            <w:r>
              <w:rPr/>
              <w:t>(13)</w:t>
            </w:r>
          </w:p>
        </w:tc>
        <w:tc>
          <w:tcPr>
            <w:tcW w:w="5435" w:type="dxa"/>
            <w:tcBorders/>
            <w:vAlign w:val="center"/>
          </w:tcPr>
          <w:p>
            <w:pPr>
              <w:pStyle w:val="TableContents"/>
              <w:bidi w:val="0"/>
              <w:spacing w:before="0" w:after="0"/>
              <w:jc w:val="left"/>
              <w:rPr>
                <w:rFonts w:ascii="arial" w:hAnsi="arial"/>
                <w:sz w:val="14"/>
              </w:rPr>
            </w:pPr>
            <w:r>
              <w:rPr>
                <w:rFonts w:ascii="arial" w:hAnsi="arial"/>
                <w:sz w:val="14"/>
              </w:rPr>
              <w:t xml:space="preserve">Loss on disposal in 2022 represents the </w:t>
            </w:r>
          </w:p>
          <w:p>
            <w:pPr>
              <w:pStyle w:val="TableContents"/>
              <w:bidi w:val="0"/>
              <w:spacing w:before="0" w:after="0"/>
              <w:jc w:val="left"/>
              <w:rPr>
                <w:rFonts w:ascii="arial" w:hAnsi="arial"/>
                <w:spacing w:val="0"/>
                <w:sz w:val="14"/>
              </w:rPr>
            </w:pPr>
            <w:r>
              <w:rPr>
                <w:rFonts w:ascii="arial" w:hAnsi="arial"/>
                <w:spacing w:val="0"/>
                <w:sz w:val="14"/>
              </w:rPr>
              <w:t>write-off</w:t>
            </w:r>
          </w:p>
          <w:p>
            <w:pPr>
              <w:pStyle w:val="TableContents"/>
              <w:bidi w:val="0"/>
              <w:spacing w:before="0" w:after="0"/>
              <w:jc w:val="left"/>
              <w:rPr>
                <w:rFonts w:ascii="arial" w:hAnsi="arial"/>
                <w:sz w:val="14"/>
              </w:rPr>
            </w:pPr>
            <w:r>
              <w:rPr>
                <w:rFonts w:ascii="arial" w:hAnsi="arial"/>
                <w:sz w:val="14"/>
              </w:rPr>
              <w:t xml:space="preserve">of the net assets of our Russian operations that were sold in the third quarter of 2022.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left"/>
              <w:rPr/>
            </w:pPr>
            <w:r>
              <w:rPr/>
              <w:t>(14)</w:t>
            </w:r>
          </w:p>
        </w:tc>
        <w:tc>
          <w:tcPr>
            <w:tcW w:w="9811" w:type="dxa"/>
            <w:tcBorders/>
            <w:vAlign w:val="center"/>
          </w:tcPr>
          <w:p>
            <w:pPr>
              <w:pStyle w:val="TableContents"/>
              <w:bidi w:val="0"/>
              <w:spacing w:before="0" w:after="0"/>
              <w:jc w:val="left"/>
              <w:rPr>
                <w:rFonts w:ascii="arial" w:hAnsi="arial"/>
                <w:sz w:val="14"/>
              </w:rPr>
            </w:pPr>
            <w:r>
              <w:rPr>
                <w:rFonts w:ascii="arial" w:hAnsi="arial"/>
                <w:sz w:val="14"/>
              </w:rPr>
              <w:t xml:space="preserve">Gain on insurance settlement represents a payment received in the fourth quarter of 2021 related to the settlement of claims under a representations and warranties insurance policy purchased by the Company in connection with the acquisition of Softworld. </w:t>
            </w:r>
          </w:p>
        </w:tc>
      </w:tr>
    </w:tbl>
    <w:p>
      <w:pPr>
        <w:pStyle w:val="TextBody"/>
        <w:bidi w:val="0"/>
        <w:spacing w:before="0" w:after="0"/>
        <w:jc w:val="left"/>
        <w:rPr/>
      </w:pPr>
      <w:r>
        <w:rPr/>
        <w:t> </w:t>
      </w:r>
    </w:p>
    <w:tbl>
      <w:tblPr>
        <w:tblW w:w="9760" w:type="dxa"/>
        <w:jc w:val="left"/>
        <w:tblInd w:w="0" w:type="dxa"/>
        <w:tblLayout w:type="fixed"/>
        <w:tblCellMar>
          <w:top w:w="0" w:type="dxa"/>
          <w:left w:w="0" w:type="dxa"/>
          <w:bottom w:w="0" w:type="dxa"/>
          <w:right w:w="0" w:type="dxa"/>
        </w:tblCellMar>
      </w:tblPr>
      <w:tblGrid>
        <w:gridCol w:w="425"/>
        <w:gridCol w:w="9335"/>
      </w:tblGrid>
      <w:tr>
        <w:trPr/>
        <w:tc>
          <w:tcPr>
            <w:tcW w:w="425" w:type="dxa"/>
            <w:tcBorders/>
            <w:vAlign w:val="center"/>
          </w:tcPr>
          <w:p>
            <w:pPr>
              <w:pStyle w:val="TableContents"/>
              <w:bidi w:val="0"/>
              <w:spacing w:before="0" w:after="283"/>
              <w:jc w:val="left"/>
              <w:rPr/>
            </w:pPr>
            <w:r>
              <w:rPr/>
              <w:t>(15)</w:t>
            </w:r>
          </w:p>
        </w:tc>
        <w:tc>
          <w:tcPr>
            <w:tcW w:w="9335" w:type="dxa"/>
            <w:tcBorders/>
            <w:vAlign w:val="center"/>
          </w:tcPr>
          <w:p>
            <w:pPr>
              <w:pStyle w:val="TableContents"/>
              <w:bidi w:val="0"/>
              <w:spacing w:before="0" w:after="0"/>
              <w:jc w:val="left"/>
              <w:rPr>
                <w:rFonts w:ascii="arial" w:hAnsi="arial"/>
                <w:sz w:val="14"/>
              </w:rPr>
            </w:pPr>
            <w:r>
              <w:rPr>
                <w:rFonts w:ascii="arial" w:hAnsi="arial"/>
                <w:sz w:val="14"/>
              </w:rPr>
              <w:t xml:space="preserve">Customer dispute in 2020 represents a </w:t>
            </w:r>
          </w:p>
          <w:p>
            <w:pPr>
              <w:pStyle w:val="TableContents"/>
              <w:bidi w:val="0"/>
              <w:spacing w:before="0" w:after="0"/>
              <w:jc w:val="left"/>
              <w:rPr>
                <w:rFonts w:ascii="arial" w:hAnsi="arial"/>
                <w:spacing w:val="0"/>
                <w:sz w:val="14"/>
              </w:rPr>
            </w:pPr>
            <w:r>
              <w:rPr>
                <w:rFonts w:ascii="arial" w:hAnsi="arial"/>
                <w:spacing w:val="0"/>
                <w:sz w:val="14"/>
              </w:rPr>
              <w:t>non-cash</w:t>
            </w:r>
          </w:p>
          <w:p>
            <w:pPr>
              <w:pStyle w:val="TableContents"/>
              <w:bidi w:val="0"/>
              <w:spacing w:before="0" w:after="0"/>
              <w:jc w:val="left"/>
              <w:rPr>
                <w:rFonts w:ascii="arial" w:hAnsi="arial"/>
                <w:sz w:val="14"/>
              </w:rPr>
            </w:pPr>
            <w:r>
              <w:rPr>
                <w:rFonts w:ascii="arial" w:hAnsi="arial"/>
                <w:sz w:val="14"/>
              </w:rPr>
              <w:t xml:space="preserve">charge in Mexico to increase the reserve against a long-term receivable from a former customer based on an updated probability of loss assessment. </w:t>
            </w:r>
          </w:p>
        </w:tc>
      </w:tr>
    </w:tbl>
    <w:p>
      <w:pPr>
        <w:pStyle w:val="TextBody"/>
        <w:bidi w:val="0"/>
        <w:spacing w:before="0" w:after="0"/>
        <w:jc w:val="left"/>
        <w:rPr/>
      </w:pPr>
      <w:r>
        <w:rPr/>
        <w:t> </w:t>
      </w:r>
    </w:p>
    <w:tbl>
      <w:tblPr>
        <w:tblW w:w="8185" w:type="dxa"/>
        <w:jc w:val="left"/>
        <w:tblInd w:w="0" w:type="dxa"/>
        <w:tblLayout w:type="fixed"/>
        <w:tblCellMar>
          <w:top w:w="0" w:type="dxa"/>
          <w:left w:w="0" w:type="dxa"/>
          <w:bottom w:w="0" w:type="dxa"/>
          <w:right w:w="0" w:type="dxa"/>
        </w:tblCellMar>
      </w:tblPr>
      <w:tblGrid>
        <w:gridCol w:w="425"/>
        <w:gridCol w:w="7760"/>
      </w:tblGrid>
      <w:tr>
        <w:trPr/>
        <w:tc>
          <w:tcPr>
            <w:tcW w:w="425" w:type="dxa"/>
            <w:tcBorders/>
            <w:vAlign w:val="center"/>
          </w:tcPr>
          <w:p>
            <w:pPr>
              <w:pStyle w:val="TableContents"/>
              <w:bidi w:val="0"/>
              <w:spacing w:before="0" w:after="283"/>
              <w:jc w:val="left"/>
              <w:rPr/>
            </w:pPr>
            <w:r>
              <w:rPr/>
              <w:t>(16)</w:t>
            </w:r>
          </w:p>
        </w:tc>
        <w:tc>
          <w:tcPr>
            <w:tcW w:w="7760" w:type="dxa"/>
            <w:tcBorders/>
            <w:vAlign w:val="center"/>
          </w:tcPr>
          <w:p>
            <w:pPr>
              <w:pStyle w:val="TableContents"/>
              <w:bidi w:val="0"/>
              <w:spacing w:before="0" w:after="0"/>
              <w:jc w:val="left"/>
              <w:rPr>
                <w:rFonts w:ascii="arial" w:hAnsi="arial"/>
                <w:sz w:val="14"/>
              </w:rPr>
            </w:pPr>
            <w:r>
              <w:rPr>
                <w:rFonts w:ascii="arial" w:hAnsi="arial"/>
                <w:sz w:val="14"/>
              </w:rPr>
              <w:t xml:space="preserve">Equity in net earnings of affiliate represents the Company’s proportional share of the operating results of the equity affiliate. </w:t>
            </w:r>
          </w:p>
        </w:tc>
      </w:tr>
    </w:tbl>
    <w:p>
      <w:pPr>
        <w:pStyle w:val="TextBody"/>
        <w:bidi w:val="0"/>
        <w:spacing w:before="240" w:after="0"/>
        <w:jc w:val="left"/>
        <w:rPr>
          <w:rFonts w:ascii="arial" w:hAnsi="arial"/>
          <w:sz w:val="18"/>
        </w:rPr>
      </w:pPr>
      <w:r>
        <w:rPr>
          <w:rFonts w:ascii="arial" w:hAnsi="arial"/>
          <w:sz w:val="18"/>
        </w:rPr>
        <w:t xml:space="preserve">As discussed in the CD&amp;A section of this Proxy Statement, the five items listed below represent the most important financial measures we used to determine CAP for FY 2025. </w:t>
      </w:r>
    </w:p>
    <w:p>
      <w:pPr>
        <w:pStyle w:val="TextBody"/>
        <w:bidi w:val="0"/>
        <w:spacing w:before="0" w:after="0"/>
        <w:jc w:val="left"/>
        <w:rPr/>
      </w:pPr>
      <w:r>
        <w:rPr/>
        <w:t> </w:t>
      </w:r>
    </w:p>
    <w:tbl>
      <w:tblPr>
        <w:tblW w:w="4085" w:type="dxa"/>
        <w:jc w:val="left"/>
        <w:tblInd w:w="0" w:type="dxa"/>
        <w:tblLayout w:type="fixed"/>
        <w:tblCellMar>
          <w:top w:w="0" w:type="dxa"/>
          <w:left w:w="0" w:type="dxa"/>
          <w:bottom w:w="0" w:type="dxa"/>
          <w:right w:w="0" w:type="dxa"/>
        </w:tblCellMar>
      </w:tblPr>
      <w:tblGrid>
        <w:gridCol w:w="4085"/>
      </w:tblGrid>
      <w:tr>
        <w:trPr/>
        <w:tc>
          <w:tcPr>
            <w:tcW w:w="4085" w:type="dxa"/>
            <w:tcBorders/>
            <w:vAlign w:val="center"/>
          </w:tcPr>
          <w:p>
            <w:pPr>
              <w:pStyle w:val="TableContents"/>
              <w:bidi w:val="0"/>
              <w:spacing w:before="0" w:after="283"/>
              <w:jc w:val="left"/>
              <w:rPr>
                <w:sz w:val="4"/>
                <w:szCs w:val="4"/>
              </w:rPr>
            </w:pPr>
            <w:r>
              <w:rPr>
                <w:sz w:val="4"/>
                <w:szCs w:val="4"/>
              </w:rPr>
            </w:r>
          </w:p>
        </w:tc>
      </w:tr>
      <w:tr>
        <w:trPr/>
        <w:tc>
          <w:tcPr>
            <w:tcW w:w="4085" w:type="dxa"/>
            <w:tcBorders>
              <w:bottom w:val="single" w:sz="8" w:space="0" w:color="000000"/>
            </w:tcBorders>
            <w:tcMar>
              <w:bottom w:w="80" w:type="dxa"/>
            </w:tcMar>
            <w:vAlign w:val="center"/>
          </w:tcPr>
          <w:p>
            <w:pPr>
              <w:pStyle w:val="TableContents"/>
              <w:bidi w:val="0"/>
              <w:spacing w:before="0" w:after="0"/>
              <w:jc w:val="center"/>
              <w:rPr>
                <w:b/>
                <w:color w:val="00AE4F"/>
                <w:spacing w:val="0"/>
              </w:rPr>
            </w:pPr>
            <w:r>
              <w:rPr>
                <w:b/>
                <w:color w:val="00AE4F"/>
                <w:spacing w:val="0"/>
              </w:rPr>
              <w:t>Most Important Performance Measures</w:t>
            </w:r>
          </w:p>
        </w:tc>
      </w:tr>
      <w:tr>
        <w:trPr/>
        <w:tc>
          <w:tcPr>
            <w:tcW w:w="4085" w:type="dxa"/>
            <w:tcBorders/>
            <w:vAlign w:val="center"/>
          </w:tcPr>
          <w:p>
            <w:pPr>
              <w:pStyle w:val="TableContents"/>
              <w:bidi w:val="0"/>
              <w:spacing w:before="0" w:after="283"/>
              <w:jc w:val="left"/>
              <w:rPr>
                <w:sz w:val="4"/>
                <w:szCs w:val="4"/>
              </w:rPr>
            </w:pPr>
            <w:r>
              <w:rPr>
                <w:sz w:val="4"/>
                <w:szCs w:val="4"/>
              </w:rPr>
            </w:r>
          </w:p>
        </w:tc>
      </w:tr>
      <w:tr>
        <w:trPr/>
        <w:tc>
          <w:tcPr>
            <w:tcW w:w="4085" w:type="dxa"/>
            <w:tcBorders>
              <w:bottom w:val="single" w:sz="6" w:space="0" w:color="7F7F7F"/>
            </w:tcBorders>
            <w:tcMar>
              <w:bottom w:w="40" w:type="dxa"/>
            </w:tcMar>
            <w:vAlign w:val="center"/>
          </w:tcPr>
          <w:p>
            <w:pPr>
              <w:pStyle w:val="TableContents"/>
              <w:bidi w:val="0"/>
              <w:spacing w:before="0" w:after="0"/>
              <w:jc w:val="center"/>
              <w:rPr>
                <w:rFonts w:ascii="arial" w:hAnsi="arial"/>
                <w:sz w:val="16"/>
              </w:rPr>
            </w:pPr>
            <w:r>
              <w:rPr>
                <w:rFonts w:ascii="arial" w:hAnsi="arial"/>
                <w:sz w:val="16"/>
              </w:rPr>
              <w:t>Gross Profit</w:t>
            </w:r>
          </w:p>
        </w:tc>
      </w:tr>
      <w:tr>
        <w:trPr/>
        <w:tc>
          <w:tcPr>
            <w:tcW w:w="4085" w:type="dxa"/>
            <w:tcBorders/>
            <w:vAlign w:val="center"/>
          </w:tcPr>
          <w:p>
            <w:pPr>
              <w:pStyle w:val="TableContents"/>
              <w:bidi w:val="0"/>
              <w:spacing w:before="0" w:after="283"/>
              <w:jc w:val="left"/>
              <w:rPr>
                <w:sz w:val="4"/>
                <w:szCs w:val="4"/>
              </w:rPr>
            </w:pPr>
            <w:r>
              <w:rPr>
                <w:sz w:val="4"/>
                <w:szCs w:val="4"/>
              </w:rPr>
            </w:r>
          </w:p>
        </w:tc>
      </w:tr>
      <w:tr>
        <w:trPr/>
        <w:tc>
          <w:tcPr>
            <w:tcW w:w="4085" w:type="dxa"/>
            <w:tcBorders>
              <w:bottom w:val="single" w:sz="6" w:space="0" w:color="7F7F7F"/>
            </w:tcBorders>
            <w:tcMar>
              <w:bottom w:w="40" w:type="dxa"/>
            </w:tcMar>
            <w:vAlign w:val="center"/>
          </w:tcPr>
          <w:p>
            <w:pPr>
              <w:pStyle w:val="TableContents"/>
              <w:bidi w:val="0"/>
              <w:spacing w:before="0" w:after="0"/>
              <w:jc w:val="center"/>
              <w:rPr>
                <w:rFonts w:ascii="arial" w:hAnsi="arial"/>
                <w:sz w:val="16"/>
              </w:rPr>
            </w:pPr>
            <w:r>
              <w:rPr>
                <w:rFonts w:ascii="arial" w:hAnsi="arial"/>
                <w:sz w:val="16"/>
              </w:rPr>
              <w:t>EBITDA $</w:t>
            </w:r>
          </w:p>
        </w:tc>
      </w:tr>
      <w:tr>
        <w:trPr/>
        <w:tc>
          <w:tcPr>
            <w:tcW w:w="4085" w:type="dxa"/>
            <w:tcBorders/>
            <w:vAlign w:val="center"/>
          </w:tcPr>
          <w:p>
            <w:pPr>
              <w:pStyle w:val="TableContents"/>
              <w:bidi w:val="0"/>
              <w:spacing w:before="0" w:after="283"/>
              <w:jc w:val="left"/>
              <w:rPr>
                <w:sz w:val="4"/>
                <w:szCs w:val="4"/>
              </w:rPr>
            </w:pPr>
            <w:r>
              <w:rPr>
                <w:sz w:val="4"/>
                <w:szCs w:val="4"/>
              </w:rPr>
            </w:r>
          </w:p>
        </w:tc>
      </w:tr>
      <w:tr>
        <w:trPr/>
        <w:tc>
          <w:tcPr>
            <w:tcW w:w="4085" w:type="dxa"/>
            <w:tcBorders>
              <w:bottom w:val="single" w:sz="6" w:space="0" w:color="7F7F7F"/>
            </w:tcBorders>
            <w:tcMar>
              <w:bottom w:w="40" w:type="dxa"/>
            </w:tcMar>
            <w:vAlign w:val="center"/>
          </w:tcPr>
          <w:p>
            <w:pPr>
              <w:pStyle w:val="TableContents"/>
              <w:bidi w:val="0"/>
              <w:spacing w:before="0" w:after="0"/>
              <w:jc w:val="center"/>
              <w:rPr>
                <w:rFonts w:ascii="arial" w:hAnsi="arial"/>
                <w:sz w:val="16"/>
              </w:rPr>
            </w:pPr>
            <w:r>
              <w:rPr>
                <w:rFonts w:ascii="arial" w:hAnsi="arial"/>
                <w:sz w:val="16"/>
              </w:rPr>
              <w:t>EBITDA Margin</w:t>
            </w:r>
          </w:p>
        </w:tc>
      </w:tr>
      <w:tr>
        <w:trPr/>
        <w:tc>
          <w:tcPr>
            <w:tcW w:w="4085" w:type="dxa"/>
            <w:tcBorders/>
            <w:vAlign w:val="center"/>
          </w:tcPr>
          <w:p>
            <w:pPr>
              <w:pStyle w:val="TableContents"/>
              <w:bidi w:val="0"/>
              <w:spacing w:before="0" w:after="283"/>
              <w:jc w:val="left"/>
              <w:rPr>
                <w:sz w:val="4"/>
                <w:szCs w:val="4"/>
              </w:rPr>
            </w:pPr>
            <w:r>
              <w:rPr>
                <w:sz w:val="4"/>
                <w:szCs w:val="4"/>
              </w:rPr>
            </w:r>
          </w:p>
        </w:tc>
      </w:tr>
      <w:tr>
        <w:trPr/>
        <w:tc>
          <w:tcPr>
            <w:tcW w:w="4085" w:type="dxa"/>
            <w:tcBorders>
              <w:bottom w:val="single" w:sz="6" w:space="0" w:color="7F7F7F"/>
            </w:tcBorders>
            <w:tcMar>
              <w:bottom w:w="40" w:type="dxa"/>
            </w:tcMar>
            <w:vAlign w:val="center"/>
          </w:tcPr>
          <w:p>
            <w:pPr>
              <w:pStyle w:val="TableContents"/>
              <w:bidi w:val="0"/>
              <w:spacing w:before="0" w:after="0"/>
              <w:jc w:val="center"/>
              <w:rPr>
                <w:rFonts w:ascii="arial" w:hAnsi="arial"/>
                <w:sz w:val="16"/>
              </w:rPr>
            </w:pPr>
            <w:r>
              <w:rPr>
                <w:rFonts w:ascii="arial" w:hAnsi="arial"/>
                <w:sz w:val="16"/>
              </w:rPr>
              <w:t>Revenue Growth</w:t>
            </w:r>
          </w:p>
        </w:tc>
      </w:tr>
      <w:tr>
        <w:trPr/>
        <w:tc>
          <w:tcPr>
            <w:tcW w:w="4085" w:type="dxa"/>
            <w:tcBorders/>
            <w:vAlign w:val="center"/>
          </w:tcPr>
          <w:p>
            <w:pPr>
              <w:pStyle w:val="TableContents"/>
              <w:bidi w:val="0"/>
              <w:spacing w:before="0" w:after="283"/>
              <w:jc w:val="left"/>
              <w:rPr>
                <w:sz w:val="4"/>
                <w:szCs w:val="4"/>
              </w:rPr>
            </w:pPr>
            <w:r>
              <w:rPr>
                <w:sz w:val="4"/>
                <w:szCs w:val="4"/>
              </w:rPr>
            </w:r>
          </w:p>
        </w:tc>
      </w:tr>
      <w:tr>
        <w:trPr/>
        <w:tc>
          <w:tcPr>
            <w:tcW w:w="4085" w:type="dxa"/>
            <w:tcBorders>
              <w:bottom w:val="single" w:sz="6" w:space="0" w:color="7F7F7F"/>
            </w:tcBorders>
            <w:tcMar>
              <w:bottom w:w="40" w:type="dxa"/>
            </w:tcMar>
            <w:vAlign w:val="center"/>
          </w:tcPr>
          <w:p>
            <w:pPr>
              <w:pStyle w:val="TableContents"/>
              <w:bidi w:val="0"/>
              <w:spacing w:before="0" w:after="0"/>
              <w:jc w:val="center"/>
              <w:rPr>
                <w:rFonts w:ascii="arial" w:hAnsi="arial"/>
                <w:sz w:val="16"/>
              </w:rPr>
            </w:pPr>
            <w:r>
              <w:rPr>
                <w:rFonts w:ascii="arial" w:hAnsi="arial"/>
                <w:sz w:val="16"/>
              </w:rPr>
              <w:t>Stock Price</w:t>
            </w:r>
          </w:p>
        </w:tc>
      </w:tr>
    </w:tbl>
    <w:p>
      <w:pPr>
        <w:pStyle w:val="TextBody"/>
        <w:bidi w:val="0"/>
        <w:spacing w:before="240" w:after="0"/>
        <w:jc w:val="left"/>
        <w:rPr>
          <w:rFonts w:ascii="arial" w:hAnsi="arial"/>
          <w:sz w:val="18"/>
        </w:rPr>
      </w:pPr>
      <w:r>
        <w:rPr>
          <w:rFonts w:ascii="arial" w:hAnsi="arial"/>
          <w:sz w:val="18"/>
        </w:rPr>
        <w:t xml:space="preserve">The charts below show, for the past five years, the relationship of the Company’s TSR relative to the S&amp;P 1500 Human Resources and Employment Services index, which reflects the Company’s industry sector, as well as the relationship between the CEO and </w:t>
      </w:r>
    </w:p>
    <w:p>
      <w:pPr>
        <w:pStyle w:val="TextBody"/>
        <w:bidi w:val="0"/>
        <w:spacing w:before="240" w:after="0"/>
        <w:jc w:val="left"/>
        <w:rPr>
          <w:rFonts w:ascii="arial" w:hAnsi="arial"/>
          <w:spacing w:val="0"/>
          <w:sz w:val="18"/>
        </w:rPr>
      </w:pPr>
      <w:r>
        <w:rPr>
          <w:rFonts w:ascii="arial" w:hAnsi="arial"/>
          <w:spacing w:val="0"/>
          <w:sz w:val="18"/>
        </w:rPr>
        <w:t>non-CEO</w:t>
      </w:r>
    </w:p>
    <w:p>
      <w:pPr>
        <w:pStyle w:val="TextBody"/>
        <w:bidi w:val="0"/>
        <w:spacing w:before="240" w:after="0"/>
        <w:jc w:val="left"/>
        <w:rPr>
          <w:rFonts w:ascii="arial" w:hAnsi="arial"/>
          <w:sz w:val="18"/>
        </w:rPr>
      </w:pPr>
      <w:r>
        <w:rPr>
          <w:rFonts w:ascii="arial" w:hAnsi="arial"/>
          <w:sz w:val="18"/>
        </w:rPr>
        <w:t xml:space="preserve">CAP and the Company’s TSR; the Company’s net earnings; and the Company’s </w:t>
      </w:r>
    </w:p>
    <w:p>
      <w:pPr>
        <w:pStyle w:val="TextBody"/>
        <w:bidi w:val="0"/>
        <w:spacing w:before="240" w:after="0"/>
        <w:jc w:val="left"/>
        <w:rPr>
          <w:rFonts w:ascii="arial" w:hAnsi="arial"/>
          <w:spacing w:val="0"/>
          <w:sz w:val="18"/>
        </w:rPr>
      </w:pPr>
      <w:r>
        <w:rPr>
          <w:rFonts w:ascii="arial" w:hAnsi="arial"/>
          <w:spacing w:val="0"/>
          <w:sz w:val="18"/>
        </w:rPr>
        <w:t>non-GAAP</w:t>
      </w:r>
    </w:p>
    <w:p>
      <w:pPr>
        <w:pStyle w:val="TextBody"/>
        <w:bidi w:val="0"/>
        <w:spacing w:before="240" w:after="0"/>
        <w:jc w:val="left"/>
        <w:rPr>
          <w:rFonts w:ascii="arial" w:hAnsi="arial"/>
          <w:sz w:val="18"/>
        </w:rPr>
      </w:pPr>
      <w:r>
        <w:rPr>
          <w:rFonts w:ascii="arial" w:hAnsi="arial"/>
          <w:sz w:val="18"/>
        </w:rPr>
        <w:t xml:space="preserve">adjusted EBITDA. </w:t>
      </w:r>
    </w:p>
    <w:p>
      <w:pPr>
        <w:pStyle w:val="TextBody"/>
        <w:bidi w:val="0"/>
        <w:spacing w:before="0" w:after="0"/>
        <w:jc w:val="left"/>
        <w:rPr/>
      </w:pPr>
      <w:r>
        <w:rPr/>
        <w:t> </w:t>
      </w:r>
    </w:p>
    <w:tbl>
      <w:tblPr>
        <w:tblW w:w="1870" w:type="dxa"/>
        <w:jc w:val="left"/>
        <w:tblInd w:w="0" w:type="dxa"/>
        <w:tblLayout w:type="fixed"/>
        <w:tblCellMar>
          <w:top w:w="0" w:type="dxa"/>
          <w:left w:w="0" w:type="dxa"/>
          <w:bottom w:w="0" w:type="dxa"/>
          <w:right w:w="0" w:type="dxa"/>
        </w:tblCellMar>
      </w:tblPr>
      <w:tblGrid>
        <w:gridCol w:w="1355"/>
        <w:gridCol w:w="120"/>
        <w:gridCol w:w="60"/>
        <w:gridCol w:w="260"/>
        <w:gridCol w:w="75"/>
      </w:tblGrid>
      <w:tr>
        <w:trPr/>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55" w:type="dxa"/>
            <w:tcBorders/>
            <w:vAlign w:val="center"/>
          </w:tcPr>
          <w:p>
            <w:pPr>
              <w:pStyle w:val="TableContents"/>
              <w:bidi w:val="0"/>
              <w:spacing w:before="0" w:after="283"/>
              <w:jc w:val="right"/>
              <w:rPr/>
            </w:pPr>
            <w:r>
              <w:rPr/>
              <w:t xml:space="preserve">  </w:t>
            </w:r>
            <w:r>
              <w:rPr/>
              <w:drawing>
                <wp:inline distT="0" distB="0" distL="0" distR="0">
                  <wp:extent cx="457200" cy="219075"/>
                  <wp:effectExtent l="0" t="0" r="0" b="0"/>
                  <wp:docPr id="223"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96" descr=""/>
                          <pic:cNvPicPr>
                            <a:picLocks noChangeAspect="1" noChangeArrowheads="1"/>
                          </pic:cNvPicPr>
                        </pic:nvPicPr>
                        <pic:blipFill>
                          <a:blip r:embed="rId208"/>
                          <a:stretch>
                            <a:fillRect/>
                          </a:stretch>
                        </pic:blipFill>
                        <pic:spPr bwMode="auto">
                          <a:xfrm>
                            <a:off x="0" y="0"/>
                            <a:ext cx="457200" cy="219075"/>
                          </a:xfrm>
                          <a:prstGeom prst="rect">
                            <a:avLst/>
                          </a:prstGeom>
                        </pic:spPr>
                      </pic:pic>
                    </a:graphicData>
                  </a:graphic>
                </wp:inline>
              </w:drawing>
            </w: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15"/>
        </w:rPr>
      </w:pPr>
      <w:r>
        <w:rPr>
          <w:rFonts w:ascii="arial" w:hAnsi="arial"/>
          <w:b/>
          <w:sz w:val="15"/>
        </w:rPr>
        <w:t xml:space="preserve">Pay vs. Performance </w:t>
      </w:r>
    </w:p>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Pay vs. Performance </w:t>
      </w:r>
    </w:p>
    <w:p>
      <w:pPr>
        <w:pStyle w:val="TextBody"/>
        <w:bidi w:val="0"/>
        <w:spacing w:before="0" w:after="0"/>
        <w:jc w:val="left"/>
        <w:rPr/>
      </w:pPr>
      <w:r>
        <w:rPr/>
        <w:t> </w:t>
      </w:r>
    </w:p>
    <w:p>
      <w:pPr>
        <w:pStyle w:val="TextBody"/>
        <w:bidi w:val="0"/>
        <w:spacing w:before="0" w:after="0"/>
        <w:jc w:val="left"/>
        <w:rPr/>
      </w:pPr>
      <w:r>
        <w:rPr/>
        <w:t> </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3175000" cy="1628775"/>
                <wp:effectExtent l="0" t="0" r="0" b="0"/>
                <wp:wrapSquare wrapText="right"/>
                <wp:docPr id="224" name="Frame18"/>
                <a:graphic xmlns:a="http://schemas.openxmlformats.org/drawingml/2006/main">
                  <a:graphicData uri="http://schemas.microsoft.com/office/word/2010/wordprocessingShape">
                    <wps:wsp>
                      <wps:cNvSpPr txBox="1"/>
                      <wps:spPr>
                        <a:xfrm>
                          <a:off x="0" y="0"/>
                          <a:ext cx="3175000" cy="1628775"/>
                        </a:xfrm>
                        <a:prstGeom prst="rect"/>
                        <a:solidFill>
                          <a:srgbClr val="FFFFFF"/>
                        </a:solidFill>
                      </wps:spPr>
                      <wps:txbx>
                        <w:txbxContent>
                          <w:p>
                            <w:pPr>
                              <w:pStyle w:val="TextBody"/>
                              <w:bidi w:val="0"/>
                              <w:spacing w:before="0" w:after="0"/>
                              <w:jc w:val="left"/>
                              <w:rPr/>
                            </w:pPr>
                            <w:r>
                              <w:rPr/>
                              <w:drawing>
                                <wp:inline distT="0" distB="0" distL="0" distR="0">
                                  <wp:extent cx="3228975" cy="1628775"/>
                                  <wp:effectExtent l="0" t="0" r="0" b="0"/>
                                  <wp:docPr id="225"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98" descr=""/>
                                          <pic:cNvPicPr>
                                            <a:picLocks noChangeAspect="1" noChangeArrowheads="1"/>
                                          </pic:cNvPicPr>
                                        </pic:nvPicPr>
                                        <pic:blipFill>
                                          <a:blip r:embed="rId209"/>
                                          <a:stretch>
                                            <a:fillRect/>
                                          </a:stretch>
                                        </pic:blipFill>
                                        <pic:spPr bwMode="auto">
                                          <a:xfrm>
                                            <a:off x="0" y="0"/>
                                            <a:ext cx="3228975" cy="1628775"/>
                                          </a:xfrm>
                                          <a:prstGeom prst="rect">
                                            <a:avLst/>
                                          </a:prstGeom>
                                        </pic:spPr>
                                      </pic:pic>
                                    </a:graphicData>
                                  </a:graphic>
                                </wp:inline>
                              </w:drawing>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28.2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drawing>
                          <wp:inline distT="0" distB="0" distL="0" distR="0">
                            <wp:extent cx="3228975" cy="1628775"/>
                            <wp:effectExtent l="0" t="0" r="0" b="0"/>
                            <wp:docPr id="226"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98" descr=""/>
                                    <pic:cNvPicPr>
                                      <a:picLocks noChangeAspect="1" noChangeArrowheads="1"/>
                                    </pic:cNvPicPr>
                                  </pic:nvPicPr>
                                  <pic:blipFill>
                                    <a:blip r:embed="rId210"/>
                                    <a:stretch>
                                      <a:fillRect/>
                                    </a:stretch>
                                  </pic:blipFill>
                                  <pic:spPr bwMode="auto">
                                    <a:xfrm>
                                      <a:off x="0" y="0"/>
                                      <a:ext cx="3228975" cy="1628775"/>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3110230" cy="1557020"/>
                <wp:effectExtent l="0" t="0" r="0" b="0"/>
                <wp:wrapSquare wrapText="right"/>
                <wp:docPr id="227" name="Frame17"/>
                <a:graphic xmlns:a="http://schemas.openxmlformats.org/drawingml/2006/main">
                  <a:graphicData uri="http://schemas.microsoft.com/office/word/2010/wordprocessingShape">
                    <wps:wsp>
                      <wps:cNvSpPr txBox="1"/>
                      <wps:spPr>
                        <a:xfrm>
                          <a:off x="0" y="0"/>
                          <a:ext cx="3110230" cy="1557020"/>
                        </a:xfrm>
                        <a:prstGeom prst="rect"/>
                        <a:solidFill>
                          <a:srgbClr val="FFFFFF"/>
                        </a:solidFill>
                      </wps:spPr>
                      <wps:txbx>
                        <w:txbxContent>
                          <w:p>
                            <w:pPr>
                              <w:pStyle w:val="TextBody"/>
                              <w:bidi w:val="0"/>
                              <w:spacing w:before="0" w:after="0"/>
                              <w:jc w:val="left"/>
                              <w:rPr/>
                            </w:pPr>
                            <w:r>
                              <w:rPr/>
                              <w:drawing>
                                <wp:inline distT="0" distB="0" distL="0" distR="0">
                                  <wp:extent cx="3200400" cy="1524000"/>
                                  <wp:effectExtent l="0" t="0" r="0" b="0"/>
                                  <wp:docPr id="228"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97" descr=""/>
                                          <pic:cNvPicPr>
                                            <a:picLocks noChangeAspect="1" noChangeArrowheads="1"/>
                                          </pic:cNvPicPr>
                                        </pic:nvPicPr>
                                        <pic:blipFill>
                                          <a:blip r:embed="rId211"/>
                                          <a:stretch>
                                            <a:fillRect/>
                                          </a:stretch>
                                        </pic:blipFill>
                                        <pic:spPr bwMode="auto">
                                          <a:xfrm>
                                            <a:off x="0" y="0"/>
                                            <a:ext cx="3200400" cy="1524000"/>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22.6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left"/>
                        <w:rPr/>
                      </w:pPr>
                      <w:r>
                        <w:rPr/>
                        <w:drawing>
                          <wp:inline distT="0" distB="0" distL="0" distR="0">
                            <wp:extent cx="3200400" cy="1524000"/>
                            <wp:effectExtent l="0" t="0" r="0" b="0"/>
                            <wp:docPr id="229"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97" descr=""/>
                                    <pic:cNvPicPr>
                                      <a:picLocks noChangeAspect="1" noChangeArrowheads="1"/>
                                    </pic:cNvPicPr>
                                  </pic:nvPicPr>
                                  <pic:blipFill>
                                    <a:blip r:embed="rId212"/>
                                    <a:stretch>
                                      <a:fillRect/>
                                    </a:stretch>
                                  </pic:blipFill>
                                  <pic:spPr bwMode="auto">
                                    <a:xfrm>
                                      <a:off x="0" y="0"/>
                                      <a:ext cx="3200400" cy="1524000"/>
                                    </a:xfrm>
                                    <a:prstGeom prst="rect">
                                      <a:avLst/>
                                    </a:prstGeom>
                                  </pic:spPr>
                                </pic:pic>
                              </a:graphicData>
                            </a:graphic>
                          </wp:inline>
                        </w:drawing>
                      </w:r>
                      <w:r>
                        <w:rPr/>
                        <w:t xml:space="preserve"> </w:t>
                      </w:r>
                    </w:p>
                  </w:txbxContent>
                </v:textbox>
                <w10:wrap type="square" side="right"/>
              </v:rect>
            </w:pict>
          </mc:Fallback>
        </mc:AlternateContent>
      </w:r>
    </w:p>
    <w:p>
      <w:pPr>
        <w:pStyle w:val="TextBody"/>
        <w:bidi w:val="0"/>
        <w:spacing w:before="0" w:after="0"/>
        <w:jc w:val="left"/>
        <w:rPr/>
      </w:pPr>
      <w:r>
        <w:rPr/>
        <w:t> </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3110230" cy="1752600"/>
                <wp:effectExtent l="0" t="0" r="0" b="0"/>
                <wp:wrapSquare wrapText="right"/>
                <wp:docPr id="230" name="Frame19"/>
                <a:graphic xmlns:a="http://schemas.openxmlformats.org/drawingml/2006/main">
                  <a:graphicData uri="http://schemas.microsoft.com/office/word/2010/wordprocessingShape">
                    <wps:wsp>
                      <wps:cNvSpPr txBox="1"/>
                      <wps:spPr>
                        <a:xfrm>
                          <a:off x="0" y="0"/>
                          <a:ext cx="3110230" cy="1752600"/>
                        </a:xfrm>
                        <a:prstGeom prst="rect"/>
                        <a:solidFill>
                          <a:srgbClr val="FFFFFF"/>
                        </a:solidFill>
                      </wps:spPr>
                      <wps:txbx>
                        <w:txbxContent>
                          <w:p>
                            <w:pPr>
                              <w:pStyle w:val="TextBody"/>
                              <w:bidi w:val="0"/>
                              <w:spacing w:lineRule="atLeast" w:line="2760" w:before="0" w:after="0"/>
                              <w:jc w:val="left"/>
                              <w:rPr/>
                            </w:pPr>
                            <w:r>
                              <w:rPr/>
                              <w:drawing>
                                <wp:inline distT="0" distB="0" distL="0" distR="0">
                                  <wp:extent cx="3124200" cy="1219200"/>
                                  <wp:effectExtent l="0" t="0" r="0" b="0"/>
                                  <wp:docPr id="231"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99" descr=""/>
                                          <pic:cNvPicPr>
                                            <a:picLocks noChangeAspect="1" noChangeArrowheads="1"/>
                                          </pic:cNvPicPr>
                                        </pic:nvPicPr>
                                        <pic:blipFill>
                                          <a:blip r:embed="rId213"/>
                                          <a:stretch>
                                            <a:fillRect/>
                                          </a:stretch>
                                        </pic:blipFill>
                                        <pic:spPr bwMode="auto">
                                          <a:xfrm>
                                            <a:off x="0" y="0"/>
                                            <a:ext cx="3124200" cy="1219200"/>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8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lineRule="atLeast" w:line="2760" w:before="0" w:after="0"/>
                        <w:jc w:val="left"/>
                        <w:rPr/>
                      </w:pPr>
                      <w:r>
                        <w:rPr/>
                        <w:drawing>
                          <wp:inline distT="0" distB="0" distL="0" distR="0">
                            <wp:extent cx="3124200" cy="1219200"/>
                            <wp:effectExtent l="0" t="0" r="0" b="0"/>
                            <wp:docPr id="232"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99" descr=""/>
                                    <pic:cNvPicPr>
                                      <a:picLocks noChangeAspect="1" noChangeArrowheads="1"/>
                                    </pic:cNvPicPr>
                                  </pic:nvPicPr>
                                  <pic:blipFill>
                                    <a:blip r:embed="rId214"/>
                                    <a:stretch>
                                      <a:fillRect/>
                                    </a:stretch>
                                  </pic:blipFill>
                                  <pic:spPr bwMode="auto">
                                    <a:xfrm>
                                      <a:off x="0" y="0"/>
                                      <a:ext cx="3124200" cy="121920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3175000" cy="1699260"/>
                <wp:effectExtent l="0" t="0" r="0" b="0"/>
                <wp:wrapSquare wrapText="right"/>
                <wp:docPr id="233" name="Frame20"/>
                <a:graphic xmlns:a="http://schemas.openxmlformats.org/drawingml/2006/main">
                  <a:graphicData uri="http://schemas.microsoft.com/office/word/2010/wordprocessingShape">
                    <wps:wsp>
                      <wps:cNvSpPr txBox="1"/>
                      <wps:spPr>
                        <a:xfrm>
                          <a:off x="0" y="0"/>
                          <a:ext cx="3175000" cy="1699260"/>
                        </a:xfrm>
                        <a:prstGeom prst="rect"/>
                        <a:solidFill>
                          <a:srgbClr val="FFFFFF"/>
                        </a:solidFill>
                      </wps:spPr>
                      <wps:txbx>
                        <w:txbxContent>
                          <w:p>
                            <w:pPr>
                              <w:pStyle w:val="TextBody"/>
                              <w:bidi w:val="0"/>
                              <w:spacing w:before="0" w:after="0"/>
                              <w:jc w:val="left"/>
                              <w:rPr/>
                            </w:pPr>
                            <w:r>
                              <w:rPr/>
                              <w:drawing>
                                <wp:inline distT="0" distB="0" distL="0" distR="0">
                                  <wp:extent cx="3190875" cy="1524000"/>
                                  <wp:effectExtent l="0" t="0" r="0" b="0"/>
                                  <wp:docPr id="234"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00" descr=""/>
                                          <pic:cNvPicPr>
                                            <a:picLocks noChangeAspect="1" noChangeArrowheads="1"/>
                                          </pic:cNvPicPr>
                                        </pic:nvPicPr>
                                        <pic:blipFill>
                                          <a:blip r:embed="rId215"/>
                                          <a:stretch>
                                            <a:fillRect/>
                                          </a:stretch>
                                        </pic:blipFill>
                                        <pic:spPr bwMode="auto">
                                          <a:xfrm>
                                            <a:off x="0" y="0"/>
                                            <a:ext cx="3190875" cy="1524000"/>
                                          </a:xfrm>
                                          <a:prstGeom prst="rect">
                                            <a:avLst/>
                                          </a:prstGeom>
                                        </pic:spPr>
                                      </pic:pic>
                                    </a:graphicData>
                                  </a:graphic>
                                </wp:inline>
                              </w:drawing>
                            </w:r>
                          </w:p>
                          <w:p>
                            <w:pPr>
                              <w:pStyle w:val="TextBody"/>
                              <w:bidi w:val="0"/>
                              <w:spacing w:before="0" w:after="0"/>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3.8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left"/>
                        <w:rPr/>
                      </w:pPr>
                      <w:r>
                        <w:rPr/>
                        <w:drawing>
                          <wp:inline distT="0" distB="0" distL="0" distR="0">
                            <wp:extent cx="3190875" cy="1524000"/>
                            <wp:effectExtent l="0" t="0" r="0" b="0"/>
                            <wp:docPr id="235"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00" descr=""/>
                                    <pic:cNvPicPr>
                                      <a:picLocks noChangeAspect="1" noChangeArrowheads="1"/>
                                    </pic:cNvPicPr>
                                  </pic:nvPicPr>
                                  <pic:blipFill>
                                    <a:blip r:embed="rId216"/>
                                    <a:stretch>
                                      <a:fillRect/>
                                    </a:stretch>
                                  </pic:blipFill>
                                  <pic:spPr bwMode="auto">
                                    <a:xfrm>
                                      <a:off x="0" y="0"/>
                                      <a:ext cx="3190875" cy="1524000"/>
                                    </a:xfrm>
                                    <a:prstGeom prst="rect">
                                      <a:avLst/>
                                    </a:prstGeom>
                                  </pic:spPr>
                                </pic:pic>
                              </a:graphicData>
                            </a:graphic>
                          </wp:inline>
                        </w:drawing>
                      </w:r>
                    </w:p>
                    <w:p>
                      <w:pPr>
                        <w:pStyle w:val="TextBody"/>
                        <w:bidi w:val="0"/>
                        <w:spacing w:before="0" w:after="0"/>
                        <w:jc w:val="left"/>
                        <w:rPr/>
                      </w:pPr>
                      <w:r>
                        <w:rPr/>
                        <w:t> </w:t>
                      </w:r>
                    </w:p>
                  </w:txbxContent>
                </v:textbox>
                <w10:wrap type="square" side="right"/>
              </v:rect>
            </w:pict>
          </mc:Fallback>
        </mc:AlternateContent>
      </w:r>
    </w:p>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75"/>
        <w:gridCol w:w="500"/>
        <w:gridCol w:w="60"/>
        <w:gridCol w:w="60"/>
        <w:gridCol w:w="1355"/>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76 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xml:space="preserve">  </w:t>
            </w:r>
            <w:r>
              <w:rPr/>
              <w:drawing>
                <wp:inline distT="0" distB="0" distL="0" distR="0">
                  <wp:extent cx="457200" cy="219075"/>
                  <wp:effectExtent l="0" t="0" r="0" b="0"/>
                  <wp:docPr id="236"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01" descr=""/>
                          <pic:cNvPicPr>
                            <a:picLocks noChangeAspect="1" noChangeArrowheads="1"/>
                          </pic:cNvPicPr>
                        </pic:nvPicPr>
                        <pic:blipFill>
                          <a:blip r:embed="rId217"/>
                          <a:stretch>
                            <a:fillRect/>
                          </a:stretch>
                        </pic:blipFill>
                        <pic:spPr bwMode="auto">
                          <a:xfrm>
                            <a:off x="0" y="0"/>
                            <a:ext cx="457200" cy="219075"/>
                          </a:xfrm>
                          <a:prstGeom prst="rect">
                            <a:avLst/>
                          </a:prstGeom>
                        </pic:spPr>
                      </pic:pic>
                    </a:graphicData>
                  </a:graphic>
                </wp:inline>
              </w:drawing>
            </w:r>
            <w:r>
              <w:rPr/>
              <w:t>  </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sz w:val="36"/>
        </w:rPr>
      </w:pPr>
      <w:bookmarkStart w:id="100" w:name="toc37355_81"/>
      <w:bookmarkEnd w:id="100"/>
      <w:r>
        <w:rPr>
          <w:rFonts w:ascii="arial" w:hAnsi="arial"/>
          <w:b/>
          <w:sz w:val="36"/>
        </w:rPr>
        <w:t xml:space="preserve">Proposal 3 – Vote for the Amendment of the Company’s Restated Certificate of Incorporation to permit stockholder action by written consent, allow the Chairperson and majority Class B holders to call special meetings, and allow stockholders to fill Board vacancies and new directorships. </w:t>
      </w:r>
    </w:p>
    <w:p>
      <w:pPr>
        <w:pStyle w:val="TextBody"/>
        <w:bidi w:val="0"/>
        <w:spacing w:before="160" w:after="0"/>
        <w:jc w:val="left"/>
        <w:rPr>
          <w:rFonts w:ascii="arial" w:hAnsi="arial"/>
          <w:sz w:val="18"/>
        </w:rPr>
      </w:pPr>
      <w:r>
        <w:rPr>
          <w:rFonts w:ascii="arial" w:hAnsi="arial"/>
          <w:sz w:val="18"/>
        </w:rPr>
        <w:t xml:space="preserve">As a general matter, the Board believes that our Restated Certificate of Incorporation should include governance provisions that are appropriate for the Company’s current ownership profile and that provide clarity and flexibility regarding the rights of stockholders and the powers and duties of the Board, consistent with applicable Delaware law. </w:t>
      </w:r>
    </w:p>
    <w:p>
      <w:pPr>
        <w:pStyle w:val="TextBody"/>
        <w:bidi w:val="0"/>
        <w:spacing w:before="80" w:after="0"/>
        <w:jc w:val="left"/>
        <w:rPr>
          <w:rFonts w:ascii="arial" w:hAnsi="arial"/>
          <w:sz w:val="18"/>
        </w:rPr>
      </w:pPr>
      <w:r>
        <w:rPr>
          <w:rFonts w:ascii="arial" w:hAnsi="arial"/>
          <w:sz w:val="18"/>
        </w:rPr>
        <w:t xml:space="preserve">On January 30, 2026, we entered into a letter agreement with Hunt Equity Opportunities, LLC (“Hunt”) (the “Letter Agreement”) in connection with Hunt’s acquisition of a controlling voting interest in the Company. The Letter Agreement provides that, subject to the Board’s fiduciary duties under applicable law, we will include in our proxy statement for the 2026 Annual Meeting a proposal recommending that stockholders approve an amendment to the Restated Certificate of Incorporation in the form attached to the Letter Agreement (the “Charter Amendment”), which was negotiated in connection with Hunt’s acquisition of voting control. Hunt has informed the Company that it intends to vote the shares of Class B Common Stock it beneficially owns in favor of this proposal, and, as a result, approval of this proposal is expected. </w:t>
      </w:r>
    </w:p>
    <w:p>
      <w:pPr>
        <w:pStyle w:val="TextBody"/>
        <w:bidi w:val="0"/>
        <w:spacing w:before="80" w:after="0"/>
        <w:jc w:val="left"/>
        <w:rPr>
          <w:rFonts w:ascii="arial" w:hAnsi="arial"/>
          <w:sz w:val="18"/>
        </w:rPr>
      </w:pPr>
      <w:r>
        <w:rPr>
          <w:rFonts w:ascii="arial" w:hAnsi="arial"/>
          <w:sz w:val="18"/>
        </w:rPr>
        <w:t xml:space="preserve">The Board believes that the Charter Amendment is desirable because it would, among other things, (i) permit stockholder action by written consent, (ii) expand who may call special meetings of stockholders to include the Chairperson of the Board and holders of at least a majority of the voting power of the Company’s Class B Common Stock (in addition to the Board or a duly authorized committee), and (iii) permit stockholders to fill vacancies or newly created directorships in any manner permitted by Delaware law (in addition to the Board’s ability to fill vacancies). </w:t>
      </w:r>
    </w:p>
    <w:p>
      <w:pPr>
        <w:pStyle w:val="TextBody"/>
        <w:bidi w:val="0"/>
        <w:spacing w:before="80" w:after="0"/>
        <w:jc w:val="left"/>
        <w:rPr>
          <w:rFonts w:ascii="arial" w:hAnsi="arial"/>
          <w:sz w:val="18"/>
        </w:rPr>
      </w:pPr>
      <w:r>
        <w:rPr>
          <w:rFonts w:ascii="arial" w:hAnsi="arial"/>
          <w:sz w:val="18"/>
        </w:rPr>
        <w:t xml:space="preserve">The Board also considered that the Charter Amendment would retain the Company’s dual-class voting structure under which, except where voting is required by Delaware law, holders of Class A Common Stock generally do not have voting rights and holders of Class B Common Stock are entitled to one vote per share (including for actions by written consent if this proposal is approved). </w:t>
      </w:r>
    </w:p>
    <w:p>
      <w:pPr>
        <w:pStyle w:val="TextBody"/>
        <w:bidi w:val="0"/>
        <w:spacing w:before="360" w:after="0"/>
        <w:jc w:val="left"/>
        <w:rPr>
          <w:rFonts w:ascii="arial" w:hAnsi="arial"/>
          <w:i/>
          <w:sz w:val="20"/>
        </w:rPr>
      </w:pPr>
      <w:r>
        <w:rPr>
          <w:rFonts w:ascii="arial" w:hAnsi="arial"/>
          <w:i/>
          <w:sz w:val="20"/>
        </w:rPr>
        <w:t xml:space="preserve">Effects of the Charter Amendment </w:t>
      </w:r>
    </w:p>
    <w:p>
      <w:pPr>
        <w:pStyle w:val="TextBody"/>
        <w:bidi w:val="0"/>
        <w:spacing w:before="120" w:after="0"/>
        <w:jc w:val="left"/>
        <w:rPr>
          <w:rFonts w:ascii="arial" w:hAnsi="arial"/>
          <w:sz w:val="18"/>
        </w:rPr>
      </w:pPr>
      <w:r>
        <w:rPr>
          <w:rFonts w:ascii="arial" w:hAnsi="arial"/>
          <w:sz w:val="18"/>
        </w:rPr>
        <w:t xml:space="preserve">If this proposal is approved and the Charter Amendment becomes effective: </w:t>
      </w:r>
    </w:p>
    <w:p>
      <w:pPr>
        <w:pStyle w:val="TextBody"/>
        <w:bidi w:val="0"/>
        <w:spacing w:before="80" w:after="0"/>
        <w:jc w:val="left"/>
        <w:rPr>
          <w:rFonts w:ascii="arial" w:hAnsi="arial"/>
          <w:sz w:val="18"/>
        </w:rPr>
      </w:pPr>
      <w:r>
        <w:rPr>
          <w:rFonts w:ascii="arial" w:hAnsi="arial"/>
          <w:i/>
          <w:sz w:val="18"/>
        </w:rPr>
        <w:t>Stockholder action by written consent would be permitted</w:t>
      </w:r>
      <w:r>
        <w:rPr>
          <w:rFonts w:ascii="arial" w:hAnsi="arial"/>
          <w:sz w:val="18"/>
        </w:rPr>
        <w:t xml:space="preserve">. The Charter Amendment would allow any action required or permitted to be taken at an annual or special meeting of stockholders to be taken without a meeting, without prior notice and without a vote, if written consents are signed by the holders of outstanding stock having not less than the minimum number of votes that would be necessary to authorize the action at a meeting at which all shares entitled to vote were present and voted, and such consents are delivered to the Company in the manner required by the Delaware General Corporation Law. </w:t>
      </w:r>
    </w:p>
    <w:p>
      <w:pPr>
        <w:pStyle w:val="TextBody"/>
        <w:bidi w:val="0"/>
        <w:spacing w:before="80" w:after="0"/>
        <w:jc w:val="left"/>
        <w:rPr>
          <w:rFonts w:ascii="arial" w:hAnsi="arial"/>
          <w:sz w:val="18"/>
        </w:rPr>
      </w:pPr>
      <w:r>
        <w:rPr>
          <w:rFonts w:ascii="arial" w:hAnsi="arial"/>
          <w:sz w:val="18"/>
        </w:rPr>
        <w:t xml:space="preserve">The Board believes this change would provide additional flexibility in circumstances where stockholders wish to act without convening a meeting. </w:t>
      </w:r>
    </w:p>
    <w:p>
      <w:pPr>
        <w:pStyle w:val="TextBody"/>
        <w:bidi w:val="0"/>
        <w:spacing w:before="80" w:after="0"/>
        <w:jc w:val="left"/>
        <w:rPr>
          <w:rFonts w:ascii="arial" w:hAnsi="arial"/>
          <w:sz w:val="18"/>
        </w:rPr>
      </w:pPr>
      <w:r>
        <w:rPr>
          <w:rFonts w:ascii="arial" w:hAnsi="arial"/>
          <w:i/>
          <w:sz w:val="18"/>
        </w:rPr>
        <w:t>Rights to call special meetings would be expanded</w:t>
      </w:r>
      <w:r>
        <w:rPr>
          <w:rFonts w:ascii="arial" w:hAnsi="arial"/>
          <w:sz w:val="18"/>
        </w:rPr>
        <w:t xml:space="preserve">. The Charter Amendment would provide that special meetings may be called only by (i) holders of at least a majority of the voting power of the Class B Common Stock, (ii) the Board or a duly authorized committee, or (iii) the Chairperson of the Board. </w:t>
      </w:r>
    </w:p>
    <w:p>
      <w:pPr>
        <w:pStyle w:val="TextBody"/>
        <w:bidi w:val="0"/>
        <w:spacing w:before="80" w:after="0"/>
        <w:jc w:val="left"/>
        <w:rPr>
          <w:rFonts w:ascii="arial" w:hAnsi="arial"/>
          <w:sz w:val="18"/>
        </w:rPr>
      </w:pPr>
      <w:r>
        <w:rPr>
          <w:rFonts w:ascii="arial" w:hAnsi="arial"/>
          <w:sz w:val="18"/>
        </w:rPr>
        <w:t xml:space="preserve">The Board believes these changes would provide additional flexibility to convene a stockholder meeting when appropriate outside the annual meeting cycle. Because holders of a majority of the voting power of the Class B Common Stock may call special meetings, this provision may enable the controlling stockholder to cause a special meeting to be called when it determines it is appropriate. </w:t>
      </w:r>
    </w:p>
    <w:p>
      <w:pPr>
        <w:pStyle w:val="TextBody"/>
        <w:bidi w:val="0"/>
        <w:spacing w:before="80" w:after="0"/>
        <w:jc w:val="left"/>
        <w:rPr>
          <w:rFonts w:ascii="arial" w:hAnsi="arial"/>
          <w:sz w:val="18"/>
        </w:rPr>
      </w:pPr>
      <w:r>
        <w:rPr>
          <w:rFonts w:ascii="arial" w:hAnsi="arial"/>
          <w:i/>
          <w:sz w:val="18"/>
        </w:rPr>
        <w:t>Vacancies and newly created directorships could be filled by stockholders as permitted by law</w:t>
      </w:r>
      <w:r>
        <w:rPr>
          <w:rFonts w:ascii="arial" w:hAnsi="arial"/>
          <w:sz w:val="18"/>
        </w:rPr>
        <w:t xml:space="preserve">. The Charter Amendment would provide that vacancies and newly created directorships may be filled by a majority of the directors then in office (even if less than a quorum), by a sole remaining director, or by stockholders in any manner permitted by applicable law, with directors so chosen holding office until the next annual meeting and until their successors are duly elected and qualified. </w:t>
      </w:r>
    </w:p>
    <w:p>
      <w:pPr>
        <w:pStyle w:val="TextBody"/>
        <w:bidi w:val="0"/>
        <w:spacing w:before="80" w:after="0"/>
        <w:jc w:val="left"/>
        <w:rPr>
          <w:rFonts w:ascii="arial" w:hAnsi="arial"/>
          <w:sz w:val="18"/>
        </w:rPr>
      </w:pPr>
      <w:r>
        <w:rPr>
          <w:rFonts w:ascii="arial" w:hAnsi="arial"/>
          <w:sz w:val="18"/>
        </w:rPr>
        <w:t xml:space="preserve">The Board considered that this flexibility could permit stockholders with sufficient voting power to influence the timing and outcome of the process for filling vacancies or newly created directorships, subject to applicable law. </w:t>
      </w:r>
    </w:p>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237"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02" descr=""/>
                          <pic:cNvPicPr>
                            <a:picLocks noChangeAspect="1" noChangeArrowheads="1"/>
                          </pic:cNvPicPr>
                        </pic:nvPicPr>
                        <pic:blipFill>
                          <a:blip r:embed="rId218"/>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77</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Proposal 3 – Vote for the Amendment of the Company’s Restated Certificate of Incorporation to permit stockholder action by written consent, allow the Chairperson and majority Class B holders to call special meetings, and allow stockholders to fill Board vacancies and new directorships.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Board has considered the effects of the Charter Amendment, including the additional flexibility provided by permitting action by written consent and expanding rights to call special meetings, as well as the governance updates described above, and has determined that approval of the Charter Amendment is advisable and in the best interests of the Company and its stockholders. </w:t>
      </w:r>
    </w:p>
    <w:p>
      <w:pPr>
        <w:pStyle w:val="TextBody"/>
        <w:bidi w:val="0"/>
        <w:spacing w:before="80" w:after="0"/>
        <w:jc w:val="left"/>
        <w:rPr>
          <w:rFonts w:ascii="arial" w:hAnsi="arial"/>
          <w:sz w:val="18"/>
        </w:rPr>
      </w:pPr>
      <w:r>
        <w:rPr>
          <w:rFonts w:ascii="arial" w:hAnsi="arial"/>
          <w:sz w:val="18"/>
        </w:rPr>
        <w:t xml:space="preserve">The Board requests stockholders of the Company approve the following resolution: </w:t>
      </w:r>
    </w:p>
    <w:p>
      <w:pPr>
        <w:pStyle w:val="TextBody"/>
        <w:bidi w:val="0"/>
        <w:spacing w:before="80" w:after="0"/>
        <w:jc w:val="left"/>
        <w:rPr>
          <w:rFonts w:ascii="arial" w:hAnsi="arial"/>
          <w:sz w:val="18"/>
        </w:rPr>
      </w:pPr>
      <w:r>
        <w:rPr>
          <w:rFonts w:ascii="arial" w:hAnsi="arial"/>
          <w:sz w:val="18"/>
        </w:rPr>
        <w:t xml:space="preserve">RESOLVED, that the Company’s stockholders approve an amendment to the Company’s Restated Certificate of Incorporation to revise Article FOURTH as follows: </w:t>
      </w:r>
    </w:p>
    <w:p>
      <w:pPr>
        <w:pStyle w:val="TextBody"/>
        <w:bidi w:val="0"/>
        <w:spacing w:before="80" w:after="0"/>
        <w:jc w:val="left"/>
        <w:rPr/>
      </w:pPr>
      <w:r>
        <w:rPr/>
        <w:t>“</w:t>
      </w:r>
      <w:r>
        <w:rPr>
          <w:rFonts w:ascii="arial" w:hAnsi="arial"/>
          <w:sz w:val="18"/>
          <w:u w:val="single"/>
        </w:rPr>
        <w:t>Voting Rights</w:t>
      </w:r>
      <w:r>
        <w:rPr>
          <w:rFonts w:ascii="arial" w:hAnsi="arial"/>
          <w:sz w:val="18"/>
        </w:rPr>
        <w:t xml:space="preserve">. Except on matters where their vote is required by Delaware law, the holders of the Class A Common Stock shall not be entitled to vote on any matter coming before the stockholders. The holders of the Class B Common Stock shall be entitled to one vote per share held as of the applicable record date for each meeting of stockholders (and actions by consent in lieu of meetings).” </w:t>
      </w:r>
    </w:p>
    <w:p>
      <w:pPr>
        <w:pStyle w:val="TextBody"/>
        <w:bidi w:val="0"/>
        <w:spacing w:before="80" w:after="0"/>
        <w:jc w:val="left"/>
        <w:rPr>
          <w:rFonts w:ascii="arial" w:hAnsi="arial"/>
          <w:sz w:val="18"/>
        </w:rPr>
      </w:pPr>
      <w:r>
        <w:rPr>
          <w:rFonts w:ascii="arial" w:hAnsi="arial"/>
          <w:sz w:val="18"/>
        </w:rPr>
        <w:t xml:space="preserve">RESOLVED, that the Company’s stockholders approve an amendment to the Company’s Restated Certificate of Incorporation to revise Article FIFTH as follows: </w:t>
      </w:r>
    </w:p>
    <w:p>
      <w:pPr>
        <w:pStyle w:val="TextBody"/>
        <w:bidi w:val="0"/>
        <w:spacing w:before="80" w:after="0"/>
        <w:jc w:val="left"/>
        <w:rPr/>
      </w:pPr>
      <w:r>
        <w:rPr/>
        <w:t>“</w:t>
      </w:r>
      <w:r>
        <w:rPr>
          <w:rFonts w:ascii="arial" w:hAnsi="arial"/>
          <w:sz w:val="18"/>
          <w:u w:val="single"/>
        </w:rPr>
        <w:t>FIFTH</w:t>
      </w:r>
      <w:r>
        <w:rPr>
          <w:rFonts w:ascii="arial" w:hAnsi="arial"/>
          <w:sz w:val="18"/>
        </w:rPr>
        <w:t xml:space="preserve">: The business, property and affairs of this corporation shall be managed by a Board of Directors consisting of no fewer than five (5) and no more than eleven (11) members, the exact number to be determined from time to time by resolution of the Board of Directors. At each annual meeting of the stockholders of the corporation, all director nominees shall stand for election to terms expiring at the next succeeding annual meeting, with each director to hold office until his successor is duly elected and qualified, subject, however, to prior death, resignation, retirement, disqualification or removal from office. The Board of Directors may exercise all such powers of the corporation and do all such lawful acts and things as are not by statute or by the certificate of incorporation or by the bylaws of the corporation (the “Bylaws”) directed or required to be exercised or done by the stockholders. </w:t>
      </w:r>
    </w:p>
    <w:p>
      <w:pPr>
        <w:pStyle w:val="TextBody"/>
        <w:bidi w:val="0"/>
        <w:spacing w:before="80" w:after="0"/>
        <w:jc w:val="left"/>
        <w:rPr>
          <w:rFonts w:ascii="arial" w:hAnsi="arial"/>
          <w:sz w:val="18"/>
        </w:rPr>
      </w:pPr>
      <w:r>
        <w:rPr>
          <w:rFonts w:ascii="arial" w:hAnsi="arial"/>
          <w:sz w:val="18"/>
        </w:rPr>
        <w:t xml:space="preserve">Newly created directorships resulting from any increase in the authorized number of directors and vacancies in the Board of Directors from death, resignation, retirement, disqualification, removal from office or other reason, may be filled by a majority vote of the directors then in office, although less than a quorum, or by a sole remaining director, or by the stockholders in any manner permitted by applicable law, and directors so chosen shall hold office for a term expiring at the next annual meeting of the stockholders of the corporation and until their successors are duly elected and qualified, subject, however, to prior death, resignation, retirement, disqualification or removal from office. No decrease in the number of directors constituting the Board of Directors shall shorten the term of any incumbent director. </w:t>
      </w:r>
    </w:p>
    <w:p>
      <w:pPr>
        <w:pStyle w:val="TextBody"/>
        <w:bidi w:val="0"/>
        <w:spacing w:before="80" w:after="0"/>
        <w:jc w:val="left"/>
        <w:rPr>
          <w:rFonts w:ascii="arial" w:hAnsi="arial"/>
          <w:sz w:val="18"/>
        </w:rPr>
      </w:pPr>
      <w:r>
        <w:rPr>
          <w:rFonts w:ascii="arial" w:hAnsi="arial"/>
          <w:sz w:val="18"/>
        </w:rPr>
        <w:t xml:space="preserve">Any director, or the entire Board of Directors, may be removed at any time, with or without cause. The affirmative vote or consent of the holders of a majority of the voting power of all of the stock of this corporation entitled to vote in elections of directors shall be required to remove a director from office. The stockholders of the corporation are expressly prohibited from cumulating their votes in any election of directors of the corporation.” </w:t>
      </w:r>
    </w:p>
    <w:p>
      <w:pPr>
        <w:pStyle w:val="TextBody"/>
        <w:bidi w:val="0"/>
        <w:spacing w:before="80" w:after="0"/>
        <w:jc w:val="left"/>
        <w:rPr>
          <w:rFonts w:ascii="arial" w:hAnsi="arial"/>
          <w:sz w:val="18"/>
        </w:rPr>
      </w:pPr>
      <w:r>
        <w:rPr>
          <w:rFonts w:ascii="arial" w:hAnsi="arial"/>
          <w:sz w:val="18"/>
        </w:rPr>
        <w:t xml:space="preserve">RESOLVED, that the Company’s stockholders approve an amendment to the Company’s Restated Certificate of Incorporation to revise Article SEVENTH as follows: </w:t>
      </w:r>
    </w:p>
    <w:p>
      <w:pPr>
        <w:pStyle w:val="TextBody"/>
        <w:bidi w:val="0"/>
        <w:spacing w:before="80" w:after="0"/>
        <w:jc w:val="left"/>
        <w:rPr/>
      </w:pPr>
      <w:r>
        <w:rPr/>
        <w:t>“</w:t>
      </w:r>
      <w:r>
        <w:rPr>
          <w:rFonts w:ascii="arial" w:hAnsi="arial"/>
          <w:sz w:val="18"/>
          <w:u w:val="single"/>
        </w:rPr>
        <w:t>SEVENTH</w:t>
      </w:r>
      <w:r>
        <w:rPr>
          <w:rFonts w:ascii="arial" w:hAnsi="arial"/>
          <w:sz w:val="18"/>
        </w:rPr>
        <w:t xml:space="preserve">: Bylaws of the corporation may be adopted, amended, or repealed by the affirmative vote of a majority of the total number of directors or by the affirmative vote or consent of the holders of a majority of the voting power of all of the stock of this corporation entitled to vote in elections of directors. The Bylaws may contain any provision for the regulation and management of the affairs of the corporation and the rights or powers of its stockholders, directors, officers, or employees not inconsistent with the laws of the State of Delaware or this Certificate of Incorporation.” </w:t>
      </w:r>
    </w:p>
    <w:p>
      <w:pPr>
        <w:pStyle w:val="TextBody"/>
        <w:bidi w:val="0"/>
        <w:spacing w:before="80" w:after="0"/>
        <w:jc w:val="left"/>
        <w:rPr>
          <w:rFonts w:ascii="arial" w:hAnsi="arial"/>
          <w:sz w:val="18"/>
        </w:rPr>
      </w:pPr>
      <w:r>
        <w:rPr>
          <w:rFonts w:ascii="arial" w:hAnsi="arial"/>
          <w:sz w:val="18"/>
        </w:rPr>
        <w:t xml:space="preserve">RESOLVED, that the company’s stockholders approve an amendment to the Company’s Restated Certificate of Incorporation to revise Article EIGHTH as follows: </w:t>
      </w:r>
    </w:p>
    <w:p>
      <w:pPr>
        <w:pStyle w:val="TextBody"/>
        <w:bidi w:val="0"/>
        <w:spacing w:before="80" w:after="0"/>
        <w:jc w:val="left"/>
        <w:rPr/>
      </w:pPr>
      <w:r>
        <w:rPr/>
        <w:t>“</w:t>
      </w:r>
      <w:r>
        <w:rPr>
          <w:rFonts w:ascii="arial" w:hAnsi="arial"/>
          <w:sz w:val="18"/>
          <w:u w:val="single"/>
        </w:rPr>
        <w:t>EIGHTH</w:t>
      </w:r>
      <w:r>
        <w:rPr>
          <w:rFonts w:ascii="arial" w:hAnsi="arial"/>
          <w:sz w:val="18"/>
        </w:rPr>
        <w:t xml:space="preserve">: Any action required to be taken at any annual or special meeting of the stockholders of this corporation, or any action which may be taken at any annual or special meeting of the stockholders, may be taken without a meeting, without prior notice and without a vote, if a consent or consents,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this corporation in the manner required by the General Corporation Law of the State of Delaware.” </w:t>
      </w:r>
    </w:p>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78 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238"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03" descr=""/>
                          <pic:cNvPicPr>
                            <a:picLocks noChangeAspect="1" noChangeArrowheads="1"/>
                          </pic:cNvPicPr>
                        </pic:nvPicPr>
                        <pic:blipFill>
                          <a:blip r:embed="rId219"/>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Proposal 3 – Vote for the Amendment of the Company’s Restated Certificate of Incorporation to permit stockholder action by written consent, allow the Chairperson and majority Class B holders to call special meetings, and allow stockholders to fill Board vacancies and new directorships.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RESOLVED, that the company’s stockholders approve an amendment to the Company’s Restated Certificate of Incorporation to revise Article TENTH as follows: </w:t>
      </w:r>
    </w:p>
    <w:p>
      <w:pPr>
        <w:pStyle w:val="TextBody"/>
        <w:bidi w:val="0"/>
        <w:spacing w:before="80" w:after="0"/>
        <w:jc w:val="left"/>
        <w:rPr/>
      </w:pPr>
      <w:r>
        <w:rPr/>
        <w:t>“</w:t>
      </w:r>
      <w:r>
        <w:rPr>
          <w:rFonts w:ascii="arial" w:hAnsi="arial"/>
          <w:sz w:val="18"/>
          <w:u w:val="single"/>
        </w:rPr>
        <w:t>TENTH</w:t>
      </w:r>
      <w:r>
        <w:rPr>
          <w:rFonts w:ascii="arial" w:hAnsi="arial"/>
          <w:sz w:val="18"/>
        </w:rPr>
        <w:t xml:space="preserve">: Special meetings of the stockholders may be called only by (i) holders of at least a majority of the voting power of the Class B Common Stock; (ii) the Board of Directors or by a committee of the Board of Directors which has been duly designated by the Board of Directors and whose powers and authority, as provided in a resolution of the Board of Directors or in the Bylaws, include the power to call such meetings; or (iii) the chairperson of the Board of Directors.” </w:t>
      </w:r>
    </w:p>
    <w:p>
      <w:pPr>
        <w:pStyle w:val="TextBody"/>
        <w:bidi w:val="0"/>
        <w:spacing w:before="360" w:after="0"/>
        <w:jc w:val="left"/>
        <w:rPr>
          <w:rFonts w:ascii="arial" w:hAnsi="arial"/>
          <w:b/>
          <w:sz w:val="24"/>
        </w:rPr>
      </w:pPr>
      <w:r>
        <w:rPr>
          <w:rFonts w:ascii="arial" w:hAnsi="arial"/>
          <w:b/>
          <w:sz w:val="24"/>
        </w:rPr>
        <w:t xml:space="preserve">Effectiveness of the Amendment </w:t>
      </w:r>
    </w:p>
    <w:p>
      <w:pPr>
        <w:pStyle w:val="TextBody"/>
        <w:bidi w:val="0"/>
        <w:spacing w:before="120" w:after="0"/>
        <w:jc w:val="left"/>
        <w:rPr>
          <w:rFonts w:ascii="arial" w:hAnsi="arial"/>
          <w:sz w:val="18"/>
        </w:rPr>
      </w:pPr>
      <w:r>
        <w:rPr>
          <w:rFonts w:ascii="arial" w:hAnsi="arial"/>
          <w:sz w:val="18"/>
        </w:rPr>
        <w:t xml:space="preserve">Upon the approval of this proposal by our stockholders, the Company will file the Charter Amendment with the Delaware Secretary of State. Such filing is expected to occur as soon as reasonably practicable following the Annual Meeting. If this proposal is not approved by our stockholders, the Company’s Restated Certificate will not be further amended. </w:t>
      </w:r>
    </w:p>
    <w:p>
      <w:pPr>
        <w:pStyle w:val="TextBody"/>
        <w:bidi w:val="0"/>
        <w:spacing w:before="360" w:after="0"/>
        <w:jc w:val="left"/>
        <w:rPr>
          <w:rFonts w:ascii="arial" w:hAnsi="arial"/>
          <w:b/>
          <w:sz w:val="24"/>
        </w:rPr>
      </w:pPr>
      <w:r>
        <w:rPr>
          <w:rFonts w:ascii="arial" w:hAnsi="arial"/>
          <w:b/>
          <w:sz w:val="24"/>
        </w:rPr>
        <w:t xml:space="preserve">Required Vote and Board Recommendation </w:t>
      </w:r>
    </w:p>
    <w:p>
      <w:pPr>
        <w:pStyle w:val="TextBody"/>
        <w:bidi w:val="0"/>
        <w:spacing w:before="80" w:after="0"/>
        <w:jc w:val="left"/>
        <w:rPr>
          <w:rFonts w:ascii="arial" w:hAnsi="arial"/>
          <w:sz w:val="18"/>
        </w:rPr>
      </w:pPr>
      <w:r>
        <w:rPr>
          <w:rFonts w:ascii="arial" w:hAnsi="arial"/>
          <w:sz w:val="18"/>
        </w:rPr>
        <w:t xml:space="preserve">The affirmative vote of the holders of a majority of the outstanding shares of our Class B Common Stock entitled to vote on this proposal is required to approve this proposal. Because Hunt beneficially owns a majority of the voting power of the Class B Common Stock, Hunt has sufficient voting power to approve this proposal without the vote of any other stockholder. If you hold your shares in your own name and abstain from voting on this matter, your abstention will have the effect of a vote against this proposal. If you hold your shares through a bank, broker or other holder of record and you do not instruct them on how to vote on this proposal, they will not have the authority to vote your shares. Abstentions and broker non-votes will each be counted as present for purposes of determining the presence of a quorum but will have the same effect as a vote against this proposal. </w:t>
      </w:r>
    </w:p>
    <w:p>
      <w:pPr>
        <w:pStyle w:val="TextBody"/>
        <w:bidi w:val="0"/>
        <w:spacing w:before="80" w:after="0"/>
        <w:jc w:val="left"/>
        <w:rPr>
          <w:rFonts w:ascii="arial" w:hAnsi="arial"/>
          <w:sz w:val="18"/>
        </w:rPr>
      </w:pPr>
      <w:r>
        <w:rPr>
          <w:rFonts w:ascii="arial" w:hAnsi="arial"/>
          <w:sz w:val="18"/>
        </w:rPr>
        <w:t xml:space="preserve">The Board believes that the proposed amendment to our Restated Certificate is in the best interests of the Company and its stockholders for the reasons stated above. </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571500"/>
            <wp:effectExtent l="0" t="0" r="0" b="0"/>
            <wp:docPr id="239"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04" descr=""/>
                    <pic:cNvPicPr>
                      <a:picLocks noChangeAspect="1" noChangeArrowheads="1"/>
                    </pic:cNvPicPr>
                  </pic:nvPicPr>
                  <pic:blipFill>
                    <a:blip r:embed="rId220"/>
                    <a:stretch>
                      <a:fillRect/>
                    </a:stretch>
                  </pic:blipFill>
                  <pic:spPr bwMode="auto">
                    <a:xfrm>
                      <a:off x="0" y="0"/>
                      <a:ext cx="7810500" cy="571500"/>
                    </a:xfrm>
                    <a:prstGeom prst="rect">
                      <a:avLst/>
                    </a:prstGeom>
                  </pic:spPr>
                </pic:pic>
              </a:graphicData>
            </a:graphic>
          </wp:inline>
        </w:drawing>
      </w:r>
      <w:r>
        <w:rPr/>
        <w:t xml:space="preserve"> </w:t>
      </w:r>
    </w:p>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240"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05" descr=""/>
                          <pic:cNvPicPr>
                            <a:picLocks noChangeAspect="1" noChangeArrowheads="1"/>
                          </pic:cNvPicPr>
                        </pic:nvPicPr>
                        <pic:blipFill>
                          <a:blip r:embed="rId221"/>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79</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sz w:val="36"/>
        </w:rPr>
      </w:pPr>
      <w:bookmarkStart w:id="101" w:name="toc37355_82"/>
      <w:bookmarkEnd w:id="101"/>
      <w:r>
        <w:rPr>
          <w:rFonts w:ascii="arial" w:hAnsi="arial"/>
          <w:b/>
          <w:sz w:val="36"/>
        </w:rPr>
        <w:t xml:space="preserve">Proposal 4 – Ratification of the Appointment of PricewaterhouseCoopers LLP as the Company’s Independent Registered Public Accounting Firm for the 2026 Fiscal Year </w:t>
      </w:r>
    </w:p>
    <w:p>
      <w:pPr>
        <w:pStyle w:val="TextBody"/>
        <w:bidi w:val="0"/>
        <w:spacing w:before="360" w:after="0"/>
        <w:jc w:val="left"/>
        <w:rPr>
          <w:rFonts w:ascii="arial" w:hAnsi="arial"/>
          <w:sz w:val="18"/>
        </w:rPr>
      </w:pPr>
      <w:r>
        <w:rPr>
          <w:rFonts w:ascii="arial" w:hAnsi="arial"/>
          <w:sz w:val="18"/>
        </w:rPr>
        <w:t xml:space="preserve">On an annual basis, the Audit Committee approves and appoints the independent registered public accounting firm. During its February 10, 2026, meeting, PricewaterhouseCoopers LLP (“PwC”) was appointed to audit the consolidated financial statements of the Company for the year ending January 3, 2027. This firm has served as the Company’s independent registered public accounting firm since 1960 and is considered to be well-qualified. The reappointment process for the independent registered public accounting firm includes an annual assessment that takes into consideration, but is not limited to, a review of the following: </w:t>
      </w:r>
    </w:p>
    <w:p>
      <w:pPr>
        <w:pStyle w:val="TextBody"/>
        <w:bidi w:val="0"/>
        <w:spacing w:before="240" w:after="0"/>
        <w:jc w:val="left"/>
        <w:rPr>
          <w:rFonts w:ascii="arial" w:hAnsi="arial"/>
          <w:b/>
          <w:color w:val="00AE4F"/>
          <w:sz w:val="18"/>
        </w:rPr>
      </w:pPr>
      <w:r>
        <w:rPr>
          <w:rFonts w:ascii="arial" w:hAnsi="arial"/>
          <w:b/>
          <w:color w:val="00AE4F"/>
          <w:sz w:val="18"/>
        </w:rPr>
        <w:t xml:space="preserve">1. Quality of services and sufficiency of resources provided by the auditor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tbl>
      <w:tblPr>
        <w:tblW w:w="5620" w:type="dxa"/>
        <w:jc w:val="left"/>
        <w:tblInd w:w="0" w:type="dxa"/>
        <w:tblLayout w:type="fixed"/>
        <w:tblCellMar>
          <w:top w:w="0" w:type="dxa"/>
          <w:left w:w="0" w:type="dxa"/>
          <w:bottom w:w="0" w:type="dxa"/>
          <w:right w:w="0" w:type="dxa"/>
        </w:tblCellMar>
      </w:tblPr>
      <w:tblGrid>
        <w:gridCol w:w="75"/>
        <w:gridCol w:w="170"/>
        <w:gridCol w:w="60"/>
        <w:gridCol w:w="5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left"/>
              <w:rPr>
                <w:rFonts w:ascii="arial" w:hAnsi="arial"/>
                <w:sz w:val="18"/>
              </w:rPr>
            </w:pPr>
            <w:r>
              <w:rPr>
                <w:rFonts w:ascii="arial" w:hAnsi="arial"/>
                <w:sz w:val="18"/>
              </w:rPr>
              <w:t xml:space="preserve">Knowledge and skills to meet the Company’s audit requirements </w:t>
            </w:r>
          </w:p>
        </w:tc>
      </w:tr>
    </w:tbl>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75"/>
        <w:gridCol w:w="170"/>
        <w:gridCol w:w="60"/>
        <w:gridCol w:w="2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jc w:val="left"/>
              <w:rPr>
                <w:rFonts w:ascii="arial" w:hAnsi="arial"/>
                <w:sz w:val="18"/>
              </w:rPr>
            </w:pPr>
            <w:r>
              <w:rPr>
                <w:rFonts w:ascii="arial" w:hAnsi="arial"/>
                <w:sz w:val="18"/>
              </w:rPr>
              <w:t xml:space="preserve">Partner rotation (every 5 years) </w:t>
            </w:r>
          </w:p>
        </w:tc>
      </w:tr>
    </w:tbl>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75"/>
        <w:gridCol w:w="170"/>
        <w:gridCol w:w="60"/>
        <w:gridCol w:w="32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jc w:val="left"/>
              <w:rPr>
                <w:rFonts w:ascii="arial" w:hAnsi="arial"/>
                <w:sz w:val="18"/>
              </w:rPr>
            </w:pPr>
            <w:r>
              <w:rPr>
                <w:rFonts w:ascii="arial" w:hAnsi="arial"/>
                <w:sz w:val="18"/>
              </w:rPr>
              <w:t xml:space="preserve">Appropriate audit engagement partner </w:t>
            </w:r>
          </w:p>
        </w:tc>
      </w:tr>
    </w:tbl>
    <w:p>
      <w:pPr>
        <w:pStyle w:val="TextBody"/>
        <w:bidi w:val="0"/>
        <w:spacing w:before="0" w:after="0"/>
        <w:jc w:val="left"/>
        <w:rPr/>
      </w:pPr>
      <w:r>
        <w:rPr/>
        <w:t> </w:t>
      </w:r>
    </w:p>
    <w:tbl>
      <w:tblPr>
        <w:tblW w:w="2875" w:type="dxa"/>
        <w:jc w:val="left"/>
        <w:tblInd w:w="0" w:type="dxa"/>
        <w:tblLayout w:type="fixed"/>
        <w:tblCellMar>
          <w:top w:w="0" w:type="dxa"/>
          <w:left w:w="0" w:type="dxa"/>
          <w:bottom w:w="0" w:type="dxa"/>
          <w:right w:w="0" w:type="dxa"/>
        </w:tblCellMar>
      </w:tblPr>
      <w:tblGrid>
        <w:gridCol w:w="75"/>
        <w:gridCol w:w="170"/>
        <w:gridCol w:w="60"/>
        <w:gridCol w:w="25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jc w:val="left"/>
              <w:rPr>
                <w:rFonts w:ascii="arial" w:hAnsi="arial"/>
                <w:sz w:val="18"/>
              </w:rPr>
            </w:pPr>
            <w:r>
              <w:rPr>
                <w:rFonts w:ascii="arial" w:hAnsi="arial"/>
                <w:sz w:val="18"/>
              </w:rPr>
              <w:t xml:space="preserve">Engagement letter compliance </w:t>
            </w:r>
          </w:p>
        </w:tc>
      </w:tr>
    </w:tbl>
    <w:p>
      <w:pPr>
        <w:pStyle w:val="TextBody"/>
        <w:bidi w:val="0"/>
        <w:spacing w:before="0" w:after="0"/>
        <w:jc w:val="left"/>
        <w:rPr/>
      </w:pPr>
      <w:r>
        <w:rPr/>
        <w:t> </w:t>
      </w:r>
    </w:p>
    <w:tbl>
      <w:tblPr>
        <w:tblW w:w="1990" w:type="dxa"/>
        <w:jc w:val="left"/>
        <w:tblInd w:w="0" w:type="dxa"/>
        <w:tblLayout w:type="fixed"/>
        <w:tblCellMar>
          <w:top w:w="0" w:type="dxa"/>
          <w:left w:w="0" w:type="dxa"/>
          <w:bottom w:w="0" w:type="dxa"/>
          <w:right w:w="0" w:type="dxa"/>
        </w:tblCellMar>
      </w:tblPr>
      <w:tblGrid>
        <w:gridCol w:w="75"/>
        <w:gridCol w:w="170"/>
        <w:gridCol w:w="60"/>
        <w:gridCol w:w="1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0"/>
              <w:jc w:val="left"/>
              <w:rPr>
                <w:rFonts w:ascii="arial" w:hAnsi="arial"/>
                <w:sz w:val="18"/>
              </w:rPr>
            </w:pPr>
            <w:r>
              <w:rPr>
                <w:rFonts w:ascii="arial" w:hAnsi="arial"/>
                <w:sz w:val="18"/>
              </w:rPr>
              <w:t xml:space="preserve">Industry experience </w:t>
            </w:r>
          </w:p>
        </w:tc>
      </w:tr>
    </w:tbl>
    <w:p>
      <w:pPr>
        <w:pStyle w:val="TextBody"/>
        <w:bidi w:val="0"/>
        <w:spacing w:before="0" w:after="0"/>
        <w:jc w:val="left"/>
        <w:rPr/>
      </w:pPr>
      <w:r>
        <w:rPr/>
        <w:t> </w:t>
      </w:r>
    </w:p>
    <w:tbl>
      <w:tblPr>
        <w:tblW w:w="2320" w:type="dxa"/>
        <w:jc w:val="left"/>
        <w:tblInd w:w="0" w:type="dxa"/>
        <w:tblLayout w:type="fixed"/>
        <w:tblCellMar>
          <w:top w:w="0" w:type="dxa"/>
          <w:left w:w="0" w:type="dxa"/>
          <w:bottom w:w="0" w:type="dxa"/>
          <w:right w:w="0" w:type="dxa"/>
        </w:tblCellMar>
      </w:tblPr>
      <w:tblGrid>
        <w:gridCol w:w="75"/>
        <w:gridCol w:w="170"/>
        <w:gridCol w:w="60"/>
        <w:gridCol w:w="2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left"/>
              <w:rPr>
                <w:rFonts w:ascii="arial" w:hAnsi="arial"/>
                <w:sz w:val="18"/>
              </w:rPr>
            </w:pPr>
            <w:r>
              <w:rPr>
                <w:rFonts w:ascii="arial" w:hAnsi="arial"/>
                <w:sz w:val="18"/>
              </w:rPr>
              <w:t xml:space="preserve">Results of consultations </w:t>
            </w:r>
          </w:p>
        </w:tc>
      </w:tr>
    </w:tbl>
    <w:p>
      <w:pPr>
        <w:pStyle w:val="TextBody"/>
        <w:bidi w:val="0"/>
        <w:spacing w:before="0" w:after="0"/>
        <w:jc w:val="left"/>
        <w:rPr/>
      </w:pPr>
      <w:r>
        <w:rPr/>
        <w:t> </w:t>
      </w:r>
    </w:p>
    <w:tbl>
      <w:tblPr>
        <w:tblW w:w="3400" w:type="dxa"/>
        <w:jc w:val="left"/>
        <w:tblInd w:w="0" w:type="dxa"/>
        <w:tblLayout w:type="fixed"/>
        <w:tblCellMar>
          <w:top w:w="0" w:type="dxa"/>
          <w:left w:w="0" w:type="dxa"/>
          <w:bottom w:w="0" w:type="dxa"/>
          <w:right w:w="0" w:type="dxa"/>
        </w:tblCellMar>
      </w:tblPr>
      <w:tblGrid>
        <w:gridCol w:w="75"/>
        <w:gridCol w:w="170"/>
        <w:gridCol w:w="60"/>
        <w:gridCol w:w="30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jc w:val="left"/>
              <w:rPr>
                <w:rFonts w:ascii="arial" w:hAnsi="arial"/>
                <w:sz w:val="18"/>
              </w:rPr>
            </w:pPr>
            <w:r>
              <w:rPr>
                <w:rFonts w:ascii="arial" w:hAnsi="arial"/>
                <w:sz w:val="18"/>
              </w:rPr>
              <w:t xml:space="preserve">Audit cost (fee negotiations included)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70"/>
        <w:gridCol w:w="60"/>
        <w:gridCol w:w="55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0"/>
              <w:jc w:val="left"/>
              <w:rPr>
                <w:rFonts w:ascii="arial" w:hAnsi="arial"/>
                <w:sz w:val="18"/>
              </w:rPr>
            </w:pPr>
            <w:r>
              <w:rPr>
                <w:rFonts w:ascii="arial" w:hAnsi="arial"/>
                <w:sz w:val="18"/>
              </w:rPr>
              <w:t xml:space="preserve">Long tenure and familiarity with the Company’s accounting policies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7F7F7F"/>
        </w:rPr>
      </w:pPr>
      <w:r>
        <w:rPr>
          <w:bdr w:val="single" w:sz="2" w:space="1" w:color="7F7F7F"/>
        </w:rPr>
        <w:t> </w:t>
      </w:r>
    </w:p>
    <w:p>
      <w:pPr>
        <w:pStyle w:val="TextBody"/>
        <w:bidi w:val="0"/>
        <w:spacing w:before="240" w:after="0"/>
        <w:jc w:val="left"/>
        <w:rPr>
          <w:rFonts w:ascii="arial" w:hAnsi="arial"/>
          <w:b/>
          <w:color w:val="00AE4F"/>
          <w:sz w:val="18"/>
        </w:rPr>
      </w:pPr>
      <w:r>
        <w:rPr>
          <w:rFonts w:ascii="arial" w:hAnsi="arial"/>
          <w:b/>
          <w:color w:val="00AE4F"/>
          <w:sz w:val="18"/>
        </w:rPr>
        <w:t xml:space="preserve">2. Communication and interaction during the engagements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tbl>
      <w:tblPr>
        <w:tblW w:w="2785" w:type="dxa"/>
        <w:jc w:val="left"/>
        <w:tblInd w:w="0" w:type="dxa"/>
        <w:tblLayout w:type="fixed"/>
        <w:tblCellMar>
          <w:top w:w="0" w:type="dxa"/>
          <w:left w:w="0" w:type="dxa"/>
          <w:bottom w:w="0" w:type="dxa"/>
          <w:right w:w="0" w:type="dxa"/>
        </w:tblCellMar>
      </w:tblPr>
      <w:tblGrid>
        <w:gridCol w:w="75"/>
        <w:gridCol w:w="170"/>
        <w:gridCol w:w="60"/>
        <w:gridCol w:w="2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0"/>
              <w:jc w:val="left"/>
              <w:rPr>
                <w:rFonts w:ascii="arial" w:hAnsi="arial"/>
                <w:sz w:val="18"/>
              </w:rPr>
            </w:pPr>
            <w:r>
              <w:rPr>
                <w:rFonts w:ascii="arial" w:hAnsi="arial"/>
                <w:sz w:val="18"/>
              </w:rPr>
              <w:t xml:space="preserve">Professional and open dialog </w:t>
            </w:r>
          </w:p>
        </w:tc>
      </w:tr>
    </w:tbl>
    <w:p>
      <w:pPr>
        <w:pStyle w:val="TextBody"/>
        <w:bidi w:val="0"/>
        <w:spacing w:before="0" w:after="0"/>
        <w:jc w:val="left"/>
        <w:rPr/>
      </w:pPr>
      <w:r>
        <w:rPr/>
        <w:t> </w:t>
      </w:r>
    </w:p>
    <w:tbl>
      <w:tblPr>
        <w:tblW w:w="1390" w:type="dxa"/>
        <w:jc w:val="left"/>
        <w:tblInd w:w="0" w:type="dxa"/>
        <w:tblLayout w:type="fixed"/>
        <w:tblCellMar>
          <w:top w:w="0" w:type="dxa"/>
          <w:left w:w="0" w:type="dxa"/>
          <w:bottom w:w="0" w:type="dxa"/>
          <w:right w:w="0" w:type="dxa"/>
        </w:tblCellMar>
      </w:tblPr>
      <w:tblGrid>
        <w:gridCol w:w="75"/>
        <w:gridCol w:w="170"/>
        <w:gridCol w:w="60"/>
        <w:gridCol w:w="10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left"/>
              <w:rPr>
                <w:rFonts w:ascii="arial" w:hAnsi="arial"/>
                <w:sz w:val="18"/>
              </w:rPr>
            </w:pPr>
            <w:r>
              <w:rPr>
                <w:rFonts w:ascii="arial" w:hAnsi="arial"/>
                <w:sz w:val="18"/>
              </w:rPr>
              <w:t xml:space="preserve">Accessibility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75"/>
        <w:gridCol w:w="170"/>
        <w:gridCol w:w="60"/>
        <w:gridCol w:w="40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left"/>
              <w:rPr>
                <w:rFonts w:ascii="arial" w:hAnsi="arial"/>
                <w:sz w:val="18"/>
              </w:rPr>
            </w:pPr>
            <w:r>
              <w:rPr>
                <w:rFonts w:ascii="arial" w:hAnsi="arial"/>
                <w:sz w:val="18"/>
              </w:rPr>
              <w:t xml:space="preserve">Current accounting developments conversations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7F7F7F"/>
        </w:rPr>
      </w:pPr>
      <w:r>
        <w:rPr>
          <w:bdr w:val="single" w:sz="2" w:space="1" w:color="7F7F7F"/>
        </w:rPr>
        <w:t> </w:t>
      </w:r>
    </w:p>
    <w:p>
      <w:pPr>
        <w:pStyle w:val="TextBody"/>
        <w:bidi w:val="0"/>
        <w:spacing w:before="240" w:after="0"/>
        <w:jc w:val="left"/>
        <w:rPr>
          <w:rFonts w:ascii="arial" w:hAnsi="arial"/>
          <w:b/>
          <w:color w:val="00AE4F"/>
          <w:sz w:val="18"/>
        </w:rPr>
      </w:pPr>
      <w:r>
        <w:rPr>
          <w:rFonts w:ascii="arial" w:hAnsi="arial"/>
          <w:b/>
          <w:color w:val="00AE4F"/>
          <w:sz w:val="18"/>
        </w:rPr>
        <w:t xml:space="preserve">3. Independence, objectivity, and professional skepticism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tbl>
      <w:tblPr>
        <w:tblW w:w="2815" w:type="dxa"/>
        <w:jc w:val="left"/>
        <w:tblInd w:w="0" w:type="dxa"/>
        <w:tblLayout w:type="fixed"/>
        <w:tblCellMar>
          <w:top w:w="0" w:type="dxa"/>
          <w:left w:w="0" w:type="dxa"/>
          <w:bottom w:w="0" w:type="dxa"/>
          <w:right w:w="0" w:type="dxa"/>
        </w:tblCellMar>
      </w:tblPr>
      <w:tblGrid>
        <w:gridCol w:w="75"/>
        <w:gridCol w:w="170"/>
        <w:gridCol w:w="60"/>
        <w:gridCol w:w="2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jc w:val="left"/>
              <w:rPr>
                <w:rFonts w:ascii="arial" w:hAnsi="arial"/>
                <w:sz w:val="18"/>
              </w:rPr>
            </w:pPr>
            <w:r>
              <w:rPr>
                <w:rFonts w:ascii="arial" w:hAnsi="arial"/>
                <w:sz w:val="18"/>
              </w:rPr>
              <w:t xml:space="preserve">Assessment of audit evidence </w:t>
            </w:r>
          </w:p>
        </w:tc>
      </w:tr>
    </w:tbl>
    <w:p>
      <w:pPr>
        <w:pStyle w:val="TextBody"/>
        <w:bidi w:val="0"/>
        <w:spacing w:before="0" w:after="0"/>
        <w:jc w:val="left"/>
        <w:rPr/>
      </w:pPr>
      <w:r>
        <w:rPr/>
        <w:t> </w:t>
      </w:r>
    </w:p>
    <w:tbl>
      <w:tblPr>
        <w:tblW w:w="2170" w:type="dxa"/>
        <w:jc w:val="left"/>
        <w:tblInd w:w="0" w:type="dxa"/>
        <w:tblLayout w:type="fixed"/>
        <w:tblCellMar>
          <w:top w:w="0" w:type="dxa"/>
          <w:left w:w="0" w:type="dxa"/>
          <w:bottom w:w="0" w:type="dxa"/>
          <w:right w:w="0" w:type="dxa"/>
        </w:tblCellMar>
      </w:tblPr>
      <w:tblGrid>
        <w:gridCol w:w="75"/>
        <w:gridCol w:w="170"/>
        <w:gridCol w:w="60"/>
        <w:gridCol w:w="1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AE4F"/>
              </w:rPr>
            </w:pPr>
            <w:r>
              <w:rPr>
                <w:color w:val="00AE4F"/>
              </w:rPr>
              <w:t>●</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0"/>
              <w:jc w:val="left"/>
              <w:rPr>
                <w:rFonts w:ascii="arial" w:hAnsi="arial"/>
                <w:sz w:val="18"/>
              </w:rPr>
            </w:pPr>
            <w:r>
              <w:rPr>
                <w:rFonts w:ascii="arial" w:hAnsi="arial"/>
                <w:sz w:val="18"/>
              </w:rPr>
              <w:t xml:space="preserve">Internal Audit reliance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7F7F7F"/>
        </w:rPr>
      </w:pPr>
      <w:r>
        <w:rPr>
          <w:bdr w:val="single" w:sz="2" w:space="1" w:color="7F7F7F"/>
        </w:rPr>
        <w:t> </w:t>
      </w:r>
    </w:p>
    <w:p>
      <w:pPr>
        <w:pStyle w:val="TextBody"/>
        <w:bidi w:val="0"/>
        <w:spacing w:before="240" w:after="0"/>
        <w:jc w:val="left"/>
        <w:rPr>
          <w:rFonts w:ascii="arial" w:hAnsi="arial"/>
          <w:sz w:val="18"/>
        </w:rPr>
      </w:pPr>
      <w:r>
        <w:rPr>
          <w:rFonts w:ascii="arial" w:hAnsi="arial"/>
          <w:sz w:val="18"/>
        </w:rPr>
        <w:t xml:space="preserve">The Board of Directors seeks ratification of the appointment of PwC. The representatives of the firm are expected to be present at the Annual Meeting and will be available to respond to all appropriate questions. </w:t>
      </w:r>
    </w:p>
    <w:p>
      <w:pPr>
        <w:pStyle w:val="TextBody"/>
        <w:bidi w:val="0"/>
        <w:spacing w:before="360" w:after="0"/>
        <w:jc w:val="left"/>
        <w:rPr>
          <w:rFonts w:ascii="arial" w:hAnsi="arial"/>
          <w:b/>
          <w:sz w:val="24"/>
        </w:rPr>
      </w:pPr>
      <w:bookmarkStart w:id="102" w:name="toc37355_83"/>
      <w:bookmarkEnd w:id="102"/>
      <w:r>
        <w:rPr>
          <w:rFonts w:ascii="arial" w:hAnsi="arial"/>
          <w:b/>
          <w:sz w:val="24"/>
        </w:rPr>
        <w:t xml:space="preserve">Audit and Non-Audit Fees </w:t>
      </w:r>
    </w:p>
    <w:p>
      <w:pPr>
        <w:pStyle w:val="TextBody"/>
        <w:bidi w:val="0"/>
        <w:spacing w:before="80" w:after="0"/>
        <w:jc w:val="left"/>
        <w:rPr>
          <w:rFonts w:ascii="arial" w:hAnsi="arial"/>
          <w:sz w:val="18"/>
        </w:rPr>
      </w:pPr>
      <w:r>
        <w:rPr>
          <w:rFonts w:ascii="arial" w:hAnsi="arial"/>
          <w:sz w:val="18"/>
        </w:rPr>
        <w:t xml:space="preserve">The Audit Committee is responsible for the compensation (including negotiations) of the independent registered public accounting firm and requires pre-approval of all audit and non-audit services prior to engagement by the Company. In conjunction with the pre-approval, the Committee considers whether non-audit services are consistent with the rules and regulations of the SEC on auditor independence. The authority of the Audit Committee is detailed in its charter, which is posted on the Company’s website at </w:t>
      </w:r>
      <w:r>
        <w:rPr>
          <w:rFonts w:ascii="arial" w:hAnsi="arial"/>
          <w:i/>
          <w:sz w:val="18"/>
        </w:rPr>
        <w:t>kellyservices.com</w:t>
      </w:r>
      <w:r>
        <w:rPr>
          <w:rFonts w:ascii="arial" w:hAnsi="arial"/>
          <w:sz w:val="18"/>
        </w:rPr>
        <w:t xml:space="preserve">. </w:t>
      </w:r>
    </w:p>
    <w:p>
      <w:pPr>
        <w:pStyle w:val="TextBody"/>
        <w:bidi w:val="0"/>
        <w:spacing w:before="80" w:after="0"/>
        <w:jc w:val="left"/>
        <w:rPr>
          <w:rFonts w:ascii="arial" w:hAnsi="arial"/>
          <w:sz w:val="18"/>
        </w:rPr>
      </w:pPr>
      <w:r>
        <w:rPr>
          <w:rFonts w:ascii="arial" w:hAnsi="arial"/>
          <w:sz w:val="18"/>
        </w:rPr>
        <w:t xml:space="preserve">The table below displays the fees incurred from the audit and non-audit services provided by PwC. </w:t>
      </w:r>
    </w:p>
    <w:p>
      <w:pPr>
        <w:pStyle w:val="TextBody"/>
        <w:bidi w:val="0"/>
        <w:spacing w:before="0" w:after="0"/>
        <w:jc w:val="left"/>
        <w:rPr/>
      </w:pPr>
      <w:r>
        <w:rPr/>
        <w:t> </w:t>
      </w:r>
    </w:p>
    <w:tbl>
      <w:tblPr>
        <w:tblW w:w="3870" w:type="dxa"/>
        <w:jc w:val="left"/>
        <w:tblInd w:w="0" w:type="dxa"/>
        <w:tblLayout w:type="fixed"/>
        <w:tblCellMar>
          <w:top w:w="0" w:type="dxa"/>
          <w:left w:w="0" w:type="dxa"/>
          <w:bottom w:w="0" w:type="dxa"/>
          <w:right w:w="0" w:type="dxa"/>
        </w:tblCellMar>
      </w:tblPr>
      <w:tblGrid>
        <w:gridCol w:w="1415"/>
        <w:gridCol w:w="120"/>
        <w:gridCol w:w="60"/>
        <w:gridCol w:w="980"/>
        <w:gridCol w:w="60"/>
        <w:gridCol w:w="120"/>
        <w:gridCol w:w="60"/>
        <w:gridCol w:w="980"/>
        <w:gridCol w:w="75"/>
      </w:tblGrid>
      <w:tr>
        <w:trPr/>
        <w:tc>
          <w:tcPr>
            <w:tcW w:w="1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2024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40" w:type="dxa"/>
            </w:tcMar>
            <w:vAlign w:val="center"/>
          </w:tcPr>
          <w:p>
            <w:pPr>
              <w:pStyle w:val="TableContents"/>
              <w:bidi w:val="0"/>
              <w:spacing w:before="0" w:after="283"/>
              <w:jc w:val="center"/>
              <w:rPr>
                <w:b/>
                <w:color w:val="00AE4F"/>
              </w:rPr>
            </w:pPr>
            <w:r>
              <w:rPr>
                <w:b/>
                <w:color w:val="00AE4F"/>
              </w:rPr>
              <w:t>2025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Audit Fees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right"/>
              <w:rPr/>
            </w:pPr>
            <w:r>
              <w:rPr/>
              <w:t>4,345,195</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right"/>
              <w:rPr/>
            </w:pPr>
            <w:r>
              <w:rPr/>
              <w:t>4,105,447</w:t>
            </w:r>
          </w:p>
        </w:tc>
        <w:tc>
          <w:tcPr>
            <w:tcW w:w="75" w:type="dxa"/>
            <w:tcBorders>
              <w:bottom w:val="single" w:sz="6" w:space="0" w:color="7F7F7F"/>
            </w:tcBorders>
            <w:tcMar>
              <w:bottom w:w="80" w:type="dxa"/>
            </w:tcMar>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Audit Related Fees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right"/>
              <w:rPr/>
            </w:pPr>
            <w:r>
              <w:rPr/>
              <w:t>0</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right"/>
              <w:rPr/>
            </w:pPr>
            <w:r>
              <w:rPr/>
              <w:t>140,000</w:t>
            </w:r>
          </w:p>
        </w:tc>
        <w:tc>
          <w:tcPr>
            <w:tcW w:w="75" w:type="dxa"/>
            <w:tcBorders>
              <w:bottom w:val="single" w:sz="6" w:space="0" w:color="7F7F7F"/>
            </w:tcBorders>
            <w:tcMar>
              <w:bottom w:w="80" w:type="dxa"/>
            </w:tcMar>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Tax Fees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right"/>
              <w:rPr/>
            </w:pPr>
            <w:r>
              <w:rPr/>
              <w:t>0</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right"/>
              <w:rPr/>
            </w:pPr>
            <w:r>
              <w:rPr/>
              <w:t>0</w:t>
            </w:r>
          </w:p>
        </w:tc>
        <w:tc>
          <w:tcPr>
            <w:tcW w:w="75" w:type="dxa"/>
            <w:tcBorders>
              <w:bottom w:val="single" w:sz="6" w:space="0" w:color="7F7F7F"/>
            </w:tcBorders>
            <w:tcMar>
              <w:bottom w:w="80" w:type="dxa"/>
            </w:tcMar>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bottom w:val="single" w:sz="6" w:space="0" w:color="7F7F7F"/>
            </w:tcBorders>
            <w:tcMar>
              <w:bottom w:w="80" w:type="dxa"/>
            </w:tcMar>
            <w:vAlign w:val="center"/>
          </w:tcPr>
          <w:p>
            <w:pPr>
              <w:pStyle w:val="TableContents"/>
              <w:bidi w:val="0"/>
              <w:spacing w:before="0" w:after="0"/>
              <w:jc w:val="left"/>
              <w:rPr>
                <w:rFonts w:ascii="arial" w:hAnsi="arial"/>
                <w:sz w:val="16"/>
              </w:rPr>
            </w:pPr>
            <w:r>
              <w:rPr>
                <w:rFonts w:ascii="arial" w:hAnsi="arial"/>
                <w:sz w:val="16"/>
              </w:rPr>
              <w:t>All Other Fees</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right"/>
              <w:rPr/>
            </w:pPr>
            <w:r>
              <w:rPr/>
              <w:t>13,950</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right"/>
              <w:rPr/>
            </w:pPr>
            <w:r>
              <w:rPr/>
              <w:t>2,000</w:t>
            </w:r>
          </w:p>
        </w:tc>
        <w:tc>
          <w:tcPr>
            <w:tcW w:w="75" w:type="dxa"/>
            <w:tcBorders>
              <w:bottom w:val="single" w:sz="6" w:space="0" w:color="7F7F7F"/>
            </w:tcBorders>
            <w:tcMar>
              <w:bottom w:w="80" w:type="dxa"/>
            </w:tcMar>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bottom w:val="single" w:sz="6" w:space="0" w:color="7F7F7F"/>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Total</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right"/>
              <w:rPr>
                <w:b/>
              </w:rPr>
            </w:pPr>
            <w:r>
              <w:rPr>
                <w:b/>
              </w:rPr>
              <w:t>4,359,145</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12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bottom w:val="single" w:sz="6" w:space="0" w:color="7F7F7F"/>
            </w:tcBorders>
            <w:tcMar>
              <w:bottom w:w="80" w:type="dxa"/>
            </w:tcMar>
            <w:vAlign w:val="center"/>
          </w:tcPr>
          <w:p>
            <w:pPr>
              <w:pStyle w:val="TableContents"/>
              <w:bidi w:val="0"/>
              <w:spacing w:before="0" w:after="283"/>
              <w:jc w:val="left"/>
              <w:rPr/>
            </w:pPr>
            <w:r>
              <w:rPr/>
              <w:t> </w:t>
            </w:r>
          </w:p>
        </w:tc>
        <w:tc>
          <w:tcPr>
            <w:tcW w:w="980" w:type="dxa"/>
            <w:tcBorders>
              <w:bottom w:val="single" w:sz="6" w:space="0" w:color="7F7F7F"/>
            </w:tcBorders>
            <w:tcMar>
              <w:bottom w:w="80" w:type="dxa"/>
            </w:tcMar>
            <w:vAlign w:val="center"/>
          </w:tcPr>
          <w:p>
            <w:pPr>
              <w:pStyle w:val="TableContents"/>
              <w:bidi w:val="0"/>
              <w:spacing w:before="0" w:after="283"/>
              <w:jc w:val="right"/>
              <w:rPr>
                <w:b/>
              </w:rPr>
            </w:pPr>
            <w:r>
              <w:rPr>
                <w:b/>
              </w:rPr>
              <w:t>4,247,447</w:t>
            </w:r>
          </w:p>
        </w:tc>
        <w:tc>
          <w:tcPr>
            <w:tcW w:w="75" w:type="dxa"/>
            <w:tcBorders>
              <w:bottom w:val="single" w:sz="6" w:space="0" w:color="7F7F7F"/>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80 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241"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06" descr=""/>
                          <pic:cNvPicPr>
                            <a:picLocks noChangeAspect="1" noChangeArrowheads="1"/>
                          </pic:cNvPicPr>
                        </pic:nvPicPr>
                        <pic:blipFill>
                          <a:blip r:embed="rId222"/>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Proposal 4 – Ratification of the Appointment of PricewaterhouseCoopers LLP as the Company’s Independent Registered Public Accounting Firm for the 2026 Fiscal Year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i/>
          <w:sz w:val="18"/>
        </w:rPr>
        <w:t>Audit Fees:</w:t>
      </w:r>
      <w:r>
        <w:rPr>
          <w:rFonts w:ascii="arial" w:hAnsi="arial"/>
          <w:sz w:val="18"/>
        </w:rPr>
        <w:t xml:space="preserve"> Audits and quarterly reviews of our consolidated financial statements, statutory audits, and assistance with review of documents filed with the SEC. </w:t>
      </w:r>
    </w:p>
    <w:p>
      <w:pPr>
        <w:pStyle w:val="TextBody"/>
        <w:bidi w:val="0"/>
        <w:spacing w:before="80" w:after="0"/>
        <w:jc w:val="left"/>
        <w:rPr>
          <w:rFonts w:ascii="arial" w:hAnsi="arial"/>
          <w:sz w:val="18"/>
        </w:rPr>
      </w:pPr>
      <w:r>
        <w:rPr>
          <w:rFonts w:ascii="arial" w:hAnsi="arial"/>
          <w:i/>
          <w:sz w:val="18"/>
        </w:rPr>
        <w:t>Audit Related Fees:</w:t>
      </w:r>
      <w:r>
        <w:rPr>
          <w:rFonts w:ascii="arial" w:hAnsi="arial"/>
          <w:sz w:val="18"/>
        </w:rPr>
        <w:t xml:space="preserve"> Services associated with system pre-implementation review. </w:t>
      </w:r>
    </w:p>
    <w:p>
      <w:pPr>
        <w:pStyle w:val="TextBody"/>
        <w:bidi w:val="0"/>
        <w:spacing w:before="80" w:after="0"/>
        <w:jc w:val="left"/>
        <w:rPr>
          <w:rFonts w:ascii="arial" w:hAnsi="arial"/>
          <w:sz w:val="18"/>
        </w:rPr>
      </w:pPr>
      <w:r>
        <w:rPr>
          <w:rFonts w:ascii="arial" w:hAnsi="arial"/>
          <w:i/>
          <w:sz w:val="18"/>
        </w:rPr>
        <w:t>All Other Fees:</w:t>
      </w:r>
      <w:r>
        <w:rPr>
          <w:rFonts w:ascii="arial" w:hAnsi="arial"/>
          <w:sz w:val="18"/>
        </w:rPr>
        <w:t xml:space="preserve"> Accounting research tools and controls assessments. </w:t>
      </w:r>
    </w:p>
    <w:p>
      <w:pPr>
        <w:pStyle w:val="TextBody"/>
        <w:bidi w:val="0"/>
        <w:spacing w:before="360" w:after="0"/>
        <w:jc w:val="left"/>
        <w:rPr>
          <w:rFonts w:ascii="arial" w:hAnsi="arial"/>
          <w:b/>
          <w:sz w:val="24"/>
        </w:rPr>
      </w:pPr>
      <w:bookmarkStart w:id="103" w:name="toc37355_84"/>
      <w:bookmarkEnd w:id="103"/>
      <w:r>
        <w:rPr>
          <w:rFonts w:ascii="arial" w:hAnsi="arial"/>
          <w:b/>
          <w:sz w:val="24"/>
        </w:rPr>
        <w:t xml:space="preserve">Report of the Audit Committee </w:t>
      </w:r>
    </w:p>
    <w:p>
      <w:pPr>
        <w:pStyle w:val="TextBody"/>
        <w:bidi w:val="0"/>
        <w:spacing w:before="80" w:after="0"/>
        <w:jc w:val="left"/>
        <w:rPr>
          <w:rFonts w:ascii="arial" w:hAnsi="arial"/>
          <w:sz w:val="18"/>
        </w:rPr>
      </w:pPr>
      <w:r>
        <w:rPr>
          <w:rFonts w:ascii="arial" w:hAnsi="arial"/>
          <w:sz w:val="18"/>
        </w:rPr>
        <w:t xml:space="preserve">Management is responsible for the preparation, presentation, and integrity of Kelly’s financial statements, for its accounting and financial reporting principles, and for the establishment and effectiveness of internal controls and procedures designed to ensure compliance with generally accepted accounting principles and applicable laws and regulations. The independent registered public accounting firm is responsible for performing an independent audit of Kelly’s financial statements and of its internal control over financial reporting in accordance with the standards of the Public Company Accounting Oversight Board (the “PCAOB”) and expressing an opinion as to the conformity of Kelly’s financial statements with generally accepted accounting principles and the effectiveness of its internal control over financial reporting. The independent registered public accounting firm has free access to the Committee to discuss any matters it deems appropriate. </w:t>
      </w:r>
    </w:p>
    <w:p>
      <w:pPr>
        <w:pStyle w:val="TextBody"/>
        <w:bidi w:val="0"/>
        <w:spacing w:before="80" w:after="0"/>
        <w:jc w:val="left"/>
        <w:rPr>
          <w:rFonts w:ascii="arial" w:hAnsi="arial"/>
          <w:sz w:val="18"/>
        </w:rPr>
      </w:pPr>
      <w:r>
        <w:rPr>
          <w:rFonts w:ascii="arial" w:hAnsi="arial"/>
          <w:sz w:val="18"/>
        </w:rPr>
        <w:t xml:space="preserve">In performing its oversight role, the Committee considered and discussed the audited financial statements of Kelly for the fiscal year ended December 28, 2025, with each of management and PwC, the independent registered public accounting firm. The Committee also discussed with PwC the matters required to be discussed by applicable requirements of the PCAOB and the SEC. The Committee received from PwC the written disclosures and letter regarding PwC’s independence required by the PCAOB and has discussed with PwC its independence. </w:t>
      </w:r>
    </w:p>
    <w:p>
      <w:pPr>
        <w:pStyle w:val="TextBody"/>
        <w:bidi w:val="0"/>
        <w:spacing w:before="80" w:after="0"/>
        <w:jc w:val="left"/>
        <w:rPr>
          <w:rFonts w:ascii="arial" w:hAnsi="arial"/>
          <w:sz w:val="18"/>
        </w:rPr>
      </w:pPr>
      <w:r>
        <w:rPr>
          <w:rFonts w:ascii="arial" w:hAnsi="arial"/>
          <w:sz w:val="18"/>
        </w:rPr>
        <w:t xml:space="preserve">Based on the reports and discussions described in this Report, the Committee recommended to the Board that the audited financial statements of Kelly for 2025 be included in the 2025 Annual Report on Form 10-K. </w:t>
      </w:r>
    </w:p>
    <w:p>
      <w:pPr>
        <w:pStyle w:val="TextBody"/>
        <w:bidi w:val="0"/>
        <w:spacing w:before="240" w:after="0"/>
        <w:jc w:val="left"/>
        <w:rPr>
          <w:rFonts w:ascii="arial" w:hAnsi="arial"/>
          <w:sz w:val="18"/>
        </w:rPr>
      </w:pPr>
      <w:r>
        <w:rPr>
          <w:rFonts w:ascii="arial" w:hAnsi="arial"/>
          <w:sz w:val="18"/>
        </w:rPr>
        <w:t xml:space="preserve">THE AUDIT COMMITTEE </w:t>
      </w:r>
    </w:p>
    <w:p>
      <w:pPr>
        <w:pStyle w:val="TextBody"/>
        <w:bidi w:val="0"/>
        <w:spacing w:before="240" w:after="0"/>
        <w:jc w:val="left"/>
        <w:rPr>
          <w:rFonts w:ascii="arial" w:hAnsi="arial"/>
          <w:sz w:val="18"/>
        </w:rPr>
      </w:pPr>
      <w:r>
        <w:rPr>
          <w:rFonts w:ascii="arial" w:hAnsi="arial"/>
          <w:sz w:val="18"/>
        </w:rPr>
        <w:t xml:space="preserve">LESLIE A. MURPHY, CHAIR </w:t>
      </w:r>
    </w:p>
    <w:p>
      <w:pPr>
        <w:pStyle w:val="TextBody"/>
        <w:bidi w:val="0"/>
        <w:spacing w:before="0" w:after="0"/>
        <w:jc w:val="left"/>
        <w:rPr>
          <w:rFonts w:ascii="arial" w:hAnsi="arial"/>
          <w:sz w:val="18"/>
        </w:rPr>
      </w:pPr>
      <w:r>
        <w:rPr>
          <w:rFonts w:ascii="arial" w:hAnsi="arial"/>
          <w:sz w:val="18"/>
        </w:rPr>
        <w:t xml:space="preserve">ROBERT S. CUBBIN </w:t>
      </w:r>
    </w:p>
    <w:p>
      <w:pPr>
        <w:pStyle w:val="TextBody"/>
        <w:bidi w:val="0"/>
        <w:spacing w:before="0" w:after="0"/>
        <w:jc w:val="left"/>
        <w:rPr>
          <w:rFonts w:ascii="arial" w:hAnsi="arial"/>
          <w:sz w:val="18"/>
        </w:rPr>
      </w:pPr>
      <w:r>
        <w:rPr>
          <w:rFonts w:ascii="arial" w:hAnsi="arial"/>
          <w:sz w:val="18"/>
        </w:rPr>
        <w:t xml:space="preserve">AMALA DUGGIRALA </w:t>
      </w:r>
    </w:p>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242"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07" descr=""/>
                          <pic:cNvPicPr>
                            <a:picLocks noChangeAspect="1" noChangeArrowheads="1"/>
                          </pic:cNvPicPr>
                        </pic:nvPicPr>
                        <pic:blipFill>
                          <a:blip r:embed="rId223"/>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sz w:val="36"/>
        </w:rPr>
      </w:pPr>
      <w:bookmarkStart w:id="104" w:name="toc37355_85"/>
      <w:bookmarkEnd w:id="104"/>
      <w:r>
        <w:rPr>
          <w:rFonts w:ascii="arial" w:hAnsi="arial"/>
          <w:b/>
          <w:sz w:val="36"/>
        </w:rPr>
        <w:t xml:space="preserve">Questions and Answers About the Proxy Statement and the Annual Meeting </w:t>
      </w:r>
    </w:p>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290"/>
        <w:gridCol w:w="4580"/>
      </w:tblGrid>
      <w:tr>
        <w:trPr/>
        <w:tc>
          <w:tcPr>
            <w:tcW w:w="290" w:type="dxa"/>
            <w:tcBorders/>
            <w:vAlign w:val="center"/>
          </w:tcPr>
          <w:p>
            <w:pPr>
              <w:pStyle w:val="TableContents"/>
              <w:bidi w:val="0"/>
              <w:spacing w:before="0" w:after="283"/>
              <w:jc w:val="left"/>
              <w:rPr>
                <w:b/>
              </w:rPr>
            </w:pPr>
            <w:r>
              <w:rPr>
                <w:b/>
              </w:rPr>
              <w:t>Q)</w:t>
            </w:r>
          </w:p>
        </w:tc>
        <w:tc>
          <w:tcPr>
            <w:tcW w:w="4580" w:type="dxa"/>
            <w:tcBorders/>
            <w:vAlign w:val="center"/>
          </w:tcPr>
          <w:p>
            <w:pPr>
              <w:pStyle w:val="TableContents"/>
              <w:bidi w:val="0"/>
              <w:spacing w:before="0" w:after="0"/>
              <w:jc w:val="left"/>
              <w:rPr>
                <w:rFonts w:ascii="arial" w:hAnsi="arial"/>
                <w:b/>
                <w:sz w:val="18"/>
              </w:rPr>
            </w:pPr>
            <w:r>
              <w:rPr>
                <w:rFonts w:ascii="arial" w:hAnsi="arial"/>
                <w:b/>
                <w:sz w:val="18"/>
              </w:rPr>
              <w:t xml:space="preserve">WHERE ARE WE HOLDING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pPr>
            <w:r>
              <w:rPr/>
              <w:t>A)</w:t>
            </w:r>
          </w:p>
        </w:tc>
        <w:tc>
          <w:tcPr>
            <w:tcW w:w="9981" w:type="dxa"/>
            <w:tcBorders/>
            <w:vAlign w:val="center"/>
          </w:tcPr>
          <w:p>
            <w:pPr>
              <w:pStyle w:val="TableContents"/>
              <w:bidi w:val="0"/>
              <w:spacing w:before="0" w:after="0"/>
              <w:jc w:val="left"/>
              <w:rPr>
                <w:rFonts w:ascii="arial" w:hAnsi="arial"/>
                <w:sz w:val="18"/>
              </w:rPr>
            </w:pPr>
            <w:r>
              <w:rPr>
                <w:rFonts w:ascii="arial" w:hAnsi="arial"/>
                <w:sz w:val="18"/>
              </w:rPr>
              <w:t xml:space="preserve">The 2026 Annual Meeting of Shareholders will be held virtually. To access the live audio webcast of the meeting, shareholders of record will need to visit kellyservices.com for instructions and use their 16-digit Control Number provided in the Notice to log in to this website. If your shares are held beneficially in the name of a bank, broker, or other holder of record (sometimes referred to as holding shares “in street name”), you will receive instructions from the holder of record that you must follow for your shares to be voted. Beneficial holders will need to obtain a “legal proxy” from their broker, bank, or other holder of record that holds your shares if they want to vote during the virtual meeting. Beneficial holders will need to send our transfer agent, Computershare, the legal proxy before the meeting, and they will then issue via email, an authorized control number. </w:t>
            </w:r>
          </w:p>
        </w:tc>
      </w:tr>
    </w:tbl>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290"/>
        <w:gridCol w:w="5795"/>
      </w:tblGrid>
      <w:tr>
        <w:trPr/>
        <w:tc>
          <w:tcPr>
            <w:tcW w:w="290" w:type="dxa"/>
            <w:tcBorders/>
            <w:vAlign w:val="center"/>
          </w:tcPr>
          <w:p>
            <w:pPr>
              <w:pStyle w:val="TableContents"/>
              <w:bidi w:val="0"/>
              <w:spacing w:before="0" w:after="283"/>
              <w:jc w:val="left"/>
              <w:rPr>
                <w:b/>
              </w:rPr>
            </w:pPr>
            <w:r>
              <w:rPr>
                <w:b/>
              </w:rPr>
              <w:t>Q)</w:t>
            </w:r>
          </w:p>
        </w:tc>
        <w:tc>
          <w:tcPr>
            <w:tcW w:w="5795" w:type="dxa"/>
            <w:tcBorders/>
            <w:vAlign w:val="center"/>
          </w:tcPr>
          <w:p>
            <w:pPr>
              <w:pStyle w:val="TableContents"/>
              <w:bidi w:val="0"/>
              <w:spacing w:before="0" w:after="0"/>
              <w:jc w:val="left"/>
              <w:rPr>
                <w:rFonts w:ascii="arial" w:hAnsi="arial"/>
                <w:b/>
                <w:sz w:val="18"/>
              </w:rPr>
            </w:pPr>
            <w:r>
              <w:rPr>
                <w:rFonts w:ascii="arial" w:hAnsi="arial"/>
                <w:b/>
                <w:sz w:val="18"/>
              </w:rPr>
              <w:t xml:space="preserve">WHO IS MAKING THE SOLICITATION IN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A)</w:t>
            </w:r>
          </w:p>
        </w:tc>
        <w:tc>
          <w:tcPr>
            <w:tcW w:w="9972" w:type="dxa"/>
            <w:tcBorders/>
            <w:vAlign w:val="center"/>
          </w:tcPr>
          <w:p>
            <w:pPr>
              <w:pStyle w:val="TableContents"/>
              <w:bidi w:val="0"/>
              <w:spacing w:before="0" w:after="0"/>
              <w:jc w:val="left"/>
              <w:rPr>
                <w:rFonts w:ascii="arial" w:hAnsi="arial"/>
                <w:sz w:val="18"/>
              </w:rPr>
            </w:pPr>
            <w:r>
              <w:rPr>
                <w:rFonts w:ascii="arial" w:hAnsi="arial"/>
                <w:sz w:val="18"/>
              </w:rPr>
              <w:t xml:space="preserve">This Proxy Statement is furnished in connection with the solicitation of proxies on behalf of the Board of Directors of Kelly Services, Inc. for use at the Annual Meeting of Shareholders of the Company to be held virtually on May 7, 2026, for the purposes set forth in the Notice of Annual Meeting of Shareholders. The approximate date on which this Proxy Statement and enclosed form of proxy are first sent to Class B shareholders of the Company is April 13, 2026.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290"/>
        <w:gridCol w:w="5255"/>
      </w:tblGrid>
      <w:tr>
        <w:trPr/>
        <w:tc>
          <w:tcPr>
            <w:tcW w:w="290" w:type="dxa"/>
            <w:tcBorders/>
            <w:vAlign w:val="center"/>
          </w:tcPr>
          <w:p>
            <w:pPr>
              <w:pStyle w:val="TableContents"/>
              <w:bidi w:val="0"/>
              <w:spacing w:before="0" w:after="283"/>
              <w:jc w:val="left"/>
              <w:rPr>
                <w:b/>
              </w:rPr>
            </w:pPr>
            <w:r>
              <w:rPr>
                <w:b/>
              </w:rPr>
              <w:t>Q)</w:t>
            </w:r>
          </w:p>
        </w:tc>
        <w:tc>
          <w:tcPr>
            <w:tcW w:w="5255" w:type="dxa"/>
            <w:tcBorders/>
            <w:vAlign w:val="center"/>
          </w:tcPr>
          <w:p>
            <w:pPr>
              <w:pStyle w:val="TableContents"/>
              <w:bidi w:val="0"/>
              <w:spacing w:before="0" w:after="0"/>
              <w:jc w:val="left"/>
              <w:rPr>
                <w:rFonts w:ascii="arial" w:hAnsi="arial"/>
                <w:b/>
                <w:sz w:val="18"/>
              </w:rPr>
            </w:pPr>
            <w:r>
              <w:rPr>
                <w:rFonts w:ascii="arial" w:hAnsi="arial"/>
                <w:b/>
                <w:sz w:val="18"/>
              </w:rPr>
              <w:t xml:space="preserve">WHO WILL BEAR THE COST OF THE PROXY SOLICITATION?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A)</w:t>
            </w:r>
          </w:p>
        </w:tc>
        <w:tc>
          <w:tcPr>
            <w:tcW w:w="9973" w:type="dxa"/>
            <w:tcBorders/>
            <w:vAlign w:val="center"/>
          </w:tcPr>
          <w:p>
            <w:pPr>
              <w:pStyle w:val="TableContents"/>
              <w:bidi w:val="0"/>
              <w:spacing w:before="0" w:after="0"/>
              <w:jc w:val="left"/>
              <w:rPr>
                <w:rFonts w:ascii="arial" w:hAnsi="arial"/>
                <w:sz w:val="18"/>
              </w:rPr>
            </w:pPr>
            <w:r>
              <w:rPr>
                <w:rFonts w:ascii="arial" w:hAnsi="arial"/>
                <w:sz w:val="18"/>
              </w:rPr>
              <w:t xml:space="preserve">The Company will bear the cost of soliciting proxies. The solicitation of proxies will be made primarily by mail. The Company may also make arrangements with brokerage houses, custodians, banks, nominees, and fiduciaries to forward solicitation material to beneficial owners of Class B stock held of record by them and to obtain authorization to execute proxies. The Company may reimburse such institutional holders for reasonable expenses incurred by them in connection therewith. </w:t>
            </w:r>
          </w:p>
        </w:tc>
      </w:tr>
    </w:tbl>
    <w:p>
      <w:pPr>
        <w:pStyle w:val="TextBody"/>
        <w:bidi w:val="0"/>
        <w:spacing w:before="80" w:after="0"/>
        <w:jc w:val="left"/>
        <w:rPr>
          <w:rFonts w:ascii="arial" w:hAnsi="arial"/>
          <w:sz w:val="18"/>
        </w:rPr>
      </w:pPr>
      <w:r>
        <w:rPr>
          <w:rFonts w:ascii="arial" w:hAnsi="arial"/>
          <w:sz w:val="18"/>
        </w:rPr>
        <w:t xml:space="preserve">A copy of the Company’s Annual Report and Annual Report on Form 10-K for the fiscal year ended December 28, 2025, has been mailed or otherwise made available to each shareholder of record. The expense of preparing, printing, assembling, and mailing the accompanying form of proxy and the material used in the solicitation of proxies will be paid by the Company. In addition, the Company may reimburse brokers or nominees for their expenses in transmitting proxies and proxy material to principals. </w:t>
      </w:r>
    </w:p>
    <w:p>
      <w:pPr>
        <w:pStyle w:val="TextBody"/>
        <w:bidi w:val="0"/>
        <w:spacing w:before="0" w:after="0"/>
        <w:jc w:val="left"/>
        <w:rPr/>
      </w:pPr>
      <w:r>
        <w:rPr/>
        <w:t> </w:t>
      </w:r>
    </w:p>
    <w:tbl>
      <w:tblPr>
        <w:tblW w:w="2845" w:type="dxa"/>
        <w:jc w:val="left"/>
        <w:tblInd w:w="0" w:type="dxa"/>
        <w:tblLayout w:type="fixed"/>
        <w:tblCellMar>
          <w:top w:w="0" w:type="dxa"/>
          <w:left w:w="0" w:type="dxa"/>
          <w:bottom w:w="0" w:type="dxa"/>
          <w:right w:w="0" w:type="dxa"/>
        </w:tblCellMar>
      </w:tblPr>
      <w:tblGrid>
        <w:gridCol w:w="290"/>
        <w:gridCol w:w="2555"/>
      </w:tblGrid>
      <w:tr>
        <w:trPr/>
        <w:tc>
          <w:tcPr>
            <w:tcW w:w="290" w:type="dxa"/>
            <w:tcBorders/>
            <w:vAlign w:val="center"/>
          </w:tcPr>
          <w:p>
            <w:pPr>
              <w:pStyle w:val="TableContents"/>
              <w:bidi w:val="0"/>
              <w:spacing w:before="0" w:after="283"/>
              <w:jc w:val="left"/>
              <w:rPr>
                <w:b/>
              </w:rPr>
            </w:pPr>
            <w:r>
              <w:rPr>
                <w:b/>
              </w:rPr>
              <w:t>Q)</w:t>
            </w:r>
          </w:p>
        </w:tc>
        <w:tc>
          <w:tcPr>
            <w:tcW w:w="2555" w:type="dxa"/>
            <w:tcBorders/>
            <w:vAlign w:val="center"/>
          </w:tcPr>
          <w:p>
            <w:pPr>
              <w:pStyle w:val="TableContents"/>
              <w:bidi w:val="0"/>
              <w:spacing w:before="0" w:after="0"/>
              <w:jc w:val="left"/>
              <w:rPr>
                <w:rFonts w:ascii="arial" w:hAnsi="arial"/>
                <w:b/>
                <w:sz w:val="18"/>
              </w:rPr>
            </w:pPr>
            <w:r>
              <w:rPr>
                <w:rFonts w:ascii="arial" w:hAnsi="arial"/>
                <w:b/>
                <w:sz w:val="18"/>
              </w:rPr>
              <w:t xml:space="preserve">WHO IS ENTITLED TO VOTE?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0"/>
              <w:jc w:val="left"/>
              <w:rPr>
                <w:rFonts w:ascii="arial" w:hAnsi="arial"/>
                <w:sz w:val="18"/>
              </w:rPr>
            </w:pPr>
            <w:r>
              <w:rPr>
                <w:rFonts w:ascii="arial" w:hAnsi="arial"/>
                <w:sz w:val="18"/>
              </w:rPr>
              <w:t xml:space="preserve">Only shareholders of record of our Class B Common Stock, par value $1.00 per share, at the close of business on March 19, 2026, the record date for the Annual Meeting, are entitled to notice of and to vote at the Annual Meeting. Class B Common Stock is the only class of the Company’s securities with voting rights. </w:t>
            </w:r>
          </w:p>
        </w:tc>
      </w:tr>
    </w:tbl>
    <w:p>
      <w:pPr>
        <w:pStyle w:val="TextBody"/>
        <w:bidi w:val="0"/>
        <w:spacing w:before="80" w:after="0"/>
        <w:jc w:val="left"/>
        <w:rPr>
          <w:rFonts w:ascii="arial" w:hAnsi="arial"/>
          <w:sz w:val="18"/>
        </w:rPr>
      </w:pPr>
      <w:r>
        <w:rPr>
          <w:rFonts w:ascii="arial" w:hAnsi="arial"/>
          <w:sz w:val="18"/>
        </w:rPr>
        <w:t xml:space="preserve">At the close of business on March 19, 2026, the number of issued and outstanding voting securities (exclusive of treasury shares) was 3,296,041 shares of the Class B Common Stock. Class B shareholders on the record date will be entitled to one vote for each share held of record. </w:t>
      </w:r>
    </w:p>
    <w:p>
      <w:pPr>
        <w:pStyle w:val="TextBody"/>
        <w:bidi w:val="0"/>
        <w:spacing w:before="0" w:after="0"/>
        <w:jc w:val="left"/>
        <w:rPr/>
      </w:pPr>
      <w:r>
        <w:rPr/>
        <w:t> </w:t>
      </w:r>
    </w:p>
    <w:tbl>
      <w:tblPr>
        <w:tblW w:w="1840" w:type="dxa"/>
        <w:jc w:val="left"/>
        <w:tblInd w:w="0" w:type="dxa"/>
        <w:tblLayout w:type="fixed"/>
        <w:tblCellMar>
          <w:top w:w="0" w:type="dxa"/>
          <w:left w:w="0" w:type="dxa"/>
          <w:bottom w:w="0" w:type="dxa"/>
          <w:right w:w="0" w:type="dxa"/>
        </w:tblCellMar>
      </w:tblPr>
      <w:tblGrid>
        <w:gridCol w:w="290"/>
        <w:gridCol w:w="1550"/>
      </w:tblGrid>
      <w:tr>
        <w:trPr/>
        <w:tc>
          <w:tcPr>
            <w:tcW w:w="290" w:type="dxa"/>
            <w:tcBorders/>
            <w:vAlign w:val="center"/>
          </w:tcPr>
          <w:p>
            <w:pPr>
              <w:pStyle w:val="TableContents"/>
              <w:bidi w:val="0"/>
              <w:spacing w:before="0" w:after="283"/>
              <w:jc w:val="left"/>
              <w:rPr>
                <w:b/>
              </w:rPr>
            </w:pPr>
            <w:r>
              <w:rPr>
                <w:b/>
              </w:rPr>
              <w:t>Q)</w:t>
            </w:r>
          </w:p>
        </w:tc>
        <w:tc>
          <w:tcPr>
            <w:tcW w:w="1550" w:type="dxa"/>
            <w:tcBorders/>
            <w:vAlign w:val="center"/>
          </w:tcPr>
          <w:p>
            <w:pPr>
              <w:pStyle w:val="TableContents"/>
              <w:bidi w:val="0"/>
              <w:spacing w:before="0" w:after="0"/>
              <w:jc w:val="left"/>
              <w:rPr>
                <w:rFonts w:ascii="arial" w:hAnsi="arial"/>
                <w:b/>
                <w:sz w:val="18"/>
              </w:rPr>
            </w:pPr>
            <w:r>
              <w:rPr>
                <w:rFonts w:ascii="arial" w:hAnsi="arial"/>
                <w:b/>
                <w:sz w:val="18"/>
              </w:rPr>
              <w:t xml:space="preserve">HOW DO I VOTE?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left"/>
              <w:rPr>
                <w:rFonts w:ascii="arial" w:hAnsi="arial"/>
                <w:sz w:val="18"/>
              </w:rPr>
            </w:pPr>
            <w:r>
              <w:rPr>
                <w:rFonts w:ascii="arial" w:hAnsi="arial"/>
                <w:sz w:val="18"/>
              </w:rPr>
              <w:t xml:space="preserve">We encourage Class B shareholders to return their proxies promptly via the enclosed form of proxy in the enclosed postage prepaid envelope or vote via the Internet, QR code scan, or telephone. </w:t>
            </w:r>
          </w:p>
        </w:tc>
      </w:tr>
    </w:tbl>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290"/>
        <w:gridCol w:w="2615"/>
      </w:tblGrid>
      <w:tr>
        <w:trPr/>
        <w:tc>
          <w:tcPr>
            <w:tcW w:w="290" w:type="dxa"/>
            <w:tcBorders/>
            <w:vAlign w:val="center"/>
          </w:tcPr>
          <w:p>
            <w:pPr>
              <w:pStyle w:val="TableContents"/>
              <w:bidi w:val="0"/>
              <w:spacing w:before="0" w:after="283"/>
              <w:jc w:val="left"/>
              <w:rPr>
                <w:b/>
              </w:rPr>
            </w:pPr>
            <w:r>
              <w:rPr>
                <w:b/>
              </w:rPr>
              <w:t>Q)</w:t>
            </w:r>
          </w:p>
        </w:tc>
        <w:tc>
          <w:tcPr>
            <w:tcW w:w="2615" w:type="dxa"/>
            <w:tcBorders/>
            <w:vAlign w:val="center"/>
          </w:tcPr>
          <w:p>
            <w:pPr>
              <w:pStyle w:val="TableContents"/>
              <w:bidi w:val="0"/>
              <w:spacing w:before="0" w:after="0"/>
              <w:jc w:val="left"/>
              <w:rPr>
                <w:rFonts w:ascii="arial" w:hAnsi="arial"/>
                <w:b/>
                <w:sz w:val="18"/>
              </w:rPr>
            </w:pPr>
            <w:r>
              <w:rPr>
                <w:rFonts w:ascii="arial" w:hAnsi="arial"/>
                <w:b/>
                <w:sz w:val="18"/>
              </w:rPr>
              <w:t xml:space="preserve">HOW IS MY VOTE COUNTED?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pPr>
            <w:r>
              <w:rPr/>
              <w:t>A)</w:t>
            </w:r>
          </w:p>
        </w:tc>
        <w:tc>
          <w:tcPr>
            <w:tcW w:w="9978" w:type="dxa"/>
            <w:tcBorders/>
            <w:vAlign w:val="center"/>
          </w:tcPr>
          <w:p>
            <w:pPr>
              <w:pStyle w:val="TableContents"/>
              <w:bidi w:val="0"/>
              <w:spacing w:before="0" w:after="0"/>
              <w:jc w:val="left"/>
              <w:rPr>
                <w:rFonts w:ascii="arial" w:hAnsi="arial"/>
                <w:sz w:val="18"/>
              </w:rPr>
            </w:pPr>
            <w:r>
              <w:rPr>
                <w:rFonts w:ascii="arial" w:hAnsi="arial"/>
                <w:sz w:val="18"/>
              </w:rPr>
              <w:t xml:space="preserve">If a proxy in the accompanying form is properly executed, returned to the Company, and not revoked, the shares represented by the proxy will be voted in accordance with the instructions set forth thereon. If no instructions are given with respect to the matters to be acted upon, the shares represented by the proxy will be voted following the recommendation of the Company’s Board of Directors on each of the proposals set forth in the accompanying Notice of Annual Meeting of Shareholders and on any other matters that properly come before the Annual Meeting in such manner as may be determined by the individuals named as proxies. </w:t>
            </w:r>
          </w:p>
        </w:tc>
      </w:tr>
    </w:tbl>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82 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6535"/>
                  <wp:effectExtent l="0" t="0" r="0" b="0"/>
                  <wp:docPr id="243"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08" descr=""/>
                          <pic:cNvPicPr>
                            <a:picLocks noChangeAspect="1" noChangeArrowheads="1"/>
                          </pic:cNvPicPr>
                        </pic:nvPicPr>
                        <pic:blipFill>
                          <a:blip r:embed="rId224"/>
                          <a:stretch>
                            <a:fillRect/>
                          </a:stretch>
                        </pic:blipFill>
                        <pic:spPr bwMode="auto">
                          <a:xfrm>
                            <a:off x="0" y="0"/>
                            <a:ext cx="453390" cy="216535"/>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right"/>
        <w:rPr>
          <w:rFonts w:ascii="arial" w:hAnsi="arial"/>
          <w:b/>
          <w:sz w:val="15"/>
        </w:rPr>
      </w:pPr>
      <w:r>
        <w:rPr>
          <w:rFonts w:ascii="arial" w:hAnsi="arial"/>
          <w:b/>
          <w:sz w:val="15"/>
        </w:rPr>
        <w:t xml:space="preserve">Questions and Answers About the Proxy Statement and the Annual Meeting </w:t>
      </w:r>
    </w:p>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290"/>
        <w:gridCol w:w="5060"/>
      </w:tblGrid>
      <w:tr>
        <w:trPr/>
        <w:tc>
          <w:tcPr>
            <w:tcW w:w="290" w:type="dxa"/>
            <w:tcBorders/>
            <w:vAlign w:val="center"/>
          </w:tcPr>
          <w:p>
            <w:pPr>
              <w:pStyle w:val="TableContents"/>
              <w:bidi w:val="0"/>
              <w:spacing w:before="0" w:after="283"/>
              <w:jc w:val="left"/>
              <w:rPr>
                <w:b/>
              </w:rPr>
            </w:pPr>
            <w:r>
              <w:rPr>
                <w:b/>
              </w:rPr>
              <w:t>Q)</w:t>
            </w:r>
          </w:p>
        </w:tc>
        <w:tc>
          <w:tcPr>
            <w:tcW w:w="5060" w:type="dxa"/>
            <w:tcBorders/>
            <w:vAlign w:val="center"/>
          </w:tcPr>
          <w:p>
            <w:pPr>
              <w:pStyle w:val="TableContents"/>
              <w:bidi w:val="0"/>
              <w:spacing w:before="0" w:after="0"/>
              <w:jc w:val="left"/>
              <w:rPr>
                <w:rFonts w:ascii="arial" w:hAnsi="arial"/>
                <w:b/>
                <w:sz w:val="18"/>
              </w:rPr>
            </w:pPr>
            <w:r>
              <w:rPr>
                <w:rFonts w:ascii="arial" w:hAnsi="arial"/>
                <w:b/>
                <w:sz w:val="18"/>
              </w:rPr>
              <w:t xml:space="preserve">CAN I REVOKE MY PROXY AFTER I HAVE SUBMITTED 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A)</w:t>
            </w:r>
          </w:p>
        </w:tc>
        <w:tc>
          <w:tcPr>
            <w:tcW w:w="9971" w:type="dxa"/>
            <w:tcBorders/>
            <w:vAlign w:val="center"/>
          </w:tcPr>
          <w:p>
            <w:pPr>
              <w:pStyle w:val="TableContents"/>
              <w:bidi w:val="0"/>
              <w:spacing w:before="0" w:after="0"/>
              <w:jc w:val="left"/>
              <w:rPr>
                <w:rFonts w:ascii="arial" w:hAnsi="arial"/>
                <w:sz w:val="18"/>
              </w:rPr>
            </w:pPr>
            <w:r>
              <w:rPr>
                <w:rFonts w:ascii="arial" w:hAnsi="arial"/>
                <w:sz w:val="18"/>
              </w:rPr>
              <w:t xml:space="preserve">If the enclosed form of proxy is executed and returned by the shareholder, it may nevertheless be revoked by the person giving it by written notice of revocation to the Corporate Secretary of the Company or by submitting a later-dated proxy, provided such notice or later-dated proxy is received by 11:59 p.m., Central Time, on May 6, 2026. You will also be able to vote your shares online by attending the Annual Meeting via webcast. </w:t>
            </w:r>
          </w:p>
        </w:tc>
      </w:tr>
    </w:tbl>
    <w:p>
      <w:pPr>
        <w:pStyle w:val="TextBody"/>
        <w:bidi w:val="0"/>
        <w:spacing w:before="0" w:after="0"/>
        <w:jc w:val="left"/>
        <w:rPr/>
      </w:pPr>
      <w:r>
        <w:rPr/>
        <w:t> </w:t>
      </w:r>
    </w:p>
    <w:tbl>
      <w:tblPr>
        <w:tblW w:w="3370" w:type="dxa"/>
        <w:jc w:val="left"/>
        <w:tblInd w:w="0" w:type="dxa"/>
        <w:tblLayout w:type="fixed"/>
        <w:tblCellMar>
          <w:top w:w="0" w:type="dxa"/>
          <w:left w:w="0" w:type="dxa"/>
          <w:bottom w:w="0" w:type="dxa"/>
          <w:right w:w="0" w:type="dxa"/>
        </w:tblCellMar>
      </w:tblPr>
      <w:tblGrid>
        <w:gridCol w:w="290"/>
        <w:gridCol w:w="3080"/>
      </w:tblGrid>
      <w:tr>
        <w:trPr/>
        <w:tc>
          <w:tcPr>
            <w:tcW w:w="290" w:type="dxa"/>
            <w:tcBorders/>
            <w:vAlign w:val="center"/>
          </w:tcPr>
          <w:p>
            <w:pPr>
              <w:pStyle w:val="TableContents"/>
              <w:bidi w:val="0"/>
              <w:spacing w:before="0" w:after="283"/>
              <w:jc w:val="left"/>
              <w:rPr>
                <w:b/>
              </w:rPr>
            </w:pPr>
            <w:r>
              <w:rPr>
                <w:b/>
              </w:rPr>
              <w:t>Q)</w:t>
            </w:r>
          </w:p>
        </w:tc>
        <w:tc>
          <w:tcPr>
            <w:tcW w:w="3080" w:type="dxa"/>
            <w:tcBorders/>
            <w:vAlign w:val="center"/>
          </w:tcPr>
          <w:p>
            <w:pPr>
              <w:pStyle w:val="TableContents"/>
              <w:bidi w:val="0"/>
              <w:spacing w:before="0" w:after="0"/>
              <w:jc w:val="left"/>
              <w:rPr>
                <w:rFonts w:ascii="arial" w:hAnsi="arial"/>
                <w:b/>
                <w:sz w:val="18"/>
              </w:rPr>
            </w:pPr>
            <w:r>
              <w:rPr>
                <w:rFonts w:ascii="arial" w:hAnsi="arial"/>
                <w:b/>
                <w:sz w:val="18"/>
              </w:rPr>
              <w:t xml:space="preserve">WHAT CONSTITUTES A QUORUM?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A)</w:t>
            </w:r>
          </w:p>
        </w:tc>
        <w:tc>
          <w:tcPr>
            <w:tcW w:w="9973" w:type="dxa"/>
            <w:tcBorders/>
            <w:vAlign w:val="center"/>
          </w:tcPr>
          <w:p>
            <w:pPr>
              <w:pStyle w:val="TableContents"/>
              <w:bidi w:val="0"/>
              <w:spacing w:before="0" w:after="0"/>
              <w:jc w:val="left"/>
              <w:rPr>
                <w:rFonts w:ascii="arial" w:hAnsi="arial"/>
                <w:sz w:val="18"/>
              </w:rPr>
            </w:pPr>
            <w:r>
              <w:rPr>
                <w:rFonts w:ascii="arial" w:hAnsi="arial"/>
                <w:sz w:val="18"/>
              </w:rPr>
              <w:t xml:space="preserve">Pursuant to the Company’s Bylaws, the holders of 60% of the issued and outstanding shares of Class B Common Stock who are entitled to vote at a shareholders’ meeting, in person or represented by proxy, will constitute a quorum. Shares that are present and entitled to vote on any of the proposals to be considered at the Annual Meeting will be considered to be present at the Annual Meeting for purposes of establishing the presence or absence of a quorum for the transaction of business.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90"/>
        <w:gridCol w:w="2945"/>
      </w:tblGrid>
      <w:tr>
        <w:trPr/>
        <w:tc>
          <w:tcPr>
            <w:tcW w:w="290" w:type="dxa"/>
            <w:tcBorders/>
            <w:vAlign w:val="center"/>
          </w:tcPr>
          <w:p>
            <w:pPr>
              <w:pStyle w:val="TableContents"/>
              <w:bidi w:val="0"/>
              <w:spacing w:before="0" w:after="283"/>
              <w:jc w:val="left"/>
              <w:rPr>
                <w:b/>
              </w:rPr>
            </w:pPr>
            <w:r>
              <w:rPr>
                <w:b/>
              </w:rPr>
              <w:t>Q)</w:t>
            </w:r>
          </w:p>
        </w:tc>
        <w:tc>
          <w:tcPr>
            <w:tcW w:w="2945" w:type="dxa"/>
            <w:tcBorders/>
            <w:vAlign w:val="center"/>
          </w:tcPr>
          <w:p>
            <w:pPr>
              <w:pStyle w:val="TableContents"/>
              <w:bidi w:val="0"/>
              <w:spacing w:before="0" w:after="0"/>
              <w:jc w:val="left"/>
              <w:rPr>
                <w:rFonts w:ascii="arial" w:hAnsi="arial"/>
                <w:b/>
                <w:sz w:val="18"/>
              </w:rPr>
            </w:pPr>
            <w:r>
              <w:rPr>
                <w:rFonts w:ascii="arial" w:hAnsi="arial"/>
                <w:b/>
                <w:sz w:val="18"/>
              </w:rPr>
              <w:t xml:space="preserve">WHAT IS A BROKER NON-VOTE?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A)</w:t>
            </w:r>
          </w:p>
        </w:tc>
        <w:tc>
          <w:tcPr>
            <w:tcW w:w="9970" w:type="dxa"/>
            <w:tcBorders/>
            <w:vAlign w:val="center"/>
          </w:tcPr>
          <w:p>
            <w:pPr>
              <w:pStyle w:val="TableContents"/>
              <w:bidi w:val="0"/>
              <w:spacing w:before="0" w:after="0"/>
              <w:jc w:val="left"/>
              <w:rPr>
                <w:rFonts w:ascii="arial" w:hAnsi="arial"/>
                <w:sz w:val="18"/>
              </w:rPr>
            </w:pPr>
            <w:r>
              <w:rPr>
                <w:rFonts w:ascii="arial" w:hAnsi="arial"/>
                <w:sz w:val="18"/>
              </w:rPr>
              <w:t xml:space="preserve">A “broker non-vote” occurs if a broker or other nominee indicates on the enclosed proxy that it does not have discretionary authority as to certain shares to vote on a particular proposal but otherwise has authority to vote at the Annual Meeting. Abstentions and shares subject to broker non-votes will be considered as present for purposes of determining the presence or absence of a quorum at the Annual Meeting. </w:t>
            </w:r>
          </w:p>
        </w:tc>
      </w:tr>
    </w:tbl>
    <w:p>
      <w:pPr>
        <w:pStyle w:val="TextBody"/>
        <w:bidi w:val="0"/>
        <w:spacing w:before="0" w:after="0"/>
        <w:jc w:val="left"/>
        <w:rPr/>
      </w:pPr>
      <w:r>
        <w:rPr/>
        <w:t> </w:t>
      </w:r>
    </w:p>
    <w:tbl>
      <w:tblPr>
        <w:tblW w:w="5785" w:type="dxa"/>
        <w:jc w:val="left"/>
        <w:tblInd w:w="0" w:type="dxa"/>
        <w:tblLayout w:type="fixed"/>
        <w:tblCellMar>
          <w:top w:w="0" w:type="dxa"/>
          <w:left w:w="0" w:type="dxa"/>
          <w:bottom w:w="0" w:type="dxa"/>
          <w:right w:w="0" w:type="dxa"/>
        </w:tblCellMar>
      </w:tblPr>
      <w:tblGrid>
        <w:gridCol w:w="290"/>
        <w:gridCol w:w="5495"/>
      </w:tblGrid>
      <w:tr>
        <w:trPr/>
        <w:tc>
          <w:tcPr>
            <w:tcW w:w="290" w:type="dxa"/>
            <w:tcBorders/>
            <w:vAlign w:val="center"/>
          </w:tcPr>
          <w:p>
            <w:pPr>
              <w:pStyle w:val="TableContents"/>
              <w:bidi w:val="0"/>
              <w:spacing w:before="0" w:after="283"/>
              <w:jc w:val="left"/>
              <w:rPr>
                <w:b/>
              </w:rPr>
            </w:pPr>
            <w:r>
              <w:rPr>
                <w:b/>
              </w:rPr>
              <w:t>Q)</w:t>
            </w:r>
          </w:p>
        </w:tc>
        <w:tc>
          <w:tcPr>
            <w:tcW w:w="5495" w:type="dxa"/>
            <w:tcBorders/>
            <w:vAlign w:val="center"/>
          </w:tcPr>
          <w:p>
            <w:pPr>
              <w:pStyle w:val="TableContents"/>
              <w:bidi w:val="0"/>
              <w:spacing w:before="0" w:after="0"/>
              <w:jc w:val="left"/>
              <w:rPr>
                <w:rFonts w:ascii="arial" w:hAnsi="arial"/>
                <w:b/>
                <w:sz w:val="18"/>
              </w:rPr>
            </w:pPr>
            <w:r>
              <w:rPr>
                <w:rFonts w:ascii="arial" w:hAnsi="arial"/>
                <w:b/>
                <w:sz w:val="18"/>
              </w:rPr>
              <w:t xml:space="preserve">HOW IS IT DETERMINED IF A MATTER HAS BEEN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0"/>
              <w:jc w:val="left"/>
              <w:rPr>
                <w:rFonts w:ascii="arial" w:hAnsi="arial"/>
                <w:sz w:val="18"/>
              </w:rPr>
            </w:pPr>
            <w:r>
              <w:rPr>
                <w:rFonts w:ascii="arial" w:hAnsi="arial"/>
                <w:sz w:val="18"/>
              </w:rPr>
              <w:t xml:space="preserve">Under our Bylaws, directors are elected by plurality vote and the nominees who receive the greatest number of votes at the Annual Meeting will be elected. Withheld votes and broker non-votes will not be taken into account for purposes of determining the outcome of the election of directors. </w:t>
            </w:r>
          </w:p>
        </w:tc>
      </w:tr>
    </w:tbl>
    <w:p>
      <w:pPr>
        <w:pStyle w:val="TextBody"/>
        <w:bidi w:val="0"/>
        <w:spacing w:before="80" w:after="0"/>
        <w:jc w:val="left"/>
        <w:rPr>
          <w:rFonts w:ascii="arial" w:hAnsi="arial"/>
          <w:sz w:val="18"/>
        </w:rPr>
      </w:pPr>
      <w:r>
        <w:rPr>
          <w:rFonts w:ascii="arial" w:hAnsi="arial"/>
          <w:sz w:val="18"/>
        </w:rPr>
        <w:t xml:space="preserve">The affirmative vote of a majority of Class B shares present in person or by proxy at the Annual Meeting and entitled to vote on such proposal will be required to approve Proposal 2 and Proposal 4. Abstentions will have the effect of negative votes concerning these proposals. Broker non-votes will not be taken into account for purposes of these proposals. </w:t>
      </w:r>
    </w:p>
    <w:p>
      <w:pPr>
        <w:pStyle w:val="TextBody"/>
        <w:bidi w:val="0"/>
        <w:spacing w:before="80" w:after="0"/>
        <w:jc w:val="left"/>
        <w:rPr>
          <w:rFonts w:ascii="arial" w:hAnsi="arial"/>
          <w:sz w:val="18"/>
        </w:rPr>
      </w:pPr>
      <w:r>
        <w:rPr>
          <w:rFonts w:ascii="arial" w:hAnsi="arial"/>
          <w:sz w:val="18"/>
        </w:rPr>
        <w:t xml:space="preserve">The affirmative vote of the holders of a majority of the outstanding shares of our Class B Common Stock entitled to vote on Proposal 3 is required to approve the Proposal. Abstentions and broker non-votes will have the same effect as a vote against Proposal 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b/>
              </w:rPr>
            </w:pPr>
            <w:r>
              <w:rPr>
                <w:b/>
              </w:rPr>
              <w:t>Q)</w:t>
            </w:r>
          </w:p>
        </w:tc>
        <w:tc>
          <w:tcPr>
            <w:tcW w:w="9941" w:type="dxa"/>
            <w:tcBorders/>
            <w:vAlign w:val="center"/>
          </w:tcPr>
          <w:p>
            <w:pPr>
              <w:pStyle w:val="TableContents"/>
              <w:bidi w:val="0"/>
              <w:spacing w:before="0" w:after="0"/>
              <w:jc w:val="left"/>
              <w:rPr>
                <w:rFonts w:ascii="arial" w:hAnsi="arial"/>
                <w:b/>
                <w:sz w:val="18"/>
              </w:rPr>
            </w:pPr>
            <w:r>
              <w:rPr>
                <w:rFonts w:ascii="arial" w:hAnsi="arial"/>
                <w:b/>
                <w:sz w:val="18"/>
              </w:rPr>
              <w:t xml:space="preserve">WHAT HAPPENS IF ADDITIONAL MATTERS (OTHER THAN THE PROPOSALS DESCRIBED IN THIS PROXY STATEMENT) ARE PRESENTED AT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b/>
              </w:rPr>
            </w:pPr>
            <w:r>
              <w:rPr>
                <w:b/>
              </w:rPr>
              <w:t>A)</w:t>
            </w:r>
          </w:p>
        </w:tc>
        <w:tc>
          <w:tcPr>
            <w:tcW w:w="9957" w:type="dxa"/>
            <w:tcBorders/>
            <w:vAlign w:val="center"/>
          </w:tcPr>
          <w:p>
            <w:pPr>
              <w:pStyle w:val="TableContents"/>
              <w:bidi w:val="0"/>
              <w:spacing w:before="0" w:after="0"/>
              <w:jc w:val="left"/>
              <w:rPr>
                <w:rFonts w:ascii="arial" w:hAnsi="arial"/>
                <w:sz w:val="18"/>
              </w:rPr>
            </w:pPr>
            <w:r>
              <w:rPr>
                <w:rFonts w:ascii="arial" w:hAnsi="arial"/>
                <w:sz w:val="18"/>
              </w:rPr>
              <w:t xml:space="preserve">If any other matters do properly come before the Annual Meeting, all proxies signed and returned by holders of the Class B Common Stock, if not limited to the contrary, will be voted thereon in accordance with the best judgment of the persons voting the proxies.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290"/>
        <w:gridCol w:w="4205"/>
      </w:tblGrid>
      <w:tr>
        <w:trPr/>
        <w:tc>
          <w:tcPr>
            <w:tcW w:w="290" w:type="dxa"/>
            <w:tcBorders/>
            <w:vAlign w:val="center"/>
          </w:tcPr>
          <w:p>
            <w:pPr>
              <w:pStyle w:val="TableContents"/>
              <w:bidi w:val="0"/>
              <w:spacing w:before="0" w:after="283"/>
              <w:jc w:val="left"/>
              <w:rPr>
                <w:b/>
              </w:rPr>
            </w:pPr>
            <w:r>
              <w:rPr>
                <w:b/>
              </w:rPr>
              <w:t>Q)</w:t>
            </w:r>
          </w:p>
        </w:tc>
        <w:tc>
          <w:tcPr>
            <w:tcW w:w="4205" w:type="dxa"/>
            <w:tcBorders/>
            <w:vAlign w:val="center"/>
          </w:tcPr>
          <w:p>
            <w:pPr>
              <w:pStyle w:val="TableContents"/>
              <w:bidi w:val="0"/>
              <w:spacing w:before="0" w:after="0"/>
              <w:jc w:val="left"/>
              <w:rPr>
                <w:rFonts w:ascii="arial" w:hAnsi="arial"/>
                <w:b/>
                <w:sz w:val="18"/>
              </w:rPr>
            </w:pPr>
            <w:r>
              <w:rPr>
                <w:rFonts w:ascii="arial" w:hAnsi="arial"/>
                <w:b/>
                <w:sz w:val="18"/>
              </w:rPr>
              <w:t xml:space="preserve">HOW CAN I COMMUNICATE WITH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A)</w:t>
            </w:r>
          </w:p>
        </w:tc>
        <w:tc>
          <w:tcPr>
            <w:tcW w:w="9965" w:type="dxa"/>
            <w:tcBorders/>
            <w:vAlign w:val="center"/>
          </w:tcPr>
          <w:p>
            <w:pPr>
              <w:pStyle w:val="TableContents"/>
              <w:bidi w:val="0"/>
              <w:spacing w:before="0" w:after="0"/>
              <w:jc w:val="left"/>
              <w:rPr>
                <w:rFonts w:ascii="arial" w:hAnsi="arial"/>
                <w:sz w:val="18"/>
              </w:rPr>
            </w:pPr>
            <w:r>
              <w:rPr>
                <w:rFonts w:ascii="arial" w:hAnsi="arial"/>
                <w:sz w:val="18"/>
              </w:rPr>
              <w:t xml:space="preserve">Shareholders may communicate with the Board in writing, addressed to the Board of Directors, and mailed to the Corporate Secretary, Kelly Services, Inc., 999 West Big Beaver Road, Troy, Michigan 48084-4716. All written shareholder communications will be summarized and reported to the Board at its regularly scheduled meetings.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b/>
              </w:rPr>
            </w:pPr>
            <w:r>
              <w:rPr>
                <w:b/>
              </w:rPr>
              <w:t>Q)</w:t>
            </w:r>
          </w:p>
        </w:tc>
        <w:tc>
          <w:tcPr>
            <w:tcW w:w="9943" w:type="dxa"/>
            <w:tcBorders/>
            <w:vAlign w:val="center"/>
          </w:tcPr>
          <w:p>
            <w:pPr>
              <w:pStyle w:val="TableContents"/>
              <w:bidi w:val="0"/>
              <w:spacing w:before="0" w:after="0"/>
              <w:jc w:val="left"/>
              <w:rPr>
                <w:rFonts w:ascii="arial" w:hAnsi="arial"/>
                <w:b/>
                <w:sz w:val="18"/>
              </w:rPr>
            </w:pPr>
            <w:r>
              <w:rPr>
                <w:rFonts w:ascii="arial" w:hAnsi="arial"/>
                <w:b/>
                <w:sz w:val="18"/>
              </w:rPr>
              <w:t xml:space="preserve">WHAT IS THE DEADLINE TO SUBMIT SHAREHOLDER PROPOSALS AND DIRECTOR NOMINATIONS FOR THE COMPANY’S 2027 ANNUAL MEETING OF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A)</w:t>
            </w:r>
          </w:p>
        </w:tc>
        <w:tc>
          <w:tcPr>
            <w:tcW w:w="9972" w:type="dxa"/>
            <w:tcBorders/>
            <w:vAlign w:val="center"/>
          </w:tcPr>
          <w:p>
            <w:pPr>
              <w:pStyle w:val="TableContents"/>
              <w:bidi w:val="0"/>
              <w:spacing w:before="0" w:after="0"/>
              <w:jc w:val="left"/>
              <w:rPr>
                <w:rFonts w:ascii="arial" w:hAnsi="arial"/>
                <w:sz w:val="18"/>
              </w:rPr>
            </w:pPr>
            <w:r>
              <w:rPr>
                <w:rFonts w:ascii="arial" w:hAnsi="arial"/>
                <w:sz w:val="18"/>
              </w:rPr>
              <w:t xml:space="preserve">If a Class B shareholder intends to present a proposal for inclusion in the proxy materials to be distributed by us in connection with the Company’s 2027 Annual Meeting of Shareholders in reliance on Rule 14a-8 under the Exchange Act, the proposal must be submitted in writing and received by the Corporate Secretary no later than December 14, 2026. The proposal must also meet the other requirements of the rules of the SEC relating to shareholder proposals. </w:t>
            </w:r>
          </w:p>
        </w:tc>
      </w:tr>
    </w:tbl>
    <w:p>
      <w:pPr>
        <w:pStyle w:val="TextBody"/>
        <w:bidi w:val="0"/>
        <w:spacing w:before="0" w:after="0"/>
        <w:jc w:val="left"/>
        <w:rPr/>
      </w:pPr>
      <w:r>
        <w:rPr/>
        <w:t> </w:t>
      </w:r>
    </w:p>
    <w:tbl>
      <w:tblPr>
        <w:tblW w:w="1864" w:type="dxa"/>
        <w:jc w:val="left"/>
        <w:tblInd w:w="0" w:type="dxa"/>
        <w:tblLayout w:type="fixed"/>
        <w:tblCellMar>
          <w:top w:w="0" w:type="dxa"/>
          <w:left w:w="0" w:type="dxa"/>
          <w:bottom w:w="0" w:type="dxa"/>
          <w:right w:w="0" w:type="dxa"/>
        </w:tblCellMar>
      </w:tblPr>
      <w:tblGrid>
        <w:gridCol w:w="1349"/>
        <w:gridCol w:w="120"/>
        <w:gridCol w:w="60"/>
        <w:gridCol w:w="260"/>
        <w:gridCol w:w="75"/>
      </w:tblGrid>
      <w:tr>
        <w:trPr/>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right"/>
              <w:rPr/>
            </w:pPr>
            <w:r>
              <w:rPr/>
              <w:t xml:space="preserve">  </w:t>
            </w:r>
            <w:r>
              <w:rPr/>
              <w:drawing>
                <wp:inline distT="0" distB="0" distL="0" distR="0">
                  <wp:extent cx="453390" cy="217170"/>
                  <wp:effectExtent l="0" t="0" r="0" b="0"/>
                  <wp:docPr id="244"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09" descr=""/>
                          <pic:cNvPicPr>
                            <a:picLocks noChangeAspect="1" noChangeArrowheads="1"/>
                          </pic:cNvPicPr>
                        </pic:nvPicPr>
                        <pic:blipFill>
                          <a:blip r:embed="rId225"/>
                          <a:stretch>
                            <a:fillRect/>
                          </a:stretch>
                        </pic:blipFill>
                        <pic:spPr bwMode="auto">
                          <a:xfrm>
                            <a:off x="0" y="0"/>
                            <a:ext cx="453390" cy="217170"/>
                          </a:xfrm>
                          <a:prstGeom prst="rect">
                            <a:avLst/>
                          </a:prstGeom>
                        </pic:spPr>
                      </pic:pic>
                    </a:graphicData>
                  </a:graphic>
                </wp:inline>
              </w:drawing>
            </w:r>
            <w:r>
              <w:rPr/>
              <w:t xml:space="preserve">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arial" w:hAnsi="arial"/>
          <w:b/>
          <w:sz w:val="15"/>
        </w:rPr>
      </w:pPr>
      <w:r>
        <w:rPr>
          <w:rFonts w:ascii="arial" w:hAnsi="arial"/>
          <w:b/>
          <w:sz w:val="15"/>
        </w:rPr>
        <w:t xml:space="preserve">Questions and Answers About the Proxy Statement and the Annual Meeting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Our Bylaws contain an advance notice of shareholder business and nominations requirement, which generally prescribes the procedures that a shareholder of the Company must follow if the shareholder intends at an Annual Meeting of Shareholders to nominate a person for the election to the Board or to propose other business to be considered by shareholders. These procedures include, among other things, that the shareholder give timely notice to the Corporate Secretary of the nomination or other proposed business, that the notice contains specified information, and that the shareholder complies with certain other requirements. If a shareholder’s nomination or proposal is not in compliance with the procedures outlined in our Bylaws, the Company may disregard such nomination or proposal. </w:t>
      </w:r>
    </w:p>
    <w:p>
      <w:pPr>
        <w:pStyle w:val="TextBody"/>
        <w:bidi w:val="0"/>
        <w:spacing w:before="80" w:after="0"/>
        <w:jc w:val="left"/>
        <w:rPr>
          <w:rFonts w:ascii="arial" w:hAnsi="arial"/>
          <w:sz w:val="18"/>
        </w:rPr>
      </w:pPr>
      <w:r>
        <w:rPr>
          <w:rFonts w:ascii="arial" w:hAnsi="arial"/>
          <w:sz w:val="18"/>
        </w:rPr>
        <w:t xml:space="preserve">Generally, in the case of an Annual Meeting of Shareholders, a shareholder’s notice must be delivered in writing to the Corporate Secretary, at the Company’s principal executive office, not later than the close of business on the 90th day nor earlier than the close of business on the 120th day before the first anniversary of the date of the proceeding year’s Annual Meeting of Shareholders. To be timely for the 2027 Annual Meeting of Shareholders, the notice must be received by the Corporate Secretary no earlier than January 7, 2027, and no later than February 5, 2027. In addition, shareholders seeking to include director nominations in the Company’s Proxy Statement for its 2027 Annual Meeting of Shareholders are required to provide notice to the Company pursuant to SEC Rule 14a-11 regarding proxy access no earlier than November 14, 2026, and no later than December 14, 2026, and to satisfy other conditions of such rule. Shareholders intending to utilize SEC Rule 14a-11 regarding universal proxies must provide notice to the Company postmarked no later than March 8, 2027. </w:t>
      </w:r>
    </w:p>
    <w:p>
      <w:pPr>
        <w:pStyle w:val="TextBody"/>
        <w:bidi w:val="0"/>
        <w:spacing w:before="80" w:after="0"/>
        <w:jc w:val="left"/>
        <w:rPr>
          <w:rFonts w:ascii="arial" w:hAnsi="arial"/>
          <w:sz w:val="18"/>
        </w:rPr>
      </w:pPr>
      <w:r>
        <w:rPr>
          <w:rFonts w:ascii="arial" w:hAnsi="arial"/>
          <w:sz w:val="18"/>
        </w:rPr>
        <w:t xml:space="preserve">In each case, proposals made under Rule 14a-8 and nominations for director nominees and/or an item of business to be introduced at an Annual Meeting of Shareholders must be submitted in writing and received by the Corporate Secretary, Kelly Services, Inc., 999 West Big Beaver Road, Troy, Michigan 48084-4716. </w:t>
      </w:r>
    </w:p>
    <w:p>
      <w:pPr>
        <w:pStyle w:val="TextBody"/>
        <w:bidi w:val="0"/>
        <w:spacing w:before="0" w:after="0"/>
        <w:jc w:val="left"/>
        <w:rPr/>
      </w:pPr>
      <w:r>
        <w:rPr/>
        <w:t> </w:t>
      </w:r>
    </w:p>
    <w:p>
      <w:pPr>
        <w:pStyle w:val="TextBody"/>
        <w:bidi w:val="0"/>
        <w:spacing w:before="0" w:after="0"/>
        <w:jc w:val="left"/>
        <w:rPr/>
      </w:pPr>
      <w:r>
        <w:rPr/>
        <w:t> </w:t>
      </w:r>
    </w:p>
    <w:tbl>
      <w:tblPr>
        <w:tblW w:w="2044" w:type="dxa"/>
        <w:jc w:val="left"/>
        <w:tblInd w:w="0" w:type="dxa"/>
        <w:tblLayout w:type="fixed"/>
        <w:tblCellMar>
          <w:top w:w="0" w:type="dxa"/>
          <w:left w:w="0" w:type="dxa"/>
          <w:bottom w:w="0" w:type="dxa"/>
          <w:right w:w="0" w:type="dxa"/>
        </w:tblCellMar>
      </w:tblPr>
      <w:tblGrid>
        <w:gridCol w:w="75"/>
        <w:gridCol w:w="500"/>
        <w:gridCol w:w="60"/>
        <w:gridCol w:w="60"/>
        <w:gridCol w:w="1349"/>
      </w:tblGrid>
      <w:tr>
        <w:trPr/>
        <w:tc>
          <w:tcPr>
            <w:tcW w:w="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84 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xml:space="preserve">  </w:t>
            </w:r>
            <w:r>
              <w:rPr/>
              <w:drawing>
                <wp:inline distT="0" distB="0" distL="0" distR="0">
                  <wp:extent cx="453390" cy="217170"/>
                  <wp:effectExtent l="0" t="0" r="0" b="0"/>
                  <wp:docPr id="245"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10" descr=""/>
                          <pic:cNvPicPr>
                            <a:picLocks noChangeAspect="1" noChangeArrowheads="1"/>
                          </pic:cNvPicPr>
                        </pic:nvPicPr>
                        <pic:blipFill>
                          <a:blip r:embed="rId226"/>
                          <a:stretch>
                            <a:fillRect/>
                          </a:stretch>
                        </pic:blipFill>
                        <pic:spPr bwMode="auto">
                          <a:xfrm>
                            <a:off x="0" y="0"/>
                            <a:ext cx="453390" cy="21717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center"/>
        <w:rPr/>
      </w:pPr>
      <w:r>
        <w:rPr/>
        <w:drawing>
          <wp:inline distT="0" distB="0" distL="0" distR="0">
            <wp:extent cx="8229600" cy="10515600"/>
            <wp:effectExtent l="0" t="0" r="0" b="0"/>
            <wp:docPr id="246"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11" descr=""/>
                    <pic:cNvPicPr>
                      <a:picLocks noChangeAspect="1" noChangeArrowheads="1"/>
                    </pic:cNvPicPr>
                  </pic:nvPicPr>
                  <pic:blipFill>
                    <a:blip r:embed="rId227"/>
                    <a:stretch>
                      <a:fillRect/>
                    </a:stretch>
                  </pic:blipFill>
                  <pic:spPr bwMode="auto">
                    <a:xfrm>
                      <a:off x="0" y="0"/>
                      <a:ext cx="8229600" cy="10515600"/>
                    </a:xfrm>
                    <a:prstGeom prst="rect">
                      <a:avLst/>
                    </a:prstGeom>
                  </pic:spPr>
                </pic:pic>
              </a:graphicData>
            </a:graphic>
          </wp:inline>
        </w:drawing>
      </w:r>
      <w:r>
        <w:rPr/>
        <w:t xml:space="preserv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5.jpeg"/><Relationship Id="rId9" Type="http://schemas.openxmlformats.org/officeDocument/2006/relationships/image" Target="media/image3.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20" Type="http://schemas.openxmlformats.org/officeDocument/2006/relationships/image" Target="media/image14.jpeg"/><Relationship Id="rId21" Type="http://schemas.openxmlformats.org/officeDocument/2006/relationships/image" Target="media/image14.jpeg"/><Relationship Id="rId22" Type="http://schemas.openxmlformats.org/officeDocument/2006/relationships/image" Target="media/image14.jpeg"/><Relationship Id="rId23" Type="http://schemas.openxmlformats.org/officeDocument/2006/relationships/image" Target="media/image14.jpeg"/><Relationship Id="rId24" Type="http://schemas.openxmlformats.org/officeDocument/2006/relationships/image" Target="media/image3.jpeg"/><Relationship Id="rId25" Type="http://schemas.openxmlformats.org/officeDocument/2006/relationships/image" Target="media/image15.jpe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image" Target="media/image18.jpeg"/><Relationship Id="rId29" Type="http://schemas.openxmlformats.org/officeDocument/2006/relationships/image" Target="media/image19.jpeg"/><Relationship Id="rId30" Type="http://schemas.openxmlformats.org/officeDocument/2006/relationships/image" Target="media/image20.jpeg"/><Relationship Id="rId31" Type="http://schemas.openxmlformats.org/officeDocument/2006/relationships/image" Target="media/image21.jpeg"/><Relationship Id="rId32" Type="http://schemas.openxmlformats.org/officeDocument/2006/relationships/image" Target="media/image22.jpeg"/><Relationship Id="rId33" Type="http://schemas.openxmlformats.org/officeDocument/2006/relationships/image" Target="media/image23.jpeg"/><Relationship Id="rId34" Type="http://schemas.openxmlformats.org/officeDocument/2006/relationships/image" Target="media/image24.jpeg"/><Relationship Id="rId35" Type="http://schemas.openxmlformats.org/officeDocument/2006/relationships/image" Target="media/image25.jpeg"/><Relationship Id="rId36" Type="http://schemas.openxmlformats.org/officeDocument/2006/relationships/image" Target="media/image3.jpeg"/><Relationship Id="rId37" Type="http://schemas.openxmlformats.org/officeDocument/2006/relationships/image" Target="media/image3.jpeg"/><Relationship Id="rId38" Type="http://schemas.openxmlformats.org/officeDocument/2006/relationships/image" Target="media/image26.jpeg"/><Relationship Id="rId39" Type="http://schemas.openxmlformats.org/officeDocument/2006/relationships/image" Target="media/image3.jpeg"/><Relationship Id="rId40" Type="http://schemas.openxmlformats.org/officeDocument/2006/relationships/image" Target="media/image3.jpeg"/><Relationship Id="rId41" Type="http://schemas.openxmlformats.org/officeDocument/2006/relationships/image" Target="media/image3.jpeg"/><Relationship Id="rId42" Type="http://schemas.openxmlformats.org/officeDocument/2006/relationships/image" Target="media/image27.jpeg"/><Relationship Id="rId43" Type="http://schemas.openxmlformats.org/officeDocument/2006/relationships/image" Target="media/image28.jpeg"/><Relationship Id="rId44" Type="http://schemas.openxmlformats.org/officeDocument/2006/relationships/image" Target="media/image29.jpeg"/><Relationship Id="rId45" Type="http://schemas.openxmlformats.org/officeDocument/2006/relationships/image" Target="media/image30.jpeg"/><Relationship Id="rId46" Type="http://schemas.openxmlformats.org/officeDocument/2006/relationships/image" Target="media/image31.jpeg"/><Relationship Id="rId47" Type="http://schemas.openxmlformats.org/officeDocument/2006/relationships/image" Target="media/image32.jpeg"/><Relationship Id="rId48" Type="http://schemas.openxmlformats.org/officeDocument/2006/relationships/image" Target="media/image33.jpeg"/><Relationship Id="rId49" Type="http://schemas.openxmlformats.org/officeDocument/2006/relationships/image" Target="media/image34.jpeg"/><Relationship Id="rId50" Type="http://schemas.openxmlformats.org/officeDocument/2006/relationships/image" Target="media/image35.jpeg"/><Relationship Id="rId51" Type="http://schemas.openxmlformats.org/officeDocument/2006/relationships/image" Target="media/image36.jpeg"/><Relationship Id="rId52" Type="http://schemas.openxmlformats.org/officeDocument/2006/relationships/image" Target="media/image37.jpeg"/><Relationship Id="rId53" Type="http://schemas.openxmlformats.org/officeDocument/2006/relationships/image" Target="media/image38.jpeg"/><Relationship Id="rId54" Type="http://schemas.openxmlformats.org/officeDocument/2006/relationships/image" Target="media/image3.jpeg"/><Relationship Id="rId55" Type="http://schemas.openxmlformats.org/officeDocument/2006/relationships/image" Target="media/image39.jpeg"/><Relationship Id="rId56" Type="http://schemas.openxmlformats.org/officeDocument/2006/relationships/image" Target="media/image40.jpeg"/><Relationship Id="rId57" Type="http://schemas.openxmlformats.org/officeDocument/2006/relationships/image" Target="media/image41.jpeg"/><Relationship Id="rId58" Type="http://schemas.openxmlformats.org/officeDocument/2006/relationships/image" Target="media/image42.jpeg"/><Relationship Id="rId59" Type="http://schemas.openxmlformats.org/officeDocument/2006/relationships/image" Target="media/image43.jpeg"/><Relationship Id="rId60" Type="http://schemas.openxmlformats.org/officeDocument/2006/relationships/image" Target="media/image44.jpeg"/><Relationship Id="rId61" Type="http://schemas.openxmlformats.org/officeDocument/2006/relationships/image" Target="media/image45.jpeg"/><Relationship Id="rId62" Type="http://schemas.openxmlformats.org/officeDocument/2006/relationships/image" Target="media/image3.jpeg"/><Relationship Id="rId63" Type="http://schemas.openxmlformats.org/officeDocument/2006/relationships/image" Target="media/image3.jpeg"/><Relationship Id="rId64" Type="http://schemas.openxmlformats.org/officeDocument/2006/relationships/image" Target="media/image3.jpeg"/><Relationship Id="rId65" Type="http://schemas.openxmlformats.org/officeDocument/2006/relationships/image" Target="media/image46.jpeg"/><Relationship Id="rId66" Type="http://schemas.openxmlformats.org/officeDocument/2006/relationships/image" Target="media/image47.jpeg"/><Relationship Id="rId67" Type="http://schemas.openxmlformats.org/officeDocument/2006/relationships/image" Target="media/image48.jpeg"/><Relationship Id="rId68" Type="http://schemas.openxmlformats.org/officeDocument/2006/relationships/image" Target="media/image49.jpeg"/><Relationship Id="rId69" Type="http://schemas.openxmlformats.org/officeDocument/2006/relationships/image" Target="media/image50.jpeg"/><Relationship Id="rId70" Type="http://schemas.openxmlformats.org/officeDocument/2006/relationships/image" Target="media/image51.jpeg"/><Relationship Id="rId71" Type="http://schemas.openxmlformats.org/officeDocument/2006/relationships/image" Target="media/image52.jpeg"/><Relationship Id="rId72" Type="http://schemas.openxmlformats.org/officeDocument/2006/relationships/image" Target="media/image53.jpeg"/><Relationship Id="rId73" Type="http://schemas.openxmlformats.org/officeDocument/2006/relationships/image" Target="media/image54.jpeg"/><Relationship Id="rId74" Type="http://schemas.openxmlformats.org/officeDocument/2006/relationships/image" Target="media/image55.jpeg"/><Relationship Id="rId75" Type="http://schemas.openxmlformats.org/officeDocument/2006/relationships/image" Target="media/image56.jpeg"/><Relationship Id="rId76" Type="http://schemas.openxmlformats.org/officeDocument/2006/relationships/image" Target="media/image3.jpeg"/><Relationship Id="rId77" Type="http://schemas.openxmlformats.org/officeDocument/2006/relationships/image" Target="media/image57.jpeg"/><Relationship Id="rId78" Type="http://schemas.openxmlformats.org/officeDocument/2006/relationships/image" Target="media/image58.jpeg"/><Relationship Id="rId79" Type="http://schemas.openxmlformats.org/officeDocument/2006/relationships/image" Target="media/image59.jpeg"/><Relationship Id="rId80" Type="http://schemas.openxmlformats.org/officeDocument/2006/relationships/image" Target="media/image60.jpeg"/><Relationship Id="rId81" Type="http://schemas.openxmlformats.org/officeDocument/2006/relationships/image" Target="media/image57.jpeg"/><Relationship Id="rId82" Type="http://schemas.openxmlformats.org/officeDocument/2006/relationships/image" Target="media/image58.jpeg"/><Relationship Id="rId83" Type="http://schemas.openxmlformats.org/officeDocument/2006/relationships/image" Target="media/image59.jpeg"/><Relationship Id="rId84" Type="http://schemas.openxmlformats.org/officeDocument/2006/relationships/image" Target="media/image60.jpeg"/><Relationship Id="rId85" Type="http://schemas.openxmlformats.org/officeDocument/2006/relationships/image" Target="media/image61.jpeg"/><Relationship Id="rId86" Type="http://schemas.openxmlformats.org/officeDocument/2006/relationships/image" Target="media/image3.jpeg"/><Relationship Id="rId87" Type="http://schemas.openxmlformats.org/officeDocument/2006/relationships/image" Target="media/image62.jpeg"/><Relationship Id="rId88" Type="http://schemas.openxmlformats.org/officeDocument/2006/relationships/image" Target="media/image63.jpeg"/><Relationship Id="rId89" Type="http://schemas.openxmlformats.org/officeDocument/2006/relationships/image" Target="media/image3.jpeg"/><Relationship Id="rId90" Type="http://schemas.openxmlformats.org/officeDocument/2006/relationships/image" Target="media/image64.jpeg"/><Relationship Id="rId91" Type="http://schemas.openxmlformats.org/officeDocument/2006/relationships/image" Target="media/image65.jpeg"/><Relationship Id="rId92" Type="http://schemas.openxmlformats.org/officeDocument/2006/relationships/image" Target="media/image66.jpeg"/><Relationship Id="rId93" Type="http://schemas.openxmlformats.org/officeDocument/2006/relationships/image" Target="media/image67.jpeg"/><Relationship Id="rId94" Type="http://schemas.openxmlformats.org/officeDocument/2006/relationships/image" Target="media/image3.jpeg"/><Relationship Id="rId95" Type="http://schemas.openxmlformats.org/officeDocument/2006/relationships/image" Target="media/image68.jpeg"/><Relationship Id="rId96" Type="http://schemas.openxmlformats.org/officeDocument/2006/relationships/image" Target="media/image69.jpeg"/><Relationship Id="rId97" Type="http://schemas.openxmlformats.org/officeDocument/2006/relationships/image" Target="media/image70.jpeg"/><Relationship Id="rId98" Type="http://schemas.openxmlformats.org/officeDocument/2006/relationships/image" Target="media/image71.jpeg"/><Relationship Id="rId99" Type="http://schemas.openxmlformats.org/officeDocument/2006/relationships/image" Target="media/image3.jpeg"/><Relationship Id="rId100" Type="http://schemas.openxmlformats.org/officeDocument/2006/relationships/image" Target="media/image72.jpeg"/><Relationship Id="rId101" Type="http://schemas.openxmlformats.org/officeDocument/2006/relationships/image" Target="media/image73.jpeg"/><Relationship Id="rId102" Type="http://schemas.openxmlformats.org/officeDocument/2006/relationships/image" Target="media/image3.jpeg"/><Relationship Id="rId103" Type="http://schemas.openxmlformats.org/officeDocument/2006/relationships/image" Target="media/image74.jpeg"/><Relationship Id="rId104" Type="http://schemas.openxmlformats.org/officeDocument/2006/relationships/image" Target="media/image75.jpeg"/><Relationship Id="rId105" Type="http://schemas.openxmlformats.org/officeDocument/2006/relationships/image" Target="media/image3.jpeg"/><Relationship Id="rId106" Type="http://schemas.openxmlformats.org/officeDocument/2006/relationships/image" Target="media/image76.jpeg"/><Relationship Id="rId107" Type="http://schemas.openxmlformats.org/officeDocument/2006/relationships/image" Target="media/image77.jpeg"/><Relationship Id="rId108" Type="http://schemas.openxmlformats.org/officeDocument/2006/relationships/image" Target="media/image78.jpeg"/><Relationship Id="rId109" Type="http://schemas.openxmlformats.org/officeDocument/2006/relationships/image" Target="media/image79.jpeg"/><Relationship Id="rId110" Type="http://schemas.openxmlformats.org/officeDocument/2006/relationships/image" Target="media/image3.jpeg"/><Relationship Id="rId111" Type="http://schemas.openxmlformats.org/officeDocument/2006/relationships/image" Target="media/image80.jpeg"/><Relationship Id="rId112" Type="http://schemas.openxmlformats.org/officeDocument/2006/relationships/image" Target="media/image81.jpeg"/><Relationship Id="rId113" Type="http://schemas.openxmlformats.org/officeDocument/2006/relationships/image" Target="media/image82.jpeg"/><Relationship Id="rId114" Type="http://schemas.openxmlformats.org/officeDocument/2006/relationships/image" Target="media/image83.jpeg"/><Relationship Id="rId115" Type="http://schemas.openxmlformats.org/officeDocument/2006/relationships/image" Target="media/image3.jpeg"/><Relationship Id="rId116" Type="http://schemas.openxmlformats.org/officeDocument/2006/relationships/image" Target="media/image3.jpeg"/><Relationship Id="rId117" Type="http://schemas.openxmlformats.org/officeDocument/2006/relationships/image" Target="media/image84.jpeg"/><Relationship Id="rId118" Type="http://schemas.openxmlformats.org/officeDocument/2006/relationships/image" Target="media/image85.jpeg"/><Relationship Id="rId119" Type="http://schemas.openxmlformats.org/officeDocument/2006/relationships/image" Target="media/image86.jpeg"/><Relationship Id="rId120" Type="http://schemas.openxmlformats.org/officeDocument/2006/relationships/image" Target="media/image3.jpeg"/><Relationship Id="rId121" Type="http://schemas.openxmlformats.org/officeDocument/2006/relationships/image" Target="media/image84.jpeg"/><Relationship Id="rId122" Type="http://schemas.openxmlformats.org/officeDocument/2006/relationships/image" Target="media/image87.jpeg"/><Relationship Id="rId123" Type="http://schemas.openxmlformats.org/officeDocument/2006/relationships/image" Target="media/image88.jpeg"/><Relationship Id="rId124" Type="http://schemas.openxmlformats.org/officeDocument/2006/relationships/image" Target="media/image89.jpeg"/><Relationship Id="rId125" Type="http://schemas.openxmlformats.org/officeDocument/2006/relationships/image" Target="media/image3.jpeg"/><Relationship Id="rId126" Type="http://schemas.openxmlformats.org/officeDocument/2006/relationships/image" Target="media/image85.jpeg"/><Relationship Id="rId127" Type="http://schemas.openxmlformats.org/officeDocument/2006/relationships/image" Target="media/image90.jpeg"/><Relationship Id="rId128" Type="http://schemas.openxmlformats.org/officeDocument/2006/relationships/image" Target="media/image91.jpeg"/><Relationship Id="rId129" Type="http://schemas.openxmlformats.org/officeDocument/2006/relationships/image" Target="media/image92.jpeg"/><Relationship Id="rId130" Type="http://schemas.openxmlformats.org/officeDocument/2006/relationships/image" Target="media/image3.jpeg"/><Relationship Id="rId131" Type="http://schemas.openxmlformats.org/officeDocument/2006/relationships/image" Target="media/image86.jpeg"/><Relationship Id="rId132" Type="http://schemas.openxmlformats.org/officeDocument/2006/relationships/image" Target="media/image91.jpeg"/><Relationship Id="rId133" Type="http://schemas.openxmlformats.org/officeDocument/2006/relationships/image" Target="media/image93.jpeg"/><Relationship Id="rId134" Type="http://schemas.openxmlformats.org/officeDocument/2006/relationships/image" Target="media/image94.jpeg"/><Relationship Id="rId135" Type="http://schemas.openxmlformats.org/officeDocument/2006/relationships/image" Target="media/image3.jpeg"/><Relationship Id="rId136" Type="http://schemas.openxmlformats.org/officeDocument/2006/relationships/image" Target="media/image3.jpeg"/><Relationship Id="rId137" Type="http://schemas.openxmlformats.org/officeDocument/2006/relationships/image" Target="media/image3.jpeg"/><Relationship Id="rId138" Type="http://schemas.openxmlformats.org/officeDocument/2006/relationships/image" Target="media/image95.jpeg"/><Relationship Id="rId139" Type="http://schemas.openxmlformats.org/officeDocument/2006/relationships/image" Target="media/image96.jpeg"/><Relationship Id="rId140" Type="http://schemas.openxmlformats.org/officeDocument/2006/relationships/image" Target="media/image97.jpeg"/><Relationship Id="rId141" Type="http://schemas.openxmlformats.org/officeDocument/2006/relationships/image" Target="media/image98.jpeg"/><Relationship Id="rId142" Type="http://schemas.openxmlformats.org/officeDocument/2006/relationships/image" Target="media/image99.jpeg"/><Relationship Id="rId143" Type="http://schemas.openxmlformats.org/officeDocument/2006/relationships/image" Target="media/image100.jpeg"/><Relationship Id="rId144" Type="http://schemas.openxmlformats.org/officeDocument/2006/relationships/image" Target="media/image3.jpeg"/><Relationship Id="rId145" Type="http://schemas.openxmlformats.org/officeDocument/2006/relationships/image" Target="media/image101.jpeg"/><Relationship Id="rId146" Type="http://schemas.openxmlformats.org/officeDocument/2006/relationships/image" Target="media/image3.jpeg"/><Relationship Id="rId147" Type="http://schemas.openxmlformats.org/officeDocument/2006/relationships/image" Target="media/image102.jpeg"/><Relationship Id="rId148" Type="http://schemas.openxmlformats.org/officeDocument/2006/relationships/image" Target="media/image3.jpeg"/><Relationship Id="rId149" Type="http://schemas.openxmlformats.org/officeDocument/2006/relationships/image" Target="media/image103.jpeg"/><Relationship Id="rId150" Type="http://schemas.openxmlformats.org/officeDocument/2006/relationships/image" Target="media/image104.jpeg"/><Relationship Id="rId151" Type="http://schemas.openxmlformats.org/officeDocument/2006/relationships/image" Target="media/image3.jpeg"/><Relationship Id="rId152" Type="http://schemas.openxmlformats.org/officeDocument/2006/relationships/image" Target="media/image105.jpeg"/><Relationship Id="rId153" Type="http://schemas.openxmlformats.org/officeDocument/2006/relationships/image" Target="media/image106.jpeg"/><Relationship Id="rId154" Type="http://schemas.openxmlformats.org/officeDocument/2006/relationships/image" Target="media/image107.jpeg"/><Relationship Id="rId155" Type="http://schemas.openxmlformats.org/officeDocument/2006/relationships/image" Target="media/image3.jpeg"/><Relationship Id="rId156" Type="http://schemas.openxmlformats.org/officeDocument/2006/relationships/image" Target="media/image3.jpeg"/><Relationship Id="rId157" Type="http://schemas.openxmlformats.org/officeDocument/2006/relationships/image" Target="media/image3.jpeg"/><Relationship Id="rId158" Type="http://schemas.openxmlformats.org/officeDocument/2006/relationships/image" Target="media/image3.jpeg"/><Relationship Id="rId159" Type="http://schemas.openxmlformats.org/officeDocument/2006/relationships/image" Target="media/image3.jpeg"/><Relationship Id="rId160" Type="http://schemas.openxmlformats.org/officeDocument/2006/relationships/image" Target="media/image3.jpeg"/><Relationship Id="rId161" Type="http://schemas.openxmlformats.org/officeDocument/2006/relationships/image" Target="media/image3.jpeg"/><Relationship Id="rId162" Type="http://schemas.openxmlformats.org/officeDocument/2006/relationships/image" Target="media/image3.jpeg"/><Relationship Id="rId163" Type="http://schemas.openxmlformats.org/officeDocument/2006/relationships/image" Target="media/image3.jpeg"/><Relationship Id="rId164" Type="http://schemas.openxmlformats.org/officeDocument/2006/relationships/image" Target="media/image3.jpeg"/><Relationship Id="rId165" Type="http://schemas.openxmlformats.org/officeDocument/2006/relationships/image" Target="media/image108.jpeg"/><Relationship Id="rId166" Type="http://schemas.openxmlformats.org/officeDocument/2006/relationships/image" Target="media/image109.jpeg"/><Relationship Id="rId167" Type="http://schemas.openxmlformats.org/officeDocument/2006/relationships/image" Target="media/image110.jpeg"/><Relationship Id="rId168" Type="http://schemas.openxmlformats.org/officeDocument/2006/relationships/image" Target="media/image111.jpeg"/><Relationship Id="rId169" Type="http://schemas.openxmlformats.org/officeDocument/2006/relationships/image" Target="media/image112.jpeg"/><Relationship Id="rId170" Type="http://schemas.openxmlformats.org/officeDocument/2006/relationships/image" Target="media/image108.jpeg"/><Relationship Id="rId171" Type="http://schemas.openxmlformats.org/officeDocument/2006/relationships/image" Target="media/image109.jpeg"/><Relationship Id="rId172" Type="http://schemas.openxmlformats.org/officeDocument/2006/relationships/image" Target="media/image110.jpeg"/><Relationship Id="rId173" Type="http://schemas.openxmlformats.org/officeDocument/2006/relationships/image" Target="media/image111.jpeg"/><Relationship Id="rId174" Type="http://schemas.openxmlformats.org/officeDocument/2006/relationships/image" Target="media/image112.jpeg"/><Relationship Id="rId175" Type="http://schemas.openxmlformats.org/officeDocument/2006/relationships/image" Target="media/image3.jpeg"/><Relationship Id="rId176" Type="http://schemas.openxmlformats.org/officeDocument/2006/relationships/image" Target="media/image3.jpeg"/><Relationship Id="rId177" Type="http://schemas.openxmlformats.org/officeDocument/2006/relationships/image" Target="media/image3.jpeg"/><Relationship Id="rId178" Type="http://schemas.openxmlformats.org/officeDocument/2006/relationships/image" Target="media/image3.jpeg"/><Relationship Id="rId179" Type="http://schemas.openxmlformats.org/officeDocument/2006/relationships/image" Target="media/image113.jpeg"/><Relationship Id="rId180" Type="http://schemas.openxmlformats.org/officeDocument/2006/relationships/image" Target="media/image3.jpeg"/><Relationship Id="rId181" Type="http://schemas.openxmlformats.org/officeDocument/2006/relationships/image" Target="media/image114.jpeg"/><Relationship Id="rId182" Type="http://schemas.openxmlformats.org/officeDocument/2006/relationships/image" Target="media/image3.jpeg"/><Relationship Id="rId183" Type="http://schemas.openxmlformats.org/officeDocument/2006/relationships/image" Target="media/image3.jpeg"/><Relationship Id="rId184" Type="http://schemas.openxmlformats.org/officeDocument/2006/relationships/image" Target="media/image115.jpeg"/><Relationship Id="rId185" Type="http://schemas.openxmlformats.org/officeDocument/2006/relationships/image" Target="media/image3.jpeg"/><Relationship Id="rId186" Type="http://schemas.openxmlformats.org/officeDocument/2006/relationships/image" Target="media/image3.jpeg"/><Relationship Id="rId187" Type="http://schemas.openxmlformats.org/officeDocument/2006/relationships/image" Target="media/image3.jpeg"/><Relationship Id="rId188" Type="http://schemas.openxmlformats.org/officeDocument/2006/relationships/image" Target="media/image3.jpeg"/><Relationship Id="rId189" Type="http://schemas.openxmlformats.org/officeDocument/2006/relationships/image" Target="media/image3.jpeg"/><Relationship Id="rId190" Type="http://schemas.openxmlformats.org/officeDocument/2006/relationships/image" Target="media/image3.jpeg"/><Relationship Id="rId191" Type="http://schemas.openxmlformats.org/officeDocument/2006/relationships/image" Target="media/image3.jpeg"/><Relationship Id="rId192" Type="http://schemas.openxmlformats.org/officeDocument/2006/relationships/image" Target="media/image3.jpeg"/><Relationship Id="rId193" Type="http://schemas.openxmlformats.org/officeDocument/2006/relationships/image" Target="media/image3.jpeg"/><Relationship Id="rId194" Type="http://schemas.openxmlformats.org/officeDocument/2006/relationships/image" Target="media/image3.jpeg"/><Relationship Id="rId195" Type="http://schemas.openxmlformats.org/officeDocument/2006/relationships/image" Target="media/image3.jpeg"/><Relationship Id="rId196" Type="http://schemas.openxmlformats.org/officeDocument/2006/relationships/image" Target="media/image3.jpeg"/><Relationship Id="rId197" Type="http://schemas.openxmlformats.org/officeDocument/2006/relationships/image" Target="media/image3.jpeg"/><Relationship Id="rId198" Type="http://schemas.openxmlformats.org/officeDocument/2006/relationships/image" Target="media/image3.jpeg"/><Relationship Id="rId199" Type="http://schemas.openxmlformats.org/officeDocument/2006/relationships/image" Target="media/image3.jpeg"/><Relationship Id="rId200" Type="http://schemas.openxmlformats.org/officeDocument/2006/relationships/image" Target="media/image3.jpeg"/><Relationship Id="rId201" Type="http://schemas.openxmlformats.org/officeDocument/2006/relationships/image" Target="media/image3.jpeg"/><Relationship Id="rId202" Type="http://schemas.openxmlformats.org/officeDocument/2006/relationships/image" Target="media/image3.jpeg"/><Relationship Id="rId203" Type="http://schemas.openxmlformats.org/officeDocument/2006/relationships/image" Target="media/image3.jpeg"/><Relationship Id="rId204" Type="http://schemas.openxmlformats.org/officeDocument/2006/relationships/image" Target="media/image3.jpeg"/><Relationship Id="rId205" Type="http://schemas.openxmlformats.org/officeDocument/2006/relationships/image" Target="media/image3.jpeg"/><Relationship Id="rId206" Type="http://schemas.openxmlformats.org/officeDocument/2006/relationships/image" Target="media/image3.jpeg"/><Relationship Id="rId207" Type="http://schemas.openxmlformats.org/officeDocument/2006/relationships/image" Target="media/image3.jpeg"/><Relationship Id="rId208" Type="http://schemas.openxmlformats.org/officeDocument/2006/relationships/image" Target="media/image3.jpeg"/><Relationship Id="rId209" Type="http://schemas.openxmlformats.org/officeDocument/2006/relationships/image" Target="media/image116.jpeg"/><Relationship Id="rId210" Type="http://schemas.openxmlformats.org/officeDocument/2006/relationships/image" Target="media/image116.jpeg"/><Relationship Id="rId211" Type="http://schemas.openxmlformats.org/officeDocument/2006/relationships/image" Target="media/image117.jpeg"/><Relationship Id="rId212" Type="http://schemas.openxmlformats.org/officeDocument/2006/relationships/image" Target="media/image117.jpeg"/><Relationship Id="rId213" Type="http://schemas.openxmlformats.org/officeDocument/2006/relationships/image" Target="media/image118.jpeg"/><Relationship Id="rId214" Type="http://schemas.openxmlformats.org/officeDocument/2006/relationships/image" Target="media/image118.jpeg"/><Relationship Id="rId215" Type="http://schemas.openxmlformats.org/officeDocument/2006/relationships/image" Target="media/image119.jpeg"/><Relationship Id="rId216" Type="http://schemas.openxmlformats.org/officeDocument/2006/relationships/image" Target="media/image119.jpeg"/><Relationship Id="rId217" Type="http://schemas.openxmlformats.org/officeDocument/2006/relationships/image" Target="media/image3.jpeg"/><Relationship Id="rId218" Type="http://schemas.openxmlformats.org/officeDocument/2006/relationships/image" Target="media/image3.jpeg"/><Relationship Id="rId219" Type="http://schemas.openxmlformats.org/officeDocument/2006/relationships/image" Target="media/image3.jpeg"/><Relationship Id="rId220" Type="http://schemas.openxmlformats.org/officeDocument/2006/relationships/image" Target="media/image120.jpeg"/><Relationship Id="rId221" Type="http://schemas.openxmlformats.org/officeDocument/2006/relationships/image" Target="media/image3.jpeg"/><Relationship Id="rId222" Type="http://schemas.openxmlformats.org/officeDocument/2006/relationships/image" Target="media/image3.jpeg"/><Relationship Id="rId223" Type="http://schemas.openxmlformats.org/officeDocument/2006/relationships/image" Target="media/image3.jpeg"/><Relationship Id="rId224" Type="http://schemas.openxmlformats.org/officeDocument/2006/relationships/image" Target="media/image3.jpeg"/><Relationship Id="rId225" Type="http://schemas.openxmlformats.org/officeDocument/2006/relationships/image" Target="media/image3.jpeg"/><Relationship Id="rId226" Type="http://schemas.openxmlformats.org/officeDocument/2006/relationships/image" Target="media/image3.jpeg"/><Relationship Id="rId227" Type="http://schemas.openxmlformats.org/officeDocument/2006/relationships/image" Target="media/image121.jpeg"/><Relationship Id="rId228" Type="http://schemas.openxmlformats.org/officeDocument/2006/relationships/fontTable" Target="fontTable.xml"/><Relationship Id="rId2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84</Pages>
  <Words>41181</Words>
  <Characters>234524</Characters>
  <CharactersWithSpaces>279080</CharactersWithSpaces>
  <Paragraphs>9427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